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F1859" w14:textId="77777777" w:rsidR="002F4591" w:rsidRDefault="002F4591" w:rsidP="002F4591">
      <w:pPr>
        <w:pStyle w:val="APVMACoverTitle"/>
        <w:spacing w:before="1440"/>
        <w:jc w:val="center"/>
        <w:rPr>
          <w:i/>
          <w:noProof/>
          <w:sz w:val="28"/>
          <w:szCs w:val="28"/>
          <w:lang w:eastAsia="en-AU"/>
        </w:rPr>
      </w:pPr>
      <w:bookmarkStart w:id="0" w:name="_Toc168724484"/>
      <w:r w:rsidRPr="005D1A47">
        <w:rPr>
          <w:i/>
          <w:noProof/>
          <w:lang w:eastAsia="en-AU"/>
        </w:rPr>
        <w:drawing>
          <wp:inline distT="0" distB="0" distL="0" distR="0" wp14:anchorId="5C6E37C0" wp14:editId="0B5DB844">
            <wp:extent cx="1828800" cy="1104900"/>
            <wp:effectExtent l="0" t="0" r="0" b="0"/>
            <wp:docPr id="6" name="Picture 6" descr="Australian Government, Australian Pesticides and Veterinary Medicines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vma_stacked_pms446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104900"/>
                    </a:xfrm>
                    <a:prstGeom prst="rect">
                      <a:avLst/>
                    </a:prstGeom>
                  </pic:spPr>
                </pic:pic>
              </a:graphicData>
            </a:graphic>
          </wp:inline>
        </w:drawing>
      </w:r>
    </w:p>
    <w:p w14:paraId="036601A7" w14:textId="77777777" w:rsidR="002F4591" w:rsidRDefault="001F5D05" w:rsidP="00C9656F">
      <w:pPr>
        <w:pStyle w:val="APVMACoverTitle"/>
        <w:spacing w:before="6000"/>
        <w:jc w:val="center"/>
      </w:pPr>
      <w:r>
        <w:rPr>
          <w:noProof/>
          <w:lang w:eastAsia="en-AU"/>
        </w:rPr>
        <w:drawing>
          <wp:inline distT="0" distB="0" distL="0" distR="0" wp14:anchorId="2572B151" wp14:editId="3C093523">
            <wp:extent cx="2685600" cy="2445923"/>
            <wp:effectExtent l="0" t="0" r="635" b="0"/>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S-hexag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5600" cy="2445923"/>
                    </a:xfrm>
                    <a:prstGeom prst="rect">
                      <a:avLst/>
                    </a:prstGeom>
                  </pic:spPr>
                </pic:pic>
              </a:graphicData>
            </a:graphic>
          </wp:inline>
        </w:drawing>
      </w:r>
    </w:p>
    <w:p w14:paraId="7B5A05AF" w14:textId="77777777" w:rsidR="00193533" w:rsidRPr="00193533" w:rsidRDefault="002F5D1B" w:rsidP="002F4591">
      <w:pPr>
        <w:pStyle w:val="APVMACoverTitle"/>
        <w:spacing w:before="2640"/>
        <w:jc w:val="center"/>
      </w:pPr>
      <w:r>
        <w:t xml:space="preserve">Public </w:t>
      </w:r>
      <w:r w:rsidR="006A7B67">
        <w:t>Release S</w:t>
      </w:r>
      <w:r>
        <w:t>ummary</w:t>
      </w:r>
    </w:p>
    <w:p w14:paraId="4798F63F" w14:textId="7B440414" w:rsidR="003C0891" w:rsidRPr="00DD03C2" w:rsidRDefault="007F6D92" w:rsidP="00193533">
      <w:pPr>
        <w:pStyle w:val="APVMACoverSubtitle"/>
        <w:jc w:val="center"/>
      </w:pPr>
      <w:r>
        <w:t>o</w:t>
      </w:r>
      <w:r w:rsidR="006D36C8">
        <w:t>n</w:t>
      </w:r>
      <w:r w:rsidR="002F5D1B">
        <w:t xml:space="preserve"> the evaluation of </w:t>
      </w:r>
      <w:r w:rsidR="006B31E5">
        <w:t>the new active constituent</w:t>
      </w:r>
      <w:r w:rsidR="006B31E5" w:rsidRPr="006B31E5">
        <w:t xml:space="preserve"> fenpropidin</w:t>
      </w:r>
      <w:r w:rsidR="00DD03C2">
        <w:br/>
      </w:r>
      <w:r w:rsidR="006D36C8">
        <w:t>in the product</w:t>
      </w:r>
      <w:r w:rsidR="006B31E5">
        <w:t xml:space="preserve"> </w:t>
      </w:r>
      <w:r w:rsidR="006B31E5" w:rsidRPr="00DD03C2">
        <w:t>SEEKER Duo Fungicide</w:t>
      </w:r>
    </w:p>
    <w:p w14:paraId="69337BD1" w14:textId="49D90323" w:rsidR="00193533" w:rsidRPr="00734315" w:rsidRDefault="006D36C8" w:rsidP="007F6D92">
      <w:pPr>
        <w:pStyle w:val="APVMACoverSubtitle"/>
        <w:jc w:val="center"/>
        <w:sectPr w:rsidR="00193533" w:rsidRPr="00734315" w:rsidSect="008C5C0D">
          <w:headerReference w:type="first" r:id="rId11"/>
          <w:footerReference w:type="first" r:id="rId12"/>
          <w:pgSz w:w="11906" w:h="16838" w:code="9"/>
          <w:pgMar w:top="2127" w:right="1134" w:bottom="1134" w:left="1134" w:header="1701" w:footer="450" w:gutter="0"/>
          <w:pgNumType w:fmt="lowerRoman"/>
          <w:cols w:space="708"/>
          <w:docGrid w:linePitch="360"/>
        </w:sectPr>
      </w:pPr>
      <w:r>
        <w:t xml:space="preserve">APVMA product number </w:t>
      </w:r>
      <w:r w:rsidR="006B31E5" w:rsidRPr="006B31E5">
        <w:t>91885</w:t>
      </w:r>
    </w:p>
    <w:p w14:paraId="7721F955" w14:textId="1CB4C7E0" w:rsidR="00862E63" w:rsidRPr="005C0ACC" w:rsidRDefault="00862E63" w:rsidP="00CA5B2B">
      <w:pPr>
        <w:pStyle w:val="Copyrightpage"/>
      </w:pPr>
      <w:r w:rsidRPr="005C0ACC">
        <w:lastRenderedPageBreak/>
        <w:t>© Australian Pesticides and Veterinary Medicines Authority</w:t>
      </w:r>
      <w:r w:rsidR="00DD03C2">
        <w:t xml:space="preserve"> 2023</w:t>
      </w:r>
    </w:p>
    <w:p w14:paraId="6D672E1C" w14:textId="401CB811" w:rsidR="00862E63" w:rsidRPr="00CA5B2B" w:rsidRDefault="00862E63" w:rsidP="00CA5B2B">
      <w:pPr>
        <w:pStyle w:val="Copyrightpage"/>
      </w:pPr>
      <w:r w:rsidRPr="00CA5B2B">
        <w:t>ISSN</w:t>
      </w:r>
      <w:r w:rsidRPr="00CA5B2B">
        <w:tab/>
      </w:r>
      <w:r w:rsidR="007F6D92" w:rsidRPr="00CA5B2B">
        <w:t>1443-1335 (electronic)</w:t>
      </w:r>
    </w:p>
    <w:p w14:paraId="5DF133F9" w14:textId="77777777" w:rsidR="00862E63" w:rsidRPr="005C0ACC" w:rsidRDefault="00862E63" w:rsidP="00CA5B2B">
      <w:pPr>
        <w:pStyle w:val="Copyrightpage"/>
        <w:rPr>
          <w:b/>
          <w:bCs/>
        </w:rPr>
      </w:pPr>
      <w:r w:rsidRPr="005C0ACC">
        <w:rPr>
          <w:b/>
          <w:bCs/>
        </w:rPr>
        <w:t>Ownership of intellectual property rights in this publication</w:t>
      </w:r>
    </w:p>
    <w:p w14:paraId="0963B6EB" w14:textId="77777777" w:rsidR="00862E63" w:rsidRPr="005C0ACC" w:rsidRDefault="00862E63" w:rsidP="00CA5B2B">
      <w:pPr>
        <w:pStyle w:val="Copyrightpage"/>
      </w:pPr>
      <w:r w:rsidRPr="005C0ACC">
        <w:t>Unless otherwise noted, copyright (and any other intellectual property rights, if any) in this publication is owned by the Australian Pesticides and Veterinary Medicines Authority (APVMA).</w:t>
      </w:r>
    </w:p>
    <w:p w14:paraId="516D1895" w14:textId="77777777" w:rsidR="008366A3" w:rsidRPr="005C0ACC" w:rsidRDefault="008366A3" w:rsidP="00CA5B2B">
      <w:pPr>
        <w:pStyle w:val="Copyrightpage"/>
        <w:rPr>
          <w:b/>
          <w:bCs/>
        </w:rPr>
      </w:pPr>
      <w:r w:rsidRPr="005C0ACC">
        <w:rPr>
          <w:b/>
          <w:bCs/>
        </w:rPr>
        <w:t>Creative Commons licence</w:t>
      </w:r>
    </w:p>
    <w:p w14:paraId="6154E358" w14:textId="760021DF" w:rsidR="002F4591" w:rsidRDefault="008366A3" w:rsidP="00CA5B2B">
      <w:pPr>
        <w:pStyle w:val="Copyrightpage"/>
      </w:pPr>
      <w:r w:rsidRPr="005C0ACC">
        <w:t xml:space="preserve">With the exception of the Coat of Arms and other elements specifically identified, this publication is licensed under a Creative Commons Attribution </w:t>
      </w:r>
      <w:r>
        <w:t>4</w:t>
      </w:r>
      <w:r w:rsidRPr="005C0ACC">
        <w:t>.0 Licence. This is a standard form agreement that allows you to copy, distribute, transmit and adapt this publication provided that you attribute the work.</w:t>
      </w:r>
    </w:p>
    <w:p w14:paraId="10A2914C" w14:textId="77777777" w:rsidR="002F4591" w:rsidRDefault="002F4591" w:rsidP="00CA5B2B">
      <w:pPr>
        <w:pStyle w:val="Copyrightpage"/>
        <w:spacing w:line="276" w:lineRule="auto"/>
      </w:pPr>
      <w:r w:rsidRPr="005C0ACC">
        <w:rPr>
          <w:rFonts w:ascii="Times New Roman" w:hAnsi="Times New Roman"/>
          <w:noProof/>
        </w:rPr>
        <w:drawing>
          <wp:inline distT="0" distB="0" distL="0" distR="0" wp14:anchorId="484848D8" wp14:editId="181F6B1A">
            <wp:extent cx="400050" cy="400050"/>
            <wp:effectExtent l="0" t="0" r="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mchandra\Desktop\c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5C0ACC">
        <w:rPr>
          <w:rFonts w:ascii="Times New Roman" w:hAnsi="Times New Roman"/>
          <w:noProof/>
        </w:rPr>
        <w:drawing>
          <wp:inline distT="0" distB="0" distL="0" distR="0" wp14:anchorId="085C75C0" wp14:editId="5E1E0E28">
            <wp:extent cx="400050" cy="400050"/>
            <wp:effectExtent l="0" t="0" r="0" b="0"/>
            <wp:docPr id="4" name="Picture 4" descr="Attribution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Users\mchandra\Desktop\by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47ACBA6B" w14:textId="03F5F2AD" w:rsidR="001F5D05" w:rsidRPr="005C0ACC" w:rsidRDefault="001F5D05" w:rsidP="00CA5B2B">
      <w:pPr>
        <w:pStyle w:val="Copyrightpage"/>
      </w:pPr>
      <w:r w:rsidRPr="005C0ACC">
        <w:t xml:space="preserve">A </w:t>
      </w:r>
      <w:hyperlink r:id="rId15" w:history="1">
        <w:r w:rsidRPr="008545E1">
          <w:rPr>
            <w:rStyle w:val="Hyperlink"/>
          </w:rPr>
          <w:t>summary of the licence terms</w:t>
        </w:r>
      </w:hyperlink>
      <w:r>
        <w:t xml:space="preserve"> and </w:t>
      </w:r>
      <w:hyperlink r:id="rId16" w:history="1">
        <w:r w:rsidRPr="008545E1">
          <w:rPr>
            <w:rStyle w:val="Hyperlink"/>
          </w:rPr>
          <w:t>full licence terms</w:t>
        </w:r>
      </w:hyperlink>
      <w:r>
        <w:t xml:space="preserve"> are</w:t>
      </w:r>
      <w:r w:rsidRPr="005C0ACC">
        <w:t xml:space="preserve"> available from</w:t>
      </w:r>
      <w:r>
        <w:t xml:space="preserve"> Creative Commons.</w:t>
      </w:r>
    </w:p>
    <w:p w14:paraId="48788259" w14:textId="77777777" w:rsidR="008366A3" w:rsidRPr="005C0ACC" w:rsidRDefault="008366A3" w:rsidP="00CA5B2B">
      <w:pPr>
        <w:pStyle w:val="Copyrightpage"/>
        <w:rPr>
          <w:i/>
          <w:iCs/>
        </w:rPr>
      </w:pPr>
      <w:r w:rsidRPr="005C0ACC">
        <w:t>The APVMA’s preference is that you attribute this publication (and any approved material sourced from it) using the following wording:</w:t>
      </w:r>
    </w:p>
    <w:p w14:paraId="522D6440" w14:textId="77777777" w:rsidR="008366A3" w:rsidRPr="005C0ACC" w:rsidRDefault="008366A3" w:rsidP="00CA5B2B">
      <w:pPr>
        <w:pStyle w:val="Copyrightpage"/>
        <w:rPr>
          <w:i/>
          <w:iCs/>
        </w:rPr>
      </w:pPr>
      <w:r w:rsidRPr="005C0ACC">
        <w:rPr>
          <w:i/>
          <w:iCs/>
        </w:rPr>
        <w:t xml:space="preserve">Source: Licensed from the Australian Pesticides and Veterinary Medicines Authority (APVMA) under a Creative Commons Attribution </w:t>
      </w:r>
      <w:r>
        <w:rPr>
          <w:i/>
          <w:iCs/>
        </w:rPr>
        <w:t>4</w:t>
      </w:r>
      <w:r w:rsidRPr="005C0ACC">
        <w:rPr>
          <w:i/>
          <w:iCs/>
        </w:rPr>
        <w:t xml:space="preserve">.0 Australia Licence. </w:t>
      </w:r>
    </w:p>
    <w:p w14:paraId="326BD5E0" w14:textId="77777777" w:rsidR="008366A3" w:rsidRPr="005C0ACC" w:rsidRDefault="008366A3" w:rsidP="00CA5B2B">
      <w:pPr>
        <w:pStyle w:val="Copyrightpage"/>
      </w:pPr>
      <w:r w:rsidRPr="005C0ACC">
        <w:t>In referencing this document the Australian Pesticides and Veterinary Medicines Authority should be cited as the author, publisher and copyright owner.</w:t>
      </w:r>
    </w:p>
    <w:p w14:paraId="79B9EE70" w14:textId="77777777" w:rsidR="00862E63" w:rsidRPr="005C0ACC" w:rsidRDefault="0051454B" w:rsidP="00CA5B2B">
      <w:pPr>
        <w:pStyle w:val="Copyrightpage"/>
        <w:rPr>
          <w:b/>
          <w:bCs/>
        </w:rPr>
      </w:pPr>
      <w:r>
        <w:rPr>
          <w:b/>
          <w:bCs/>
        </w:rPr>
        <w:t>Photographic credits</w:t>
      </w:r>
    </w:p>
    <w:p w14:paraId="052CB40F" w14:textId="77777777" w:rsidR="00862E63" w:rsidRPr="005C0ACC" w:rsidRDefault="00862E63" w:rsidP="00CA5B2B">
      <w:pPr>
        <w:pStyle w:val="Copyrightpage"/>
        <w:rPr>
          <w:bCs/>
        </w:rPr>
      </w:pPr>
      <w:r w:rsidRPr="005C0ACC">
        <w:rPr>
          <w:bCs/>
        </w:rPr>
        <w:t>Cover image: iStockphoto (www.istockphoto.com)</w:t>
      </w:r>
    </w:p>
    <w:p w14:paraId="1F045188" w14:textId="77777777" w:rsidR="00862E63" w:rsidRPr="005C0ACC" w:rsidRDefault="00862E63" w:rsidP="00CA5B2B">
      <w:pPr>
        <w:pStyle w:val="Copyrightpage"/>
        <w:rPr>
          <w:bCs/>
        </w:rPr>
      </w:pPr>
      <w:r w:rsidRPr="005C0ACC">
        <w:rPr>
          <w:bCs/>
        </w:rPr>
        <w:t>iStockphoto images are not covered by</w:t>
      </w:r>
      <w:r w:rsidR="0051454B">
        <w:rPr>
          <w:bCs/>
        </w:rPr>
        <w:t xml:space="preserve"> this Creative Commons licence.</w:t>
      </w:r>
    </w:p>
    <w:p w14:paraId="03B89D16" w14:textId="77777777" w:rsidR="00862E63" w:rsidRPr="005C0ACC" w:rsidRDefault="00862E63" w:rsidP="00CA5B2B">
      <w:pPr>
        <w:pStyle w:val="Copyrightpage"/>
        <w:rPr>
          <w:b/>
          <w:bCs/>
        </w:rPr>
      </w:pPr>
      <w:r w:rsidRPr="005C0ACC">
        <w:rPr>
          <w:b/>
          <w:bCs/>
        </w:rPr>
        <w:t>Use of the Coat of Arms</w:t>
      </w:r>
    </w:p>
    <w:p w14:paraId="5C6EFDD4" w14:textId="6D8F2DDB" w:rsidR="001F5D05" w:rsidRDefault="001F5D05" w:rsidP="00CA5B2B">
      <w:pPr>
        <w:pStyle w:val="Copyrightpage"/>
      </w:pPr>
      <w:r w:rsidRPr="005C0ACC">
        <w:t xml:space="preserve">The terms under which the Coat of Arms can be used are set out on the </w:t>
      </w:r>
      <w:hyperlink r:id="rId17" w:history="1">
        <w:r w:rsidRPr="008545E1">
          <w:rPr>
            <w:rStyle w:val="Hyperlink"/>
          </w:rPr>
          <w:t>Department of the Prime Minister and Cabinet website</w:t>
        </w:r>
      </w:hyperlink>
      <w:r w:rsidRPr="005C0ACC">
        <w:t>.</w:t>
      </w:r>
    </w:p>
    <w:p w14:paraId="60BC0E9E" w14:textId="77777777" w:rsidR="00862E63" w:rsidRPr="005C0ACC" w:rsidRDefault="00862E63" w:rsidP="00CA5B2B">
      <w:pPr>
        <w:pStyle w:val="Copyrightpage"/>
        <w:rPr>
          <w:b/>
          <w:bCs/>
        </w:rPr>
      </w:pPr>
      <w:r w:rsidRPr="005C0ACC">
        <w:rPr>
          <w:b/>
          <w:bCs/>
        </w:rPr>
        <w:t>Disclaimer</w:t>
      </w:r>
    </w:p>
    <w:p w14:paraId="2989A927" w14:textId="77777777" w:rsidR="00862E63" w:rsidRPr="009A7614" w:rsidRDefault="00862E63" w:rsidP="00CA5B2B">
      <w:pPr>
        <w:pStyle w:val="Copyrightpage"/>
      </w:pPr>
      <w:r w:rsidRPr="005C0ACC">
        <w:t xml:space="preserve">The material in or linking from this report may contain the views or recommendations of third parties. Third party material does not necessarily reflect the views of the </w:t>
      </w:r>
      <w:proofErr w:type="gramStart"/>
      <w:r w:rsidRPr="005C0ACC">
        <w:t>APVMA, or</w:t>
      </w:r>
      <w:proofErr w:type="gramEnd"/>
      <w:r w:rsidRPr="005C0ACC">
        <w:t xml:space="preserve"> indicate a commitment to</w:t>
      </w:r>
      <w:r w:rsidR="009A7614">
        <w:t xml:space="preserve"> a particular course of action. </w:t>
      </w:r>
      <w:r w:rsidRPr="005C0ACC">
        <w:rPr>
          <w:bCs/>
        </w:rPr>
        <w:t>There may be links in this document that will transfer you to external websites. The APVMA does not have responsibility for these websites, nor does linking to or from this document constitute any form of endorsement.</w:t>
      </w:r>
      <w:r w:rsidR="009A7614">
        <w:t xml:space="preserve"> </w:t>
      </w:r>
      <w:r w:rsidRPr="005C0ACC">
        <w:rPr>
          <w:bCs/>
        </w:rPr>
        <w:t>The APVMA is not responsible for any errors, omissions or matters of interpretation in any third-party information contained within this document.</w:t>
      </w:r>
    </w:p>
    <w:p w14:paraId="212B0A45" w14:textId="77777777" w:rsidR="00862E63" w:rsidRPr="005C0ACC" w:rsidRDefault="00862E63" w:rsidP="00CA5B2B">
      <w:pPr>
        <w:pStyle w:val="Copyrightpage"/>
        <w:rPr>
          <w:b/>
          <w:bCs/>
        </w:rPr>
      </w:pPr>
      <w:r w:rsidRPr="005C0ACC">
        <w:rPr>
          <w:b/>
          <w:bCs/>
        </w:rPr>
        <w:t>Comments and enquiries regarding copyright:</w:t>
      </w:r>
    </w:p>
    <w:p w14:paraId="3534E09A" w14:textId="60282BF2" w:rsidR="00862E63" w:rsidRPr="005C0ACC" w:rsidRDefault="00AA68EC" w:rsidP="00CA5B2B">
      <w:pPr>
        <w:pStyle w:val="Copyrightpage"/>
      </w:pPr>
      <w:r>
        <w:t>Assistant Director, Communications</w:t>
      </w:r>
      <w:r w:rsidR="00CA5B2B">
        <w:br/>
      </w:r>
      <w:r w:rsidR="00862E63" w:rsidRPr="005C0ACC">
        <w:t>Australian Pesticides and Veterinary Medicines Authority</w:t>
      </w:r>
      <w:r w:rsidR="00CA5B2B">
        <w:br/>
      </w:r>
      <w:r w:rsidR="001F5D05">
        <w:t>GPO Box 3262</w:t>
      </w:r>
      <w:r w:rsidR="00CA5B2B">
        <w:br/>
      </w:r>
      <w:r w:rsidR="007F6D92">
        <w:t>Sydney</w:t>
      </w:r>
      <w:r w:rsidR="001F5D05">
        <w:t xml:space="preserve"> NSW 2001</w:t>
      </w:r>
      <w:r w:rsidR="00862E63" w:rsidRPr="005C0ACC">
        <w:t xml:space="preserve"> Australia</w:t>
      </w:r>
    </w:p>
    <w:p w14:paraId="48994BC3" w14:textId="77777777" w:rsidR="00862E63" w:rsidRPr="005C0ACC" w:rsidRDefault="006110AE" w:rsidP="00CA5B2B">
      <w:pPr>
        <w:pStyle w:val="Copyrightpage"/>
      </w:pPr>
      <w:r>
        <w:t xml:space="preserve">Telephone: +61 2 </w:t>
      </w:r>
      <w:r w:rsidR="001F5D05">
        <w:t>6770 2300</w:t>
      </w:r>
    </w:p>
    <w:p w14:paraId="3BFC4D2F" w14:textId="77777777" w:rsidR="00862E63" w:rsidRPr="005C0ACC" w:rsidRDefault="00862E63" w:rsidP="00CA5B2B">
      <w:pPr>
        <w:pStyle w:val="Copyrightpage"/>
        <w:rPr>
          <w:color w:val="0000FF"/>
          <w:u w:val="single"/>
        </w:rPr>
      </w:pPr>
      <w:r w:rsidRPr="005C0ACC">
        <w:t xml:space="preserve">Email: </w:t>
      </w:r>
      <w:hyperlink r:id="rId18" w:history="1">
        <w:r w:rsidRPr="005C0ACC">
          <w:rPr>
            <w:color w:val="0000FF"/>
            <w:u w:val="single"/>
          </w:rPr>
          <w:t>communications@apvma.gov.au</w:t>
        </w:r>
      </w:hyperlink>
      <w:r>
        <w:rPr>
          <w:color w:val="0000FF"/>
          <w:u w:val="single"/>
        </w:rPr>
        <w:t>.</w:t>
      </w:r>
    </w:p>
    <w:p w14:paraId="358F530D" w14:textId="48F05AB2" w:rsidR="002E20AC" w:rsidRPr="007F6D92" w:rsidRDefault="00862E63" w:rsidP="00CA5B2B">
      <w:pPr>
        <w:pStyle w:val="Copyrightpage"/>
        <w:sectPr w:rsidR="002E20AC" w:rsidRPr="007F6D92" w:rsidSect="008C5C0D">
          <w:pgSz w:w="11906" w:h="16838" w:code="9"/>
          <w:pgMar w:top="2127" w:right="1134" w:bottom="1134" w:left="1134" w:header="1701" w:footer="450" w:gutter="0"/>
          <w:pgNumType w:fmt="lowerRoman"/>
          <w:cols w:space="708"/>
          <w:docGrid w:linePitch="360"/>
        </w:sectPr>
      </w:pPr>
      <w:r w:rsidRPr="005C0ACC">
        <w:t>This publication is a</w:t>
      </w:r>
      <w:r w:rsidR="00AA68EC">
        <w:t xml:space="preserve">vailable from the </w:t>
      </w:r>
      <w:hyperlink r:id="rId19" w:history="1">
        <w:r w:rsidR="00AA68EC" w:rsidRPr="00AA68EC">
          <w:rPr>
            <w:rStyle w:val="Hyperlink"/>
          </w:rPr>
          <w:t>APVMA website</w:t>
        </w:r>
      </w:hyperlink>
      <w:r w:rsidRPr="005C0ACC">
        <w:t>.</w:t>
      </w:r>
      <w:bookmarkEnd w:id="0"/>
    </w:p>
    <w:p w14:paraId="5671F7D5" w14:textId="77777777" w:rsidR="000D124E" w:rsidRDefault="002E20AC" w:rsidP="00CA5B2B">
      <w:pPr>
        <w:pStyle w:val="ToCH1"/>
        <w:rPr>
          <w:rFonts w:ascii="Trebuchet MS" w:hAnsi="Trebuchet MS"/>
          <w:caps/>
          <w:noProof/>
          <w:sz w:val="19"/>
          <w:szCs w:val="30"/>
        </w:rPr>
      </w:pPr>
      <w:r>
        <w:lastRenderedPageBreak/>
        <w:t>Contents</w:t>
      </w:r>
    </w:p>
    <w:p w14:paraId="6BC8B299" w14:textId="7900D791" w:rsidR="00F07CAD" w:rsidRDefault="000D124E">
      <w:pPr>
        <w:pStyle w:val="TOC1"/>
        <w:rPr>
          <w:rFonts w:asciiTheme="minorHAnsi" w:eastAsiaTheme="minorEastAsia" w:hAnsiTheme="minorHAnsi" w:cstheme="minorBidi"/>
          <w:bCs w:val="0"/>
          <w:color w:val="auto"/>
          <w:kern w:val="0"/>
          <w:sz w:val="22"/>
          <w:szCs w:val="22"/>
          <w:lang w:eastAsia="en-AU"/>
        </w:rPr>
      </w:pPr>
      <w:r>
        <w:rPr>
          <w:sz w:val="16"/>
          <w:szCs w:val="16"/>
          <w:lang w:eastAsia="en-AU"/>
        </w:rPr>
        <w:fldChar w:fldCharType="begin"/>
      </w:r>
      <w:r>
        <w:rPr>
          <w:sz w:val="16"/>
          <w:szCs w:val="16"/>
          <w:lang w:eastAsia="en-AU"/>
        </w:rPr>
        <w:instrText xml:space="preserve"> TOC \o "1-2" \h \z \u </w:instrText>
      </w:r>
      <w:r>
        <w:rPr>
          <w:sz w:val="16"/>
          <w:szCs w:val="16"/>
          <w:lang w:eastAsia="en-AU"/>
        </w:rPr>
        <w:fldChar w:fldCharType="separate"/>
      </w:r>
      <w:hyperlink w:anchor="_Toc137198143" w:history="1">
        <w:r w:rsidR="00F07CAD" w:rsidRPr="00E71F82">
          <w:rPr>
            <w:rStyle w:val="Hyperlink"/>
          </w:rPr>
          <w:t>Preface</w:t>
        </w:r>
        <w:r w:rsidR="00F07CAD">
          <w:rPr>
            <w:webHidden/>
          </w:rPr>
          <w:tab/>
        </w:r>
        <w:r w:rsidR="00F07CAD">
          <w:rPr>
            <w:webHidden/>
          </w:rPr>
          <w:fldChar w:fldCharType="begin"/>
        </w:r>
        <w:r w:rsidR="00F07CAD">
          <w:rPr>
            <w:webHidden/>
          </w:rPr>
          <w:instrText xml:space="preserve"> PAGEREF _Toc137198143 \h </w:instrText>
        </w:r>
        <w:r w:rsidR="00F07CAD">
          <w:rPr>
            <w:webHidden/>
          </w:rPr>
        </w:r>
        <w:r w:rsidR="00F07CAD">
          <w:rPr>
            <w:webHidden/>
          </w:rPr>
          <w:fldChar w:fldCharType="separate"/>
        </w:r>
        <w:r w:rsidR="00F07CAD">
          <w:rPr>
            <w:webHidden/>
          </w:rPr>
          <w:t>1</w:t>
        </w:r>
        <w:r w:rsidR="00F07CAD">
          <w:rPr>
            <w:webHidden/>
          </w:rPr>
          <w:fldChar w:fldCharType="end"/>
        </w:r>
      </w:hyperlink>
    </w:p>
    <w:p w14:paraId="0D787D6A" w14:textId="558DE8CF" w:rsidR="00F07CAD" w:rsidRDefault="00F07CAD">
      <w:pPr>
        <w:pStyle w:val="TOC2"/>
        <w:rPr>
          <w:rFonts w:asciiTheme="minorHAnsi" w:eastAsiaTheme="minorEastAsia" w:hAnsiTheme="minorHAnsi" w:cstheme="minorBidi"/>
          <w:b w:val="0"/>
          <w:color w:val="auto"/>
          <w:sz w:val="22"/>
          <w:szCs w:val="22"/>
          <w:lang w:eastAsia="en-AU"/>
        </w:rPr>
      </w:pPr>
      <w:hyperlink w:anchor="_Toc137198144" w:history="1">
        <w:r w:rsidRPr="00E71F82">
          <w:rPr>
            <w:rStyle w:val="Hyperlink"/>
          </w:rPr>
          <w:t>About this document</w:t>
        </w:r>
        <w:r>
          <w:rPr>
            <w:webHidden/>
          </w:rPr>
          <w:tab/>
        </w:r>
        <w:r>
          <w:rPr>
            <w:webHidden/>
          </w:rPr>
          <w:fldChar w:fldCharType="begin"/>
        </w:r>
        <w:r>
          <w:rPr>
            <w:webHidden/>
          </w:rPr>
          <w:instrText xml:space="preserve"> PAGEREF _Toc137198144 \h </w:instrText>
        </w:r>
        <w:r>
          <w:rPr>
            <w:webHidden/>
          </w:rPr>
        </w:r>
        <w:r>
          <w:rPr>
            <w:webHidden/>
          </w:rPr>
          <w:fldChar w:fldCharType="separate"/>
        </w:r>
        <w:r>
          <w:rPr>
            <w:webHidden/>
          </w:rPr>
          <w:t>1</w:t>
        </w:r>
        <w:r>
          <w:rPr>
            <w:webHidden/>
          </w:rPr>
          <w:fldChar w:fldCharType="end"/>
        </w:r>
      </w:hyperlink>
    </w:p>
    <w:p w14:paraId="626FF94A" w14:textId="79E1F072" w:rsidR="00F07CAD" w:rsidRDefault="00F07CAD">
      <w:pPr>
        <w:pStyle w:val="TOC2"/>
        <w:rPr>
          <w:rFonts w:asciiTheme="minorHAnsi" w:eastAsiaTheme="minorEastAsia" w:hAnsiTheme="minorHAnsi" w:cstheme="minorBidi"/>
          <w:b w:val="0"/>
          <w:color w:val="auto"/>
          <w:sz w:val="22"/>
          <w:szCs w:val="22"/>
          <w:lang w:eastAsia="en-AU"/>
        </w:rPr>
      </w:pPr>
      <w:hyperlink w:anchor="_Toc137198145" w:history="1">
        <w:r w:rsidRPr="00E71F82">
          <w:rPr>
            <w:rStyle w:val="Hyperlink"/>
          </w:rPr>
          <w:t>Making a submission</w:t>
        </w:r>
        <w:r>
          <w:rPr>
            <w:webHidden/>
          </w:rPr>
          <w:tab/>
        </w:r>
        <w:r>
          <w:rPr>
            <w:webHidden/>
          </w:rPr>
          <w:fldChar w:fldCharType="begin"/>
        </w:r>
        <w:r>
          <w:rPr>
            <w:webHidden/>
          </w:rPr>
          <w:instrText xml:space="preserve"> PAGEREF _Toc137198145 \h </w:instrText>
        </w:r>
        <w:r>
          <w:rPr>
            <w:webHidden/>
          </w:rPr>
        </w:r>
        <w:r>
          <w:rPr>
            <w:webHidden/>
          </w:rPr>
          <w:fldChar w:fldCharType="separate"/>
        </w:r>
        <w:r>
          <w:rPr>
            <w:webHidden/>
          </w:rPr>
          <w:t>1</w:t>
        </w:r>
        <w:r>
          <w:rPr>
            <w:webHidden/>
          </w:rPr>
          <w:fldChar w:fldCharType="end"/>
        </w:r>
      </w:hyperlink>
    </w:p>
    <w:p w14:paraId="7CBB650B" w14:textId="3E0F7C4C" w:rsidR="00F07CAD" w:rsidRDefault="00F07CAD">
      <w:pPr>
        <w:pStyle w:val="TOC2"/>
        <w:rPr>
          <w:rFonts w:asciiTheme="minorHAnsi" w:eastAsiaTheme="minorEastAsia" w:hAnsiTheme="minorHAnsi" w:cstheme="minorBidi"/>
          <w:b w:val="0"/>
          <w:color w:val="auto"/>
          <w:sz w:val="22"/>
          <w:szCs w:val="22"/>
          <w:lang w:eastAsia="en-AU"/>
        </w:rPr>
      </w:pPr>
      <w:hyperlink w:anchor="_Toc137198146" w:history="1">
        <w:r w:rsidRPr="00E71F82">
          <w:rPr>
            <w:rStyle w:val="Hyperlink"/>
          </w:rPr>
          <w:t>Further information</w:t>
        </w:r>
        <w:r>
          <w:rPr>
            <w:webHidden/>
          </w:rPr>
          <w:tab/>
        </w:r>
        <w:r>
          <w:rPr>
            <w:webHidden/>
          </w:rPr>
          <w:fldChar w:fldCharType="begin"/>
        </w:r>
        <w:r>
          <w:rPr>
            <w:webHidden/>
          </w:rPr>
          <w:instrText xml:space="preserve"> PAGEREF _Toc137198146 \h </w:instrText>
        </w:r>
        <w:r>
          <w:rPr>
            <w:webHidden/>
          </w:rPr>
        </w:r>
        <w:r>
          <w:rPr>
            <w:webHidden/>
          </w:rPr>
          <w:fldChar w:fldCharType="separate"/>
        </w:r>
        <w:r>
          <w:rPr>
            <w:webHidden/>
          </w:rPr>
          <w:t>2</w:t>
        </w:r>
        <w:r>
          <w:rPr>
            <w:webHidden/>
          </w:rPr>
          <w:fldChar w:fldCharType="end"/>
        </w:r>
      </w:hyperlink>
    </w:p>
    <w:p w14:paraId="3C205D0B" w14:textId="5180FEC0"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47" w:history="1">
        <w:r w:rsidRPr="00E71F82">
          <w:rPr>
            <w:rStyle w:val="Hyperlink"/>
          </w:rPr>
          <w:t>Introduction</w:t>
        </w:r>
        <w:r>
          <w:rPr>
            <w:webHidden/>
          </w:rPr>
          <w:tab/>
        </w:r>
        <w:r>
          <w:rPr>
            <w:webHidden/>
          </w:rPr>
          <w:fldChar w:fldCharType="begin"/>
        </w:r>
        <w:r>
          <w:rPr>
            <w:webHidden/>
          </w:rPr>
          <w:instrText xml:space="preserve"> PAGEREF _Toc137198147 \h </w:instrText>
        </w:r>
        <w:r>
          <w:rPr>
            <w:webHidden/>
          </w:rPr>
        </w:r>
        <w:r>
          <w:rPr>
            <w:webHidden/>
          </w:rPr>
          <w:fldChar w:fldCharType="separate"/>
        </w:r>
        <w:r>
          <w:rPr>
            <w:webHidden/>
          </w:rPr>
          <w:t>3</w:t>
        </w:r>
        <w:r>
          <w:rPr>
            <w:webHidden/>
          </w:rPr>
          <w:fldChar w:fldCharType="end"/>
        </w:r>
      </w:hyperlink>
    </w:p>
    <w:p w14:paraId="409E4730" w14:textId="12C9433D" w:rsidR="00F07CAD" w:rsidRDefault="00F07CAD">
      <w:pPr>
        <w:pStyle w:val="TOC2"/>
        <w:rPr>
          <w:rFonts w:asciiTheme="minorHAnsi" w:eastAsiaTheme="minorEastAsia" w:hAnsiTheme="minorHAnsi" w:cstheme="minorBidi"/>
          <w:b w:val="0"/>
          <w:color w:val="auto"/>
          <w:sz w:val="22"/>
          <w:szCs w:val="22"/>
          <w:lang w:eastAsia="en-AU"/>
        </w:rPr>
      </w:pPr>
      <w:hyperlink w:anchor="_Toc137198148" w:history="1">
        <w:r w:rsidRPr="00E71F82">
          <w:rPr>
            <w:rStyle w:val="Hyperlink"/>
          </w:rPr>
          <w:t>Applicant</w:t>
        </w:r>
        <w:r>
          <w:rPr>
            <w:webHidden/>
          </w:rPr>
          <w:tab/>
        </w:r>
        <w:r>
          <w:rPr>
            <w:webHidden/>
          </w:rPr>
          <w:fldChar w:fldCharType="begin"/>
        </w:r>
        <w:r>
          <w:rPr>
            <w:webHidden/>
          </w:rPr>
          <w:instrText xml:space="preserve"> PAGEREF _Toc137198148 \h </w:instrText>
        </w:r>
        <w:r>
          <w:rPr>
            <w:webHidden/>
          </w:rPr>
        </w:r>
        <w:r>
          <w:rPr>
            <w:webHidden/>
          </w:rPr>
          <w:fldChar w:fldCharType="separate"/>
        </w:r>
        <w:r>
          <w:rPr>
            <w:webHidden/>
          </w:rPr>
          <w:t>3</w:t>
        </w:r>
        <w:r>
          <w:rPr>
            <w:webHidden/>
          </w:rPr>
          <w:fldChar w:fldCharType="end"/>
        </w:r>
      </w:hyperlink>
    </w:p>
    <w:p w14:paraId="131DCE43" w14:textId="06C973CF" w:rsidR="00F07CAD" w:rsidRDefault="00F07CAD">
      <w:pPr>
        <w:pStyle w:val="TOC2"/>
        <w:rPr>
          <w:rFonts w:asciiTheme="minorHAnsi" w:eastAsiaTheme="minorEastAsia" w:hAnsiTheme="minorHAnsi" w:cstheme="minorBidi"/>
          <w:b w:val="0"/>
          <w:color w:val="auto"/>
          <w:sz w:val="22"/>
          <w:szCs w:val="22"/>
          <w:lang w:eastAsia="en-AU"/>
        </w:rPr>
      </w:pPr>
      <w:hyperlink w:anchor="_Toc137198149" w:history="1">
        <w:r w:rsidRPr="00E71F82">
          <w:rPr>
            <w:rStyle w:val="Hyperlink"/>
          </w:rPr>
          <w:t>Purpose of application</w:t>
        </w:r>
        <w:r>
          <w:rPr>
            <w:webHidden/>
          </w:rPr>
          <w:tab/>
        </w:r>
        <w:r>
          <w:rPr>
            <w:webHidden/>
          </w:rPr>
          <w:fldChar w:fldCharType="begin"/>
        </w:r>
        <w:r>
          <w:rPr>
            <w:webHidden/>
          </w:rPr>
          <w:instrText xml:space="preserve"> PAGEREF _Toc137198149 \h </w:instrText>
        </w:r>
        <w:r>
          <w:rPr>
            <w:webHidden/>
          </w:rPr>
        </w:r>
        <w:r>
          <w:rPr>
            <w:webHidden/>
          </w:rPr>
          <w:fldChar w:fldCharType="separate"/>
        </w:r>
        <w:r>
          <w:rPr>
            <w:webHidden/>
          </w:rPr>
          <w:t>3</w:t>
        </w:r>
        <w:r>
          <w:rPr>
            <w:webHidden/>
          </w:rPr>
          <w:fldChar w:fldCharType="end"/>
        </w:r>
      </w:hyperlink>
    </w:p>
    <w:p w14:paraId="797EA14D" w14:textId="04D4C96D" w:rsidR="00F07CAD" w:rsidRDefault="00F07CAD">
      <w:pPr>
        <w:pStyle w:val="TOC2"/>
        <w:rPr>
          <w:rFonts w:asciiTheme="minorHAnsi" w:eastAsiaTheme="minorEastAsia" w:hAnsiTheme="minorHAnsi" w:cstheme="minorBidi"/>
          <w:b w:val="0"/>
          <w:color w:val="auto"/>
          <w:sz w:val="22"/>
          <w:szCs w:val="22"/>
          <w:lang w:eastAsia="en-AU"/>
        </w:rPr>
      </w:pPr>
      <w:hyperlink w:anchor="_Toc137198150" w:history="1">
        <w:r w:rsidRPr="00E71F82">
          <w:rPr>
            <w:rStyle w:val="Hyperlink"/>
          </w:rPr>
          <w:t>Proposed claims and use pattern</w:t>
        </w:r>
        <w:r>
          <w:rPr>
            <w:webHidden/>
          </w:rPr>
          <w:tab/>
        </w:r>
        <w:r>
          <w:rPr>
            <w:webHidden/>
          </w:rPr>
          <w:fldChar w:fldCharType="begin"/>
        </w:r>
        <w:r>
          <w:rPr>
            <w:webHidden/>
          </w:rPr>
          <w:instrText xml:space="preserve"> PAGEREF _Toc137198150 \h </w:instrText>
        </w:r>
        <w:r>
          <w:rPr>
            <w:webHidden/>
          </w:rPr>
        </w:r>
        <w:r>
          <w:rPr>
            <w:webHidden/>
          </w:rPr>
          <w:fldChar w:fldCharType="separate"/>
        </w:r>
        <w:r>
          <w:rPr>
            <w:webHidden/>
          </w:rPr>
          <w:t>3</w:t>
        </w:r>
        <w:r>
          <w:rPr>
            <w:webHidden/>
          </w:rPr>
          <w:fldChar w:fldCharType="end"/>
        </w:r>
      </w:hyperlink>
    </w:p>
    <w:p w14:paraId="09FEF353" w14:textId="080652DD" w:rsidR="00F07CAD" w:rsidRDefault="00F07CAD">
      <w:pPr>
        <w:pStyle w:val="TOC2"/>
        <w:rPr>
          <w:rFonts w:asciiTheme="minorHAnsi" w:eastAsiaTheme="minorEastAsia" w:hAnsiTheme="minorHAnsi" w:cstheme="minorBidi"/>
          <w:b w:val="0"/>
          <w:color w:val="auto"/>
          <w:sz w:val="22"/>
          <w:szCs w:val="22"/>
          <w:lang w:eastAsia="en-AU"/>
        </w:rPr>
      </w:pPr>
      <w:hyperlink w:anchor="_Toc137198151" w:history="1">
        <w:r w:rsidRPr="00E71F82">
          <w:rPr>
            <w:rStyle w:val="Hyperlink"/>
          </w:rPr>
          <w:t>Mode of action</w:t>
        </w:r>
        <w:r>
          <w:rPr>
            <w:webHidden/>
          </w:rPr>
          <w:tab/>
        </w:r>
        <w:r>
          <w:rPr>
            <w:webHidden/>
          </w:rPr>
          <w:fldChar w:fldCharType="begin"/>
        </w:r>
        <w:r>
          <w:rPr>
            <w:webHidden/>
          </w:rPr>
          <w:instrText xml:space="preserve"> PAGEREF _Toc137198151 \h </w:instrText>
        </w:r>
        <w:r>
          <w:rPr>
            <w:webHidden/>
          </w:rPr>
        </w:r>
        <w:r>
          <w:rPr>
            <w:webHidden/>
          </w:rPr>
          <w:fldChar w:fldCharType="separate"/>
        </w:r>
        <w:r>
          <w:rPr>
            <w:webHidden/>
          </w:rPr>
          <w:t>3</w:t>
        </w:r>
        <w:r>
          <w:rPr>
            <w:webHidden/>
          </w:rPr>
          <w:fldChar w:fldCharType="end"/>
        </w:r>
      </w:hyperlink>
    </w:p>
    <w:p w14:paraId="14C95D72" w14:textId="554F14C0" w:rsidR="00F07CAD" w:rsidRDefault="00F07CAD">
      <w:pPr>
        <w:pStyle w:val="TOC2"/>
        <w:rPr>
          <w:rFonts w:asciiTheme="minorHAnsi" w:eastAsiaTheme="minorEastAsia" w:hAnsiTheme="minorHAnsi" w:cstheme="minorBidi"/>
          <w:b w:val="0"/>
          <w:color w:val="auto"/>
          <w:sz w:val="22"/>
          <w:szCs w:val="22"/>
          <w:lang w:eastAsia="en-AU"/>
        </w:rPr>
      </w:pPr>
      <w:hyperlink w:anchor="_Toc137198152" w:history="1">
        <w:r w:rsidRPr="00E71F82">
          <w:rPr>
            <w:rStyle w:val="Hyperlink"/>
            <w:iCs/>
          </w:rPr>
          <w:t>O</w:t>
        </w:r>
        <w:r w:rsidRPr="00E71F82">
          <w:rPr>
            <w:rStyle w:val="Hyperlink"/>
          </w:rPr>
          <w:t>verseas registrations</w:t>
        </w:r>
        <w:r>
          <w:rPr>
            <w:webHidden/>
          </w:rPr>
          <w:tab/>
        </w:r>
        <w:r>
          <w:rPr>
            <w:webHidden/>
          </w:rPr>
          <w:fldChar w:fldCharType="begin"/>
        </w:r>
        <w:r>
          <w:rPr>
            <w:webHidden/>
          </w:rPr>
          <w:instrText xml:space="preserve"> PAGEREF _Toc137198152 \h </w:instrText>
        </w:r>
        <w:r>
          <w:rPr>
            <w:webHidden/>
          </w:rPr>
        </w:r>
        <w:r>
          <w:rPr>
            <w:webHidden/>
          </w:rPr>
          <w:fldChar w:fldCharType="separate"/>
        </w:r>
        <w:r>
          <w:rPr>
            <w:webHidden/>
          </w:rPr>
          <w:t>4</w:t>
        </w:r>
        <w:r>
          <w:rPr>
            <w:webHidden/>
          </w:rPr>
          <w:fldChar w:fldCharType="end"/>
        </w:r>
      </w:hyperlink>
    </w:p>
    <w:p w14:paraId="0C128AED" w14:textId="5CDE659F"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53" w:history="1">
        <w:r w:rsidRPr="00E71F82">
          <w:rPr>
            <w:rStyle w:val="Hyperlink"/>
          </w:rPr>
          <w:t>Chemistry and manufacture</w:t>
        </w:r>
        <w:r>
          <w:rPr>
            <w:webHidden/>
          </w:rPr>
          <w:tab/>
        </w:r>
        <w:r>
          <w:rPr>
            <w:webHidden/>
          </w:rPr>
          <w:fldChar w:fldCharType="begin"/>
        </w:r>
        <w:r>
          <w:rPr>
            <w:webHidden/>
          </w:rPr>
          <w:instrText xml:space="preserve"> PAGEREF _Toc137198153 \h </w:instrText>
        </w:r>
        <w:r>
          <w:rPr>
            <w:webHidden/>
          </w:rPr>
        </w:r>
        <w:r>
          <w:rPr>
            <w:webHidden/>
          </w:rPr>
          <w:fldChar w:fldCharType="separate"/>
        </w:r>
        <w:r>
          <w:rPr>
            <w:webHidden/>
          </w:rPr>
          <w:t>5</w:t>
        </w:r>
        <w:r>
          <w:rPr>
            <w:webHidden/>
          </w:rPr>
          <w:fldChar w:fldCharType="end"/>
        </w:r>
      </w:hyperlink>
    </w:p>
    <w:p w14:paraId="3E685587" w14:textId="561D2F95" w:rsidR="00F07CAD" w:rsidRDefault="00F07CAD">
      <w:pPr>
        <w:pStyle w:val="TOC2"/>
        <w:rPr>
          <w:rFonts w:asciiTheme="minorHAnsi" w:eastAsiaTheme="minorEastAsia" w:hAnsiTheme="minorHAnsi" w:cstheme="minorBidi"/>
          <w:b w:val="0"/>
          <w:color w:val="auto"/>
          <w:sz w:val="22"/>
          <w:szCs w:val="22"/>
          <w:lang w:eastAsia="en-AU"/>
        </w:rPr>
      </w:pPr>
      <w:hyperlink w:anchor="_Toc137198154" w:history="1">
        <w:r w:rsidRPr="00E71F82">
          <w:rPr>
            <w:rStyle w:val="Hyperlink"/>
          </w:rPr>
          <w:t>Active constituent</w:t>
        </w:r>
        <w:r>
          <w:rPr>
            <w:webHidden/>
          </w:rPr>
          <w:tab/>
        </w:r>
        <w:r>
          <w:rPr>
            <w:webHidden/>
          </w:rPr>
          <w:fldChar w:fldCharType="begin"/>
        </w:r>
        <w:r>
          <w:rPr>
            <w:webHidden/>
          </w:rPr>
          <w:instrText xml:space="preserve"> PAGEREF _Toc137198154 \h </w:instrText>
        </w:r>
        <w:r>
          <w:rPr>
            <w:webHidden/>
          </w:rPr>
        </w:r>
        <w:r>
          <w:rPr>
            <w:webHidden/>
          </w:rPr>
          <w:fldChar w:fldCharType="separate"/>
        </w:r>
        <w:r>
          <w:rPr>
            <w:webHidden/>
          </w:rPr>
          <w:t>5</w:t>
        </w:r>
        <w:r>
          <w:rPr>
            <w:webHidden/>
          </w:rPr>
          <w:fldChar w:fldCharType="end"/>
        </w:r>
      </w:hyperlink>
    </w:p>
    <w:p w14:paraId="43A5F50F" w14:textId="6D728375" w:rsidR="00F07CAD" w:rsidRDefault="00F07CAD">
      <w:pPr>
        <w:pStyle w:val="TOC2"/>
        <w:rPr>
          <w:rFonts w:asciiTheme="minorHAnsi" w:eastAsiaTheme="minorEastAsia" w:hAnsiTheme="minorHAnsi" w:cstheme="minorBidi"/>
          <w:b w:val="0"/>
          <w:color w:val="auto"/>
          <w:sz w:val="22"/>
          <w:szCs w:val="22"/>
          <w:lang w:eastAsia="en-AU"/>
        </w:rPr>
      </w:pPr>
      <w:hyperlink w:anchor="_Toc137198155" w:history="1">
        <w:r w:rsidRPr="00E71F82">
          <w:rPr>
            <w:rStyle w:val="Hyperlink"/>
          </w:rPr>
          <w:t>Formulated product</w:t>
        </w:r>
        <w:r>
          <w:rPr>
            <w:webHidden/>
          </w:rPr>
          <w:tab/>
        </w:r>
        <w:r>
          <w:rPr>
            <w:webHidden/>
          </w:rPr>
          <w:fldChar w:fldCharType="begin"/>
        </w:r>
        <w:r>
          <w:rPr>
            <w:webHidden/>
          </w:rPr>
          <w:instrText xml:space="preserve"> PAGEREF _Toc137198155 \h </w:instrText>
        </w:r>
        <w:r>
          <w:rPr>
            <w:webHidden/>
          </w:rPr>
        </w:r>
        <w:r>
          <w:rPr>
            <w:webHidden/>
          </w:rPr>
          <w:fldChar w:fldCharType="separate"/>
        </w:r>
        <w:r>
          <w:rPr>
            <w:webHidden/>
          </w:rPr>
          <w:t>7</w:t>
        </w:r>
        <w:r>
          <w:rPr>
            <w:webHidden/>
          </w:rPr>
          <w:fldChar w:fldCharType="end"/>
        </w:r>
      </w:hyperlink>
    </w:p>
    <w:p w14:paraId="50B71232" w14:textId="2AC4911C" w:rsidR="00F07CAD" w:rsidRDefault="00F07CAD">
      <w:pPr>
        <w:pStyle w:val="TOC2"/>
        <w:rPr>
          <w:rFonts w:asciiTheme="minorHAnsi" w:eastAsiaTheme="minorEastAsia" w:hAnsiTheme="minorHAnsi" w:cstheme="minorBidi"/>
          <w:b w:val="0"/>
          <w:color w:val="auto"/>
          <w:sz w:val="22"/>
          <w:szCs w:val="22"/>
          <w:lang w:eastAsia="en-AU"/>
        </w:rPr>
      </w:pPr>
      <w:hyperlink w:anchor="_Toc137198156" w:history="1">
        <w:r w:rsidRPr="00E71F82">
          <w:rPr>
            <w:rStyle w:val="Hyperlink"/>
          </w:rPr>
          <w:t>Recommendations</w:t>
        </w:r>
        <w:r>
          <w:rPr>
            <w:webHidden/>
          </w:rPr>
          <w:tab/>
        </w:r>
        <w:r>
          <w:rPr>
            <w:webHidden/>
          </w:rPr>
          <w:fldChar w:fldCharType="begin"/>
        </w:r>
        <w:r>
          <w:rPr>
            <w:webHidden/>
          </w:rPr>
          <w:instrText xml:space="preserve"> PAGEREF _Toc137198156 \h </w:instrText>
        </w:r>
        <w:r>
          <w:rPr>
            <w:webHidden/>
          </w:rPr>
        </w:r>
        <w:r>
          <w:rPr>
            <w:webHidden/>
          </w:rPr>
          <w:fldChar w:fldCharType="separate"/>
        </w:r>
        <w:r>
          <w:rPr>
            <w:webHidden/>
          </w:rPr>
          <w:t>8</w:t>
        </w:r>
        <w:r>
          <w:rPr>
            <w:webHidden/>
          </w:rPr>
          <w:fldChar w:fldCharType="end"/>
        </w:r>
      </w:hyperlink>
    </w:p>
    <w:p w14:paraId="1A41E886" w14:textId="1BAF4172"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57" w:history="1">
        <w:r w:rsidRPr="00E71F82">
          <w:rPr>
            <w:rStyle w:val="Hyperlink"/>
          </w:rPr>
          <w:t>Toxicological assessment</w:t>
        </w:r>
        <w:r>
          <w:rPr>
            <w:webHidden/>
          </w:rPr>
          <w:tab/>
        </w:r>
        <w:r>
          <w:rPr>
            <w:webHidden/>
          </w:rPr>
          <w:fldChar w:fldCharType="begin"/>
        </w:r>
        <w:r>
          <w:rPr>
            <w:webHidden/>
          </w:rPr>
          <w:instrText xml:space="preserve"> PAGEREF _Toc137198157 \h </w:instrText>
        </w:r>
        <w:r>
          <w:rPr>
            <w:webHidden/>
          </w:rPr>
        </w:r>
        <w:r>
          <w:rPr>
            <w:webHidden/>
          </w:rPr>
          <w:fldChar w:fldCharType="separate"/>
        </w:r>
        <w:r>
          <w:rPr>
            <w:webHidden/>
          </w:rPr>
          <w:t>9</w:t>
        </w:r>
        <w:r>
          <w:rPr>
            <w:webHidden/>
          </w:rPr>
          <w:fldChar w:fldCharType="end"/>
        </w:r>
      </w:hyperlink>
    </w:p>
    <w:p w14:paraId="6D8226C8" w14:textId="521476F2" w:rsidR="00F07CAD" w:rsidRDefault="00F07CAD">
      <w:pPr>
        <w:pStyle w:val="TOC2"/>
        <w:rPr>
          <w:rFonts w:asciiTheme="minorHAnsi" w:eastAsiaTheme="minorEastAsia" w:hAnsiTheme="minorHAnsi" w:cstheme="minorBidi"/>
          <w:b w:val="0"/>
          <w:color w:val="auto"/>
          <w:sz w:val="22"/>
          <w:szCs w:val="22"/>
          <w:lang w:eastAsia="en-AU"/>
        </w:rPr>
      </w:pPr>
      <w:hyperlink w:anchor="_Toc137198158" w:history="1">
        <w:r w:rsidRPr="00E71F82">
          <w:rPr>
            <w:rStyle w:val="Hyperlink"/>
          </w:rPr>
          <w:t>Evaluation of toxicology</w:t>
        </w:r>
        <w:r>
          <w:rPr>
            <w:webHidden/>
          </w:rPr>
          <w:tab/>
        </w:r>
        <w:r>
          <w:rPr>
            <w:webHidden/>
          </w:rPr>
          <w:fldChar w:fldCharType="begin"/>
        </w:r>
        <w:r>
          <w:rPr>
            <w:webHidden/>
          </w:rPr>
          <w:instrText xml:space="preserve"> PAGEREF _Toc137198158 \h </w:instrText>
        </w:r>
        <w:r>
          <w:rPr>
            <w:webHidden/>
          </w:rPr>
        </w:r>
        <w:r>
          <w:rPr>
            <w:webHidden/>
          </w:rPr>
          <w:fldChar w:fldCharType="separate"/>
        </w:r>
        <w:r>
          <w:rPr>
            <w:webHidden/>
          </w:rPr>
          <w:t>9</w:t>
        </w:r>
        <w:r>
          <w:rPr>
            <w:webHidden/>
          </w:rPr>
          <w:fldChar w:fldCharType="end"/>
        </w:r>
      </w:hyperlink>
    </w:p>
    <w:p w14:paraId="3516B926" w14:textId="17496DF8" w:rsidR="00F07CAD" w:rsidRDefault="00F07CAD">
      <w:pPr>
        <w:pStyle w:val="TOC2"/>
        <w:rPr>
          <w:rFonts w:asciiTheme="minorHAnsi" w:eastAsiaTheme="minorEastAsia" w:hAnsiTheme="minorHAnsi" w:cstheme="minorBidi"/>
          <w:b w:val="0"/>
          <w:color w:val="auto"/>
          <w:sz w:val="22"/>
          <w:szCs w:val="22"/>
          <w:lang w:eastAsia="en-AU"/>
        </w:rPr>
      </w:pPr>
      <w:hyperlink w:anchor="_Toc137198159" w:history="1">
        <w:r w:rsidRPr="00E71F82">
          <w:rPr>
            <w:rStyle w:val="Hyperlink"/>
          </w:rPr>
          <w:t>Health-based guidance values and poisons scheduling</w:t>
        </w:r>
        <w:r>
          <w:rPr>
            <w:webHidden/>
          </w:rPr>
          <w:tab/>
        </w:r>
        <w:r>
          <w:rPr>
            <w:webHidden/>
          </w:rPr>
          <w:fldChar w:fldCharType="begin"/>
        </w:r>
        <w:r>
          <w:rPr>
            <w:webHidden/>
          </w:rPr>
          <w:instrText xml:space="preserve"> PAGEREF _Toc137198159 \h </w:instrText>
        </w:r>
        <w:r>
          <w:rPr>
            <w:webHidden/>
          </w:rPr>
        </w:r>
        <w:r>
          <w:rPr>
            <w:webHidden/>
          </w:rPr>
          <w:fldChar w:fldCharType="separate"/>
        </w:r>
        <w:r>
          <w:rPr>
            <w:webHidden/>
          </w:rPr>
          <w:t>15</w:t>
        </w:r>
        <w:r>
          <w:rPr>
            <w:webHidden/>
          </w:rPr>
          <w:fldChar w:fldCharType="end"/>
        </w:r>
      </w:hyperlink>
    </w:p>
    <w:p w14:paraId="43C9AF43" w14:textId="7C5C6518" w:rsidR="00F07CAD" w:rsidRDefault="00F07CAD">
      <w:pPr>
        <w:pStyle w:val="TOC2"/>
        <w:rPr>
          <w:rFonts w:asciiTheme="minorHAnsi" w:eastAsiaTheme="minorEastAsia" w:hAnsiTheme="minorHAnsi" w:cstheme="minorBidi"/>
          <w:b w:val="0"/>
          <w:color w:val="auto"/>
          <w:sz w:val="22"/>
          <w:szCs w:val="22"/>
          <w:lang w:eastAsia="en-AU"/>
        </w:rPr>
      </w:pPr>
      <w:hyperlink w:anchor="_Toc137198160" w:history="1">
        <w:r w:rsidRPr="00E71F82">
          <w:rPr>
            <w:rStyle w:val="Hyperlink"/>
          </w:rPr>
          <w:t>Recommendations</w:t>
        </w:r>
        <w:r>
          <w:rPr>
            <w:webHidden/>
          </w:rPr>
          <w:tab/>
        </w:r>
        <w:r>
          <w:rPr>
            <w:webHidden/>
          </w:rPr>
          <w:fldChar w:fldCharType="begin"/>
        </w:r>
        <w:r>
          <w:rPr>
            <w:webHidden/>
          </w:rPr>
          <w:instrText xml:space="preserve"> PAGEREF _Toc137198160 \h </w:instrText>
        </w:r>
        <w:r>
          <w:rPr>
            <w:webHidden/>
          </w:rPr>
        </w:r>
        <w:r>
          <w:rPr>
            <w:webHidden/>
          </w:rPr>
          <w:fldChar w:fldCharType="separate"/>
        </w:r>
        <w:r>
          <w:rPr>
            <w:webHidden/>
          </w:rPr>
          <w:t>16</w:t>
        </w:r>
        <w:r>
          <w:rPr>
            <w:webHidden/>
          </w:rPr>
          <w:fldChar w:fldCharType="end"/>
        </w:r>
      </w:hyperlink>
    </w:p>
    <w:p w14:paraId="2B55699E" w14:textId="7FE7B959"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61" w:history="1">
        <w:r w:rsidRPr="00E71F82">
          <w:rPr>
            <w:rStyle w:val="Hyperlink"/>
            <w:lang w:val="en-GB"/>
          </w:rPr>
          <w:t>Residues assessment</w:t>
        </w:r>
        <w:r>
          <w:rPr>
            <w:webHidden/>
          </w:rPr>
          <w:tab/>
        </w:r>
        <w:r>
          <w:rPr>
            <w:webHidden/>
          </w:rPr>
          <w:fldChar w:fldCharType="begin"/>
        </w:r>
        <w:r>
          <w:rPr>
            <w:webHidden/>
          </w:rPr>
          <w:instrText xml:space="preserve"> PAGEREF _Toc137198161 \h </w:instrText>
        </w:r>
        <w:r>
          <w:rPr>
            <w:webHidden/>
          </w:rPr>
        </w:r>
        <w:r>
          <w:rPr>
            <w:webHidden/>
          </w:rPr>
          <w:fldChar w:fldCharType="separate"/>
        </w:r>
        <w:r>
          <w:rPr>
            <w:webHidden/>
          </w:rPr>
          <w:t>17</w:t>
        </w:r>
        <w:r>
          <w:rPr>
            <w:webHidden/>
          </w:rPr>
          <w:fldChar w:fldCharType="end"/>
        </w:r>
      </w:hyperlink>
    </w:p>
    <w:p w14:paraId="06C1A8CB" w14:textId="2A37D2DE" w:rsidR="00F07CAD" w:rsidRDefault="00F07CAD">
      <w:pPr>
        <w:pStyle w:val="TOC2"/>
        <w:rPr>
          <w:rFonts w:asciiTheme="minorHAnsi" w:eastAsiaTheme="minorEastAsia" w:hAnsiTheme="minorHAnsi" w:cstheme="minorBidi"/>
          <w:b w:val="0"/>
          <w:color w:val="auto"/>
          <w:sz w:val="22"/>
          <w:szCs w:val="22"/>
          <w:lang w:eastAsia="en-AU"/>
        </w:rPr>
      </w:pPr>
      <w:hyperlink w:anchor="_Toc137198162" w:history="1">
        <w:r w:rsidRPr="00E71F82">
          <w:rPr>
            <w:rStyle w:val="Hyperlink"/>
            <w:lang w:val="en-GB"/>
          </w:rPr>
          <w:t>Metabolism</w:t>
        </w:r>
        <w:r>
          <w:rPr>
            <w:webHidden/>
          </w:rPr>
          <w:tab/>
        </w:r>
        <w:r>
          <w:rPr>
            <w:webHidden/>
          </w:rPr>
          <w:fldChar w:fldCharType="begin"/>
        </w:r>
        <w:r>
          <w:rPr>
            <w:webHidden/>
          </w:rPr>
          <w:instrText xml:space="preserve"> PAGEREF _Toc137198162 \h </w:instrText>
        </w:r>
        <w:r>
          <w:rPr>
            <w:webHidden/>
          </w:rPr>
        </w:r>
        <w:r>
          <w:rPr>
            <w:webHidden/>
          </w:rPr>
          <w:fldChar w:fldCharType="separate"/>
        </w:r>
        <w:r>
          <w:rPr>
            <w:webHidden/>
          </w:rPr>
          <w:t>17</w:t>
        </w:r>
        <w:r>
          <w:rPr>
            <w:webHidden/>
          </w:rPr>
          <w:fldChar w:fldCharType="end"/>
        </w:r>
      </w:hyperlink>
    </w:p>
    <w:p w14:paraId="4E7537C8" w14:textId="1C49D7E1" w:rsidR="00F07CAD" w:rsidRDefault="00F07CAD">
      <w:pPr>
        <w:pStyle w:val="TOC2"/>
        <w:rPr>
          <w:rFonts w:asciiTheme="minorHAnsi" w:eastAsiaTheme="minorEastAsia" w:hAnsiTheme="minorHAnsi" w:cstheme="minorBidi"/>
          <w:b w:val="0"/>
          <w:color w:val="auto"/>
          <w:sz w:val="22"/>
          <w:szCs w:val="22"/>
          <w:lang w:eastAsia="en-AU"/>
        </w:rPr>
      </w:pPr>
      <w:hyperlink w:anchor="_Toc137198163" w:history="1">
        <w:r w:rsidRPr="00E71F82">
          <w:rPr>
            <w:rStyle w:val="Hyperlink"/>
            <w:lang w:val="en-GB"/>
          </w:rPr>
          <w:t>Analytical methods and storage stability</w:t>
        </w:r>
        <w:r>
          <w:rPr>
            <w:webHidden/>
          </w:rPr>
          <w:tab/>
        </w:r>
        <w:r>
          <w:rPr>
            <w:webHidden/>
          </w:rPr>
          <w:fldChar w:fldCharType="begin"/>
        </w:r>
        <w:r>
          <w:rPr>
            <w:webHidden/>
          </w:rPr>
          <w:instrText xml:space="preserve"> PAGEREF _Toc137198163 \h </w:instrText>
        </w:r>
        <w:r>
          <w:rPr>
            <w:webHidden/>
          </w:rPr>
        </w:r>
        <w:r>
          <w:rPr>
            <w:webHidden/>
          </w:rPr>
          <w:fldChar w:fldCharType="separate"/>
        </w:r>
        <w:r>
          <w:rPr>
            <w:webHidden/>
          </w:rPr>
          <w:t>30</w:t>
        </w:r>
        <w:r>
          <w:rPr>
            <w:webHidden/>
          </w:rPr>
          <w:fldChar w:fldCharType="end"/>
        </w:r>
      </w:hyperlink>
    </w:p>
    <w:p w14:paraId="01E9CACD" w14:textId="20B10B52" w:rsidR="00F07CAD" w:rsidRDefault="00F07CAD">
      <w:pPr>
        <w:pStyle w:val="TOC2"/>
        <w:rPr>
          <w:rFonts w:asciiTheme="minorHAnsi" w:eastAsiaTheme="minorEastAsia" w:hAnsiTheme="minorHAnsi" w:cstheme="minorBidi"/>
          <w:b w:val="0"/>
          <w:color w:val="auto"/>
          <w:sz w:val="22"/>
          <w:szCs w:val="22"/>
          <w:lang w:eastAsia="en-AU"/>
        </w:rPr>
      </w:pPr>
      <w:hyperlink w:anchor="_Toc137198164" w:history="1">
        <w:r w:rsidRPr="00E71F82">
          <w:rPr>
            <w:rStyle w:val="Hyperlink"/>
            <w:lang w:val="en-GB"/>
          </w:rPr>
          <w:t>Residue definition</w:t>
        </w:r>
        <w:r>
          <w:rPr>
            <w:webHidden/>
          </w:rPr>
          <w:tab/>
        </w:r>
        <w:r>
          <w:rPr>
            <w:webHidden/>
          </w:rPr>
          <w:fldChar w:fldCharType="begin"/>
        </w:r>
        <w:r>
          <w:rPr>
            <w:webHidden/>
          </w:rPr>
          <w:instrText xml:space="preserve"> PAGEREF _Toc137198164 \h </w:instrText>
        </w:r>
        <w:r>
          <w:rPr>
            <w:webHidden/>
          </w:rPr>
        </w:r>
        <w:r>
          <w:rPr>
            <w:webHidden/>
          </w:rPr>
          <w:fldChar w:fldCharType="separate"/>
        </w:r>
        <w:r>
          <w:rPr>
            <w:webHidden/>
          </w:rPr>
          <w:t>30</w:t>
        </w:r>
        <w:r>
          <w:rPr>
            <w:webHidden/>
          </w:rPr>
          <w:fldChar w:fldCharType="end"/>
        </w:r>
      </w:hyperlink>
    </w:p>
    <w:p w14:paraId="0115D778" w14:textId="5600B079" w:rsidR="00F07CAD" w:rsidRDefault="00F07CAD">
      <w:pPr>
        <w:pStyle w:val="TOC2"/>
        <w:rPr>
          <w:rFonts w:asciiTheme="minorHAnsi" w:eastAsiaTheme="minorEastAsia" w:hAnsiTheme="minorHAnsi" w:cstheme="minorBidi"/>
          <w:b w:val="0"/>
          <w:color w:val="auto"/>
          <w:sz w:val="22"/>
          <w:szCs w:val="22"/>
          <w:lang w:eastAsia="en-AU"/>
        </w:rPr>
      </w:pPr>
      <w:hyperlink w:anchor="_Toc137198165" w:history="1">
        <w:r w:rsidRPr="00E71F82">
          <w:rPr>
            <w:rStyle w:val="Hyperlink"/>
            <w:lang w:val="en-GB"/>
          </w:rPr>
          <w:t>Residues in food and animal feeds</w:t>
        </w:r>
        <w:r>
          <w:rPr>
            <w:webHidden/>
          </w:rPr>
          <w:tab/>
        </w:r>
        <w:r>
          <w:rPr>
            <w:webHidden/>
          </w:rPr>
          <w:fldChar w:fldCharType="begin"/>
        </w:r>
        <w:r>
          <w:rPr>
            <w:webHidden/>
          </w:rPr>
          <w:instrText xml:space="preserve"> PAGEREF _Toc137198165 \h </w:instrText>
        </w:r>
        <w:r>
          <w:rPr>
            <w:webHidden/>
          </w:rPr>
        </w:r>
        <w:r>
          <w:rPr>
            <w:webHidden/>
          </w:rPr>
          <w:fldChar w:fldCharType="separate"/>
        </w:r>
        <w:r>
          <w:rPr>
            <w:webHidden/>
          </w:rPr>
          <w:t>31</w:t>
        </w:r>
        <w:r>
          <w:rPr>
            <w:webHidden/>
          </w:rPr>
          <w:fldChar w:fldCharType="end"/>
        </w:r>
      </w:hyperlink>
    </w:p>
    <w:p w14:paraId="3DF7C487" w14:textId="273BBE06" w:rsidR="00F07CAD" w:rsidRDefault="00F07CAD">
      <w:pPr>
        <w:pStyle w:val="TOC2"/>
        <w:rPr>
          <w:rFonts w:asciiTheme="minorHAnsi" w:eastAsiaTheme="minorEastAsia" w:hAnsiTheme="minorHAnsi" w:cstheme="minorBidi"/>
          <w:b w:val="0"/>
          <w:color w:val="auto"/>
          <w:sz w:val="22"/>
          <w:szCs w:val="22"/>
          <w:lang w:eastAsia="en-AU"/>
        </w:rPr>
      </w:pPr>
      <w:hyperlink w:anchor="_Toc137198166" w:history="1">
        <w:r w:rsidRPr="00E71F82">
          <w:rPr>
            <w:rStyle w:val="Hyperlink"/>
            <w:lang w:val="en-GB"/>
          </w:rPr>
          <w:t>Crop rotation</w:t>
        </w:r>
        <w:r>
          <w:rPr>
            <w:webHidden/>
          </w:rPr>
          <w:tab/>
        </w:r>
        <w:r>
          <w:rPr>
            <w:webHidden/>
          </w:rPr>
          <w:fldChar w:fldCharType="begin"/>
        </w:r>
        <w:r>
          <w:rPr>
            <w:webHidden/>
          </w:rPr>
          <w:instrText xml:space="preserve"> PAGEREF _Toc137198166 \h </w:instrText>
        </w:r>
        <w:r>
          <w:rPr>
            <w:webHidden/>
          </w:rPr>
        </w:r>
        <w:r>
          <w:rPr>
            <w:webHidden/>
          </w:rPr>
          <w:fldChar w:fldCharType="separate"/>
        </w:r>
        <w:r>
          <w:rPr>
            <w:webHidden/>
          </w:rPr>
          <w:t>32</w:t>
        </w:r>
        <w:r>
          <w:rPr>
            <w:webHidden/>
          </w:rPr>
          <w:fldChar w:fldCharType="end"/>
        </w:r>
      </w:hyperlink>
    </w:p>
    <w:p w14:paraId="653B46C7" w14:textId="5EC04498" w:rsidR="00F07CAD" w:rsidRDefault="00F07CAD">
      <w:pPr>
        <w:pStyle w:val="TOC2"/>
        <w:rPr>
          <w:rFonts w:asciiTheme="minorHAnsi" w:eastAsiaTheme="minorEastAsia" w:hAnsiTheme="minorHAnsi" w:cstheme="minorBidi"/>
          <w:b w:val="0"/>
          <w:color w:val="auto"/>
          <w:sz w:val="22"/>
          <w:szCs w:val="22"/>
          <w:lang w:eastAsia="en-AU"/>
        </w:rPr>
      </w:pPr>
      <w:hyperlink w:anchor="_Toc137198167" w:history="1">
        <w:r w:rsidRPr="00E71F82">
          <w:rPr>
            <w:rStyle w:val="Hyperlink"/>
            <w:lang w:val="en-GB"/>
          </w:rPr>
          <w:t>Residues in animal commodities</w:t>
        </w:r>
        <w:r>
          <w:rPr>
            <w:webHidden/>
          </w:rPr>
          <w:tab/>
        </w:r>
        <w:r>
          <w:rPr>
            <w:webHidden/>
          </w:rPr>
          <w:fldChar w:fldCharType="begin"/>
        </w:r>
        <w:r>
          <w:rPr>
            <w:webHidden/>
          </w:rPr>
          <w:instrText xml:space="preserve"> PAGEREF _Toc137198167 \h </w:instrText>
        </w:r>
        <w:r>
          <w:rPr>
            <w:webHidden/>
          </w:rPr>
        </w:r>
        <w:r>
          <w:rPr>
            <w:webHidden/>
          </w:rPr>
          <w:fldChar w:fldCharType="separate"/>
        </w:r>
        <w:r>
          <w:rPr>
            <w:webHidden/>
          </w:rPr>
          <w:t>32</w:t>
        </w:r>
        <w:r>
          <w:rPr>
            <w:webHidden/>
          </w:rPr>
          <w:fldChar w:fldCharType="end"/>
        </w:r>
      </w:hyperlink>
    </w:p>
    <w:p w14:paraId="2E1721ED" w14:textId="7C1AD39A" w:rsidR="00F07CAD" w:rsidRDefault="00F07CAD">
      <w:pPr>
        <w:pStyle w:val="TOC2"/>
        <w:rPr>
          <w:rFonts w:asciiTheme="minorHAnsi" w:eastAsiaTheme="minorEastAsia" w:hAnsiTheme="minorHAnsi" w:cstheme="minorBidi"/>
          <w:b w:val="0"/>
          <w:color w:val="auto"/>
          <w:sz w:val="22"/>
          <w:szCs w:val="22"/>
          <w:lang w:eastAsia="en-AU"/>
        </w:rPr>
      </w:pPr>
      <w:hyperlink w:anchor="_Toc137198168" w:history="1">
        <w:r w:rsidRPr="00E71F82">
          <w:rPr>
            <w:rStyle w:val="Hyperlink"/>
            <w:lang w:val="en-GB"/>
          </w:rPr>
          <w:t>Dietary risk assessment</w:t>
        </w:r>
        <w:r>
          <w:rPr>
            <w:webHidden/>
          </w:rPr>
          <w:tab/>
        </w:r>
        <w:r>
          <w:rPr>
            <w:webHidden/>
          </w:rPr>
          <w:fldChar w:fldCharType="begin"/>
        </w:r>
        <w:r>
          <w:rPr>
            <w:webHidden/>
          </w:rPr>
          <w:instrText xml:space="preserve"> PAGEREF _Toc137198168 \h </w:instrText>
        </w:r>
        <w:r>
          <w:rPr>
            <w:webHidden/>
          </w:rPr>
        </w:r>
        <w:r>
          <w:rPr>
            <w:webHidden/>
          </w:rPr>
          <w:fldChar w:fldCharType="separate"/>
        </w:r>
        <w:r>
          <w:rPr>
            <w:webHidden/>
          </w:rPr>
          <w:t>33</w:t>
        </w:r>
        <w:r>
          <w:rPr>
            <w:webHidden/>
          </w:rPr>
          <w:fldChar w:fldCharType="end"/>
        </w:r>
      </w:hyperlink>
    </w:p>
    <w:p w14:paraId="487D4E93" w14:textId="3F6B6558" w:rsidR="00F07CAD" w:rsidRDefault="00F07CAD">
      <w:pPr>
        <w:pStyle w:val="TOC2"/>
        <w:rPr>
          <w:rFonts w:asciiTheme="minorHAnsi" w:eastAsiaTheme="minorEastAsia" w:hAnsiTheme="minorHAnsi" w:cstheme="minorBidi"/>
          <w:b w:val="0"/>
          <w:color w:val="auto"/>
          <w:sz w:val="22"/>
          <w:szCs w:val="22"/>
          <w:lang w:eastAsia="en-AU"/>
        </w:rPr>
      </w:pPr>
      <w:hyperlink w:anchor="_Toc137198169" w:history="1">
        <w:r w:rsidRPr="00E71F82">
          <w:rPr>
            <w:rStyle w:val="Hyperlink"/>
          </w:rPr>
          <w:t>Recommendations</w:t>
        </w:r>
        <w:r>
          <w:rPr>
            <w:webHidden/>
          </w:rPr>
          <w:tab/>
        </w:r>
        <w:r>
          <w:rPr>
            <w:webHidden/>
          </w:rPr>
          <w:fldChar w:fldCharType="begin"/>
        </w:r>
        <w:r>
          <w:rPr>
            <w:webHidden/>
          </w:rPr>
          <w:instrText xml:space="preserve"> PAGEREF _Toc137198169 \h </w:instrText>
        </w:r>
        <w:r>
          <w:rPr>
            <w:webHidden/>
          </w:rPr>
        </w:r>
        <w:r>
          <w:rPr>
            <w:webHidden/>
          </w:rPr>
          <w:fldChar w:fldCharType="separate"/>
        </w:r>
        <w:r>
          <w:rPr>
            <w:webHidden/>
          </w:rPr>
          <w:t>33</w:t>
        </w:r>
        <w:r>
          <w:rPr>
            <w:webHidden/>
          </w:rPr>
          <w:fldChar w:fldCharType="end"/>
        </w:r>
      </w:hyperlink>
    </w:p>
    <w:p w14:paraId="0A3C3034" w14:textId="48DE9358"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70" w:history="1">
        <w:r w:rsidRPr="00E71F82">
          <w:rPr>
            <w:rStyle w:val="Hyperlink"/>
          </w:rPr>
          <w:t>Assessment of overseas trade aspects of residues in food</w:t>
        </w:r>
        <w:r>
          <w:rPr>
            <w:webHidden/>
          </w:rPr>
          <w:tab/>
        </w:r>
        <w:r>
          <w:rPr>
            <w:webHidden/>
          </w:rPr>
          <w:fldChar w:fldCharType="begin"/>
        </w:r>
        <w:r>
          <w:rPr>
            <w:webHidden/>
          </w:rPr>
          <w:instrText xml:space="preserve"> PAGEREF _Toc137198170 \h </w:instrText>
        </w:r>
        <w:r>
          <w:rPr>
            <w:webHidden/>
          </w:rPr>
        </w:r>
        <w:r>
          <w:rPr>
            <w:webHidden/>
          </w:rPr>
          <w:fldChar w:fldCharType="separate"/>
        </w:r>
        <w:r>
          <w:rPr>
            <w:webHidden/>
          </w:rPr>
          <w:t>35</w:t>
        </w:r>
        <w:r>
          <w:rPr>
            <w:webHidden/>
          </w:rPr>
          <w:fldChar w:fldCharType="end"/>
        </w:r>
      </w:hyperlink>
    </w:p>
    <w:p w14:paraId="4211E35A" w14:textId="583AB00C" w:rsidR="00F07CAD" w:rsidRDefault="00F07CAD">
      <w:pPr>
        <w:pStyle w:val="TOC2"/>
        <w:rPr>
          <w:rFonts w:asciiTheme="minorHAnsi" w:eastAsiaTheme="minorEastAsia" w:hAnsiTheme="minorHAnsi" w:cstheme="minorBidi"/>
          <w:b w:val="0"/>
          <w:color w:val="auto"/>
          <w:sz w:val="22"/>
          <w:szCs w:val="22"/>
          <w:lang w:eastAsia="en-AU"/>
        </w:rPr>
      </w:pPr>
      <w:hyperlink w:anchor="_Toc137198171" w:history="1">
        <w:r w:rsidRPr="00E71F82">
          <w:rPr>
            <w:rStyle w:val="Hyperlink"/>
          </w:rPr>
          <w:t>Commodities exported and main destinations</w:t>
        </w:r>
        <w:r>
          <w:rPr>
            <w:webHidden/>
          </w:rPr>
          <w:tab/>
        </w:r>
        <w:r>
          <w:rPr>
            <w:webHidden/>
          </w:rPr>
          <w:fldChar w:fldCharType="begin"/>
        </w:r>
        <w:r>
          <w:rPr>
            <w:webHidden/>
          </w:rPr>
          <w:instrText xml:space="preserve"> PAGEREF _Toc137198171 \h </w:instrText>
        </w:r>
        <w:r>
          <w:rPr>
            <w:webHidden/>
          </w:rPr>
        </w:r>
        <w:r>
          <w:rPr>
            <w:webHidden/>
          </w:rPr>
          <w:fldChar w:fldCharType="separate"/>
        </w:r>
        <w:r>
          <w:rPr>
            <w:webHidden/>
          </w:rPr>
          <w:t>35</w:t>
        </w:r>
        <w:r>
          <w:rPr>
            <w:webHidden/>
          </w:rPr>
          <w:fldChar w:fldCharType="end"/>
        </w:r>
      </w:hyperlink>
    </w:p>
    <w:p w14:paraId="434BD0D5" w14:textId="16ACF112" w:rsidR="00F07CAD" w:rsidRDefault="00F07CAD">
      <w:pPr>
        <w:pStyle w:val="TOC2"/>
        <w:rPr>
          <w:rFonts w:asciiTheme="minorHAnsi" w:eastAsiaTheme="minorEastAsia" w:hAnsiTheme="minorHAnsi" w:cstheme="minorBidi"/>
          <w:b w:val="0"/>
          <w:color w:val="auto"/>
          <w:sz w:val="22"/>
          <w:szCs w:val="22"/>
          <w:lang w:eastAsia="en-AU"/>
        </w:rPr>
      </w:pPr>
      <w:hyperlink w:anchor="_Toc137198172" w:history="1">
        <w:r w:rsidRPr="00E71F82">
          <w:rPr>
            <w:rStyle w:val="Hyperlink"/>
          </w:rPr>
          <w:t>Overseas registrations and approved label instructions</w:t>
        </w:r>
        <w:r>
          <w:rPr>
            <w:webHidden/>
          </w:rPr>
          <w:tab/>
        </w:r>
        <w:r>
          <w:rPr>
            <w:webHidden/>
          </w:rPr>
          <w:fldChar w:fldCharType="begin"/>
        </w:r>
        <w:r>
          <w:rPr>
            <w:webHidden/>
          </w:rPr>
          <w:instrText xml:space="preserve"> PAGEREF _Toc137198172 \h </w:instrText>
        </w:r>
        <w:r>
          <w:rPr>
            <w:webHidden/>
          </w:rPr>
        </w:r>
        <w:r>
          <w:rPr>
            <w:webHidden/>
          </w:rPr>
          <w:fldChar w:fldCharType="separate"/>
        </w:r>
        <w:r>
          <w:rPr>
            <w:webHidden/>
          </w:rPr>
          <w:t>35</w:t>
        </w:r>
        <w:r>
          <w:rPr>
            <w:webHidden/>
          </w:rPr>
          <w:fldChar w:fldCharType="end"/>
        </w:r>
      </w:hyperlink>
    </w:p>
    <w:p w14:paraId="4E974CC0" w14:textId="799FCDC2" w:rsidR="00F07CAD" w:rsidRDefault="00F07CAD">
      <w:pPr>
        <w:pStyle w:val="TOC2"/>
        <w:rPr>
          <w:rFonts w:asciiTheme="minorHAnsi" w:eastAsiaTheme="minorEastAsia" w:hAnsiTheme="minorHAnsi" w:cstheme="minorBidi"/>
          <w:b w:val="0"/>
          <w:color w:val="auto"/>
          <w:sz w:val="22"/>
          <w:szCs w:val="22"/>
          <w:lang w:eastAsia="en-AU"/>
        </w:rPr>
      </w:pPr>
      <w:hyperlink w:anchor="_Toc137198173" w:history="1">
        <w:r w:rsidRPr="00E71F82">
          <w:rPr>
            <w:rStyle w:val="Hyperlink"/>
          </w:rPr>
          <w:t>Comparison of Australian MRLs with Codex and international MRLs</w:t>
        </w:r>
        <w:r>
          <w:rPr>
            <w:webHidden/>
          </w:rPr>
          <w:tab/>
        </w:r>
        <w:r>
          <w:rPr>
            <w:webHidden/>
          </w:rPr>
          <w:fldChar w:fldCharType="begin"/>
        </w:r>
        <w:r>
          <w:rPr>
            <w:webHidden/>
          </w:rPr>
          <w:instrText xml:space="preserve"> PAGEREF _Toc137198173 \h </w:instrText>
        </w:r>
        <w:r>
          <w:rPr>
            <w:webHidden/>
          </w:rPr>
        </w:r>
        <w:r>
          <w:rPr>
            <w:webHidden/>
          </w:rPr>
          <w:fldChar w:fldCharType="separate"/>
        </w:r>
        <w:r>
          <w:rPr>
            <w:webHidden/>
          </w:rPr>
          <w:t>35</w:t>
        </w:r>
        <w:r>
          <w:rPr>
            <w:webHidden/>
          </w:rPr>
          <w:fldChar w:fldCharType="end"/>
        </w:r>
      </w:hyperlink>
    </w:p>
    <w:p w14:paraId="1D6845A2" w14:textId="0B5E92FF" w:rsidR="00F07CAD" w:rsidRDefault="00F07CAD">
      <w:pPr>
        <w:pStyle w:val="TOC2"/>
        <w:rPr>
          <w:rFonts w:asciiTheme="minorHAnsi" w:eastAsiaTheme="minorEastAsia" w:hAnsiTheme="minorHAnsi" w:cstheme="minorBidi"/>
          <w:b w:val="0"/>
          <w:color w:val="auto"/>
          <w:sz w:val="22"/>
          <w:szCs w:val="22"/>
          <w:lang w:eastAsia="en-AU"/>
        </w:rPr>
      </w:pPr>
      <w:hyperlink w:anchor="_Toc137198174" w:history="1">
        <w:r w:rsidRPr="00E71F82">
          <w:rPr>
            <w:rStyle w:val="Hyperlink"/>
          </w:rPr>
          <w:t>Potential risk to trade</w:t>
        </w:r>
        <w:r>
          <w:rPr>
            <w:webHidden/>
          </w:rPr>
          <w:tab/>
        </w:r>
        <w:r>
          <w:rPr>
            <w:webHidden/>
          </w:rPr>
          <w:fldChar w:fldCharType="begin"/>
        </w:r>
        <w:r>
          <w:rPr>
            <w:webHidden/>
          </w:rPr>
          <w:instrText xml:space="preserve"> PAGEREF _Toc137198174 \h </w:instrText>
        </w:r>
        <w:r>
          <w:rPr>
            <w:webHidden/>
          </w:rPr>
        </w:r>
        <w:r>
          <w:rPr>
            <w:webHidden/>
          </w:rPr>
          <w:fldChar w:fldCharType="separate"/>
        </w:r>
        <w:r>
          <w:rPr>
            <w:webHidden/>
          </w:rPr>
          <w:t>37</w:t>
        </w:r>
        <w:r>
          <w:rPr>
            <w:webHidden/>
          </w:rPr>
          <w:fldChar w:fldCharType="end"/>
        </w:r>
      </w:hyperlink>
    </w:p>
    <w:p w14:paraId="44441033" w14:textId="30130F2A"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75" w:history="1">
        <w:r w:rsidRPr="00E71F82">
          <w:rPr>
            <w:rStyle w:val="Hyperlink"/>
          </w:rPr>
          <w:t>Work health and safety assessment</w:t>
        </w:r>
        <w:r>
          <w:rPr>
            <w:webHidden/>
          </w:rPr>
          <w:tab/>
        </w:r>
        <w:r>
          <w:rPr>
            <w:webHidden/>
          </w:rPr>
          <w:fldChar w:fldCharType="begin"/>
        </w:r>
        <w:r>
          <w:rPr>
            <w:webHidden/>
          </w:rPr>
          <w:instrText xml:space="preserve"> PAGEREF _Toc137198175 \h </w:instrText>
        </w:r>
        <w:r>
          <w:rPr>
            <w:webHidden/>
          </w:rPr>
        </w:r>
        <w:r>
          <w:rPr>
            <w:webHidden/>
          </w:rPr>
          <w:fldChar w:fldCharType="separate"/>
        </w:r>
        <w:r>
          <w:rPr>
            <w:webHidden/>
          </w:rPr>
          <w:t>38</w:t>
        </w:r>
        <w:r>
          <w:rPr>
            <w:webHidden/>
          </w:rPr>
          <w:fldChar w:fldCharType="end"/>
        </w:r>
      </w:hyperlink>
    </w:p>
    <w:p w14:paraId="022E3EC9" w14:textId="6AEFB107" w:rsidR="00F07CAD" w:rsidRDefault="00F07CAD">
      <w:pPr>
        <w:pStyle w:val="TOC2"/>
        <w:rPr>
          <w:rFonts w:asciiTheme="minorHAnsi" w:eastAsiaTheme="minorEastAsia" w:hAnsiTheme="minorHAnsi" w:cstheme="minorBidi"/>
          <w:b w:val="0"/>
          <w:color w:val="auto"/>
          <w:sz w:val="22"/>
          <w:szCs w:val="22"/>
          <w:lang w:eastAsia="en-AU"/>
        </w:rPr>
      </w:pPr>
      <w:hyperlink w:anchor="_Toc137198176" w:history="1">
        <w:r w:rsidRPr="00E71F82">
          <w:rPr>
            <w:rStyle w:val="Hyperlink"/>
          </w:rPr>
          <w:t>Health hazards</w:t>
        </w:r>
        <w:r>
          <w:rPr>
            <w:webHidden/>
          </w:rPr>
          <w:tab/>
        </w:r>
        <w:r>
          <w:rPr>
            <w:webHidden/>
          </w:rPr>
          <w:fldChar w:fldCharType="begin"/>
        </w:r>
        <w:r>
          <w:rPr>
            <w:webHidden/>
          </w:rPr>
          <w:instrText xml:space="preserve"> PAGEREF _Toc137198176 \h </w:instrText>
        </w:r>
        <w:r>
          <w:rPr>
            <w:webHidden/>
          </w:rPr>
        </w:r>
        <w:r>
          <w:rPr>
            <w:webHidden/>
          </w:rPr>
          <w:fldChar w:fldCharType="separate"/>
        </w:r>
        <w:r>
          <w:rPr>
            <w:webHidden/>
          </w:rPr>
          <w:t>38</w:t>
        </w:r>
        <w:r>
          <w:rPr>
            <w:webHidden/>
          </w:rPr>
          <w:fldChar w:fldCharType="end"/>
        </w:r>
      </w:hyperlink>
    </w:p>
    <w:p w14:paraId="432B58B8" w14:textId="5DAAC32D" w:rsidR="00F07CAD" w:rsidRDefault="00F07CAD">
      <w:pPr>
        <w:pStyle w:val="TOC2"/>
        <w:rPr>
          <w:rFonts w:asciiTheme="minorHAnsi" w:eastAsiaTheme="minorEastAsia" w:hAnsiTheme="minorHAnsi" w:cstheme="minorBidi"/>
          <w:b w:val="0"/>
          <w:color w:val="auto"/>
          <w:sz w:val="22"/>
          <w:szCs w:val="22"/>
          <w:lang w:eastAsia="en-AU"/>
        </w:rPr>
      </w:pPr>
      <w:hyperlink w:anchor="_Toc137198177" w:history="1">
        <w:r w:rsidRPr="00E71F82">
          <w:rPr>
            <w:rStyle w:val="Hyperlink"/>
          </w:rPr>
          <w:t>Occupational exposure</w:t>
        </w:r>
        <w:r>
          <w:rPr>
            <w:webHidden/>
          </w:rPr>
          <w:tab/>
        </w:r>
        <w:r>
          <w:rPr>
            <w:webHidden/>
          </w:rPr>
          <w:fldChar w:fldCharType="begin"/>
        </w:r>
        <w:r>
          <w:rPr>
            <w:webHidden/>
          </w:rPr>
          <w:instrText xml:space="preserve"> PAGEREF _Toc137198177 \h </w:instrText>
        </w:r>
        <w:r>
          <w:rPr>
            <w:webHidden/>
          </w:rPr>
        </w:r>
        <w:r>
          <w:rPr>
            <w:webHidden/>
          </w:rPr>
          <w:fldChar w:fldCharType="separate"/>
        </w:r>
        <w:r>
          <w:rPr>
            <w:webHidden/>
          </w:rPr>
          <w:t>39</w:t>
        </w:r>
        <w:r>
          <w:rPr>
            <w:webHidden/>
          </w:rPr>
          <w:fldChar w:fldCharType="end"/>
        </w:r>
      </w:hyperlink>
    </w:p>
    <w:p w14:paraId="70F7716C" w14:textId="1E908F87" w:rsidR="00F07CAD" w:rsidRDefault="00F07CAD">
      <w:pPr>
        <w:pStyle w:val="TOC2"/>
        <w:rPr>
          <w:rFonts w:asciiTheme="minorHAnsi" w:eastAsiaTheme="minorEastAsia" w:hAnsiTheme="minorHAnsi" w:cstheme="minorBidi"/>
          <w:b w:val="0"/>
          <w:color w:val="auto"/>
          <w:sz w:val="22"/>
          <w:szCs w:val="22"/>
          <w:lang w:eastAsia="en-AU"/>
        </w:rPr>
      </w:pPr>
      <w:hyperlink w:anchor="_Toc137198178" w:history="1">
        <w:r w:rsidRPr="00E71F82">
          <w:rPr>
            <w:rStyle w:val="Hyperlink"/>
          </w:rPr>
          <w:t>Public health risk assessment</w:t>
        </w:r>
        <w:r>
          <w:rPr>
            <w:webHidden/>
          </w:rPr>
          <w:tab/>
        </w:r>
        <w:r>
          <w:rPr>
            <w:webHidden/>
          </w:rPr>
          <w:fldChar w:fldCharType="begin"/>
        </w:r>
        <w:r>
          <w:rPr>
            <w:webHidden/>
          </w:rPr>
          <w:instrText xml:space="preserve"> PAGEREF _Toc137198178 \h </w:instrText>
        </w:r>
        <w:r>
          <w:rPr>
            <w:webHidden/>
          </w:rPr>
        </w:r>
        <w:r>
          <w:rPr>
            <w:webHidden/>
          </w:rPr>
          <w:fldChar w:fldCharType="separate"/>
        </w:r>
        <w:r>
          <w:rPr>
            <w:webHidden/>
          </w:rPr>
          <w:t>40</w:t>
        </w:r>
        <w:r>
          <w:rPr>
            <w:webHidden/>
          </w:rPr>
          <w:fldChar w:fldCharType="end"/>
        </w:r>
      </w:hyperlink>
    </w:p>
    <w:p w14:paraId="5FC72043" w14:textId="42DC68DE" w:rsidR="00F07CAD" w:rsidRDefault="00F07CAD">
      <w:pPr>
        <w:pStyle w:val="TOC2"/>
        <w:rPr>
          <w:rFonts w:asciiTheme="minorHAnsi" w:eastAsiaTheme="minorEastAsia" w:hAnsiTheme="minorHAnsi" w:cstheme="minorBidi"/>
          <w:b w:val="0"/>
          <w:color w:val="auto"/>
          <w:sz w:val="22"/>
          <w:szCs w:val="22"/>
          <w:lang w:eastAsia="en-AU"/>
        </w:rPr>
      </w:pPr>
      <w:hyperlink w:anchor="_Toc137198179" w:history="1">
        <w:r w:rsidRPr="00E71F82">
          <w:rPr>
            <w:rStyle w:val="Hyperlink"/>
          </w:rPr>
          <w:t>Recommendations</w:t>
        </w:r>
        <w:r>
          <w:rPr>
            <w:webHidden/>
          </w:rPr>
          <w:tab/>
        </w:r>
        <w:r>
          <w:rPr>
            <w:webHidden/>
          </w:rPr>
          <w:fldChar w:fldCharType="begin"/>
        </w:r>
        <w:r>
          <w:rPr>
            <w:webHidden/>
          </w:rPr>
          <w:instrText xml:space="preserve"> PAGEREF _Toc137198179 \h </w:instrText>
        </w:r>
        <w:r>
          <w:rPr>
            <w:webHidden/>
          </w:rPr>
        </w:r>
        <w:r>
          <w:rPr>
            <w:webHidden/>
          </w:rPr>
          <w:fldChar w:fldCharType="separate"/>
        </w:r>
        <w:r>
          <w:rPr>
            <w:webHidden/>
          </w:rPr>
          <w:t>41</w:t>
        </w:r>
        <w:r>
          <w:rPr>
            <w:webHidden/>
          </w:rPr>
          <w:fldChar w:fldCharType="end"/>
        </w:r>
      </w:hyperlink>
    </w:p>
    <w:p w14:paraId="752D970F" w14:textId="1D70E8C9"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80" w:history="1">
        <w:r w:rsidRPr="00E71F82">
          <w:rPr>
            <w:rStyle w:val="Hyperlink"/>
          </w:rPr>
          <w:t>Environmental assessment</w:t>
        </w:r>
        <w:r>
          <w:rPr>
            <w:webHidden/>
          </w:rPr>
          <w:tab/>
        </w:r>
        <w:r>
          <w:rPr>
            <w:webHidden/>
          </w:rPr>
          <w:fldChar w:fldCharType="begin"/>
        </w:r>
        <w:r>
          <w:rPr>
            <w:webHidden/>
          </w:rPr>
          <w:instrText xml:space="preserve"> PAGEREF _Toc137198180 \h </w:instrText>
        </w:r>
        <w:r>
          <w:rPr>
            <w:webHidden/>
          </w:rPr>
        </w:r>
        <w:r>
          <w:rPr>
            <w:webHidden/>
          </w:rPr>
          <w:fldChar w:fldCharType="separate"/>
        </w:r>
        <w:r>
          <w:rPr>
            <w:webHidden/>
          </w:rPr>
          <w:t>43</w:t>
        </w:r>
        <w:r>
          <w:rPr>
            <w:webHidden/>
          </w:rPr>
          <w:fldChar w:fldCharType="end"/>
        </w:r>
      </w:hyperlink>
    </w:p>
    <w:p w14:paraId="710909CA" w14:textId="04A24E63" w:rsidR="00F07CAD" w:rsidRDefault="00F07CAD">
      <w:pPr>
        <w:pStyle w:val="TOC2"/>
        <w:rPr>
          <w:rFonts w:asciiTheme="minorHAnsi" w:eastAsiaTheme="minorEastAsia" w:hAnsiTheme="minorHAnsi" w:cstheme="minorBidi"/>
          <w:b w:val="0"/>
          <w:color w:val="auto"/>
          <w:sz w:val="22"/>
          <w:szCs w:val="22"/>
          <w:lang w:eastAsia="en-AU"/>
        </w:rPr>
      </w:pPr>
      <w:hyperlink w:anchor="_Toc137198181" w:history="1">
        <w:r w:rsidRPr="00E71F82">
          <w:rPr>
            <w:rStyle w:val="Hyperlink"/>
            <w:lang w:val="en-GB"/>
          </w:rPr>
          <w:t>Fate and behaviour in the environment</w:t>
        </w:r>
        <w:r>
          <w:rPr>
            <w:webHidden/>
          </w:rPr>
          <w:tab/>
        </w:r>
        <w:r>
          <w:rPr>
            <w:webHidden/>
          </w:rPr>
          <w:fldChar w:fldCharType="begin"/>
        </w:r>
        <w:r>
          <w:rPr>
            <w:webHidden/>
          </w:rPr>
          <w:instrText xml:space="preserve"> PAGEREF _Toc137198181 \h </w:instrText>
        </w:r>
        <w:r>
          <w:rPr>
            <w:webHidden/>
          </w:rPr>
        </w:r>
        <w:r>
          <w:rPr>
            <w:webHidden/>
          </w:rPr>
          <w:fldChar w:fldCharType="separate"/>
        </w:r>
        <w:r>
          <w:rPr>
            <w:webHidden/>
          </w:rPr>
          <w:t>43</w:t>
        </w:r>
        <w:r>
          <w:rPr>
            <w:webHidden/>
          </w:rPr>
          <w:fldChar w:fldCharType="end"/>
        </w:r>
      </w:hyperlink>
    </w:p>
    <w:p w14:paraId="02C98798" w14:textId="7D0EE873" w:rsidR="00F07CAD" w:rsidRDefault="00F07CAD">
      <w:pPr>
        <w:pStyle w:val="TOC2"/>
        <w:rPr>
          <w:rFonts w:asciiTheme="minorHAnsi" w:eastAsiaTheme="minorEastAsia" w:hAnsiTheme="minorHAnsi" w:cstheme="minorBidi"/>
          <w:b w:val="0"/>
          <w:color w:val="auto"/>
          <w:sz w:val="22"/>
          <w:szCs w:val="22"/>
          <w:lang w:eastAsia="en-AU"/>
        </w:rPr>
      </w:pPr>
      <w:hyperlink w:anchor="_Toc137198182" w:history="1">
        <w:r w:rsidRPr="00E71F82">
          <w:rPr>
            <w:rStyle w:val="Hyperlink"/>
            <w:lang w:val="en-GB"/>
          </w:rPr>
          <w:t>Effects and associated risks to non-target species</w:t>
        </w:r>
        <w:r>
          <w:rPr>
            <w:webHidden/>
          </w:rPr>
          <w:tab/>
        </w:r>
        <w:r>
          <w:rPr>
            <w:webHidden/>
          </w:rPr>
          <w:fldChar w:fldCharType="begin"/>
        </w:r>
        <w:r>
          <w:rPr>
            <w:webHidden/>
          </w:rPr>
          <w:instrText xml:space="preserve"> PAGEREF _Toc137198182 \h </w:instrText>
        </w:r>
        <w:r>
          <w:rPr>
            <w:webHidden/>
          </w:rPr>
        </w:r>
        <w:r>
          <w:rPr>
            <w:webHidden/>
          </w:rPr>
          <w:fldChar w:fldCharType="separate"/>
        </w:r>
        <w:r>
          <w:rPr>
            <w:webHidden/>
          </w:rPr>
          <w:t>44</w:t>
        </w:r>
        <w:r>
          <w:rPr>
            <w:webHidden/>
          </w:rPr>
          <w:fldChar w:fldCharType="end"/>
        </w:r>
      </w:hyperlink>
    </w:p>
    <w:p w14:paraId="0863736A" w14:textId="3B788111" w:rsidR="00F07CAD" w:rsidRDefault="00F07CAD">
      <w:pPr>
        <w:pStyle w:val="TOC2"/>
        <w:rPr>
          <w:rFonts w:asciiTheme="minorHAnsi" w:eastAsiaTheme="minorEastAsia" w:hAnsiTheme="minorHAnsi" w:cstheme="minorBidi"/>
          <w:b w:val="0"/>
          <w:color w:val="auto"/>
          <w:sz w:val="22"/>
          <w:szCs w:val="22"/>
          <w:lang w:eastAsia="en-AU"/>
        </w:rPr>
      </w:pPr>
      <w:hyperlink w:anchor="_Toc137198183" w:history="1">
        <w:r w:rsidRPr="00E71F82">
          <w:rPr>
            <w:rStyle w:val="Hyperlink"/>
            <w:lang w:val="en-GB"/>
          </w:rPr>
          <w:t>Recommendations</w:t>
        </w:r>
        <w:r>
          <w:rPr>
            <w:webHidden/>
          </w:rPr>
          <w:tab/>
        </w:r>
        <w:r>
          <w:rPr>
            <w:webHidden/>
          </w:rPr>
          <w:fldChar w:fldCharType="begin"/>
        </w:r>
        <w:r>
          <w:rPr>
            <w:webHidden/>
          </w:rPr>
          <w:instrText xml:space="preserve"> PAGEREF _Toc137198183 \h </w:instrText>
        </w:r>
        <w:r>
          <w:rPr>
            <w:webHidden/>
          </w:rPr>
        </w:r>
        <w:r>
          <w:rPr>
            <w:webHidden/>
          </w:rPr>
          <w:fldChar w:fldCharType="separate"/>
        </w:r>
        <w:r>
          <w:rPr>
            <w:webHidden/>
          </w:rPr>
          <w:t>47</w:t>
        </w:r>
        <w:r>
          <w:rPr>
            <w:webHidden/>
          </w:rPr>
          <w:fldChar w:fldCharType="end"/>
        </w:r>
      </w:hyperlink>
    </w:p>
    <w:p w14:paraId="6A4F6EE4" w14:textId="7A68C43B"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84" w:history="1">
        <w:r w:rsidRPr="00E71F82">
          <w:rPr>
            <w:rStyle w:val="Hyperlink"/>
          </w:rPr>
          <w:t>Efficacy and safety assessment</w:t>
        </w:r>
        <w:r>
          <w:rPr>
            <w:webHidden/>
          </w:rPr>
          <w:tab/>
        </w:r>
        <w:r>
          <w:rPr>
            <w:webHidden/>
          </w:rPr>
          <w:fldChar w:fldCharType="begin"/>
        </w:r>
        <w:r>
          <w:rPr>
            <w:webHidden/>
          </w:rPr>
          <w:instrText xml:space="preserve"> PAGEREF _Toc137198184 \h </w:instrText>
        </w:r>
        <w:r>
          <w:rPr>
            <w:webHidden/>
          </w:rPr>
        </w:r>
        <w:r>
          <w:rPr>
            <w:webHidden/>
          </w:rPr>
          <w:fldChar w:fldCharType="separate"/>
        </w:r>
        <w:r>
          <w:rPr>
            <w:webHidden/>
          </w:rPr>
          <w:t>48</w:t>
        </w:r>
        <w:r>
          <w:rPr>
            <w:webHidden/>
          </w:rPr>
          <w:fldChar w:fldCharType="end"/>
        </w:r>
      </w:hyperlink>
    </w:p>
    <w:p w14:paraId="045E194F" w14:textId="599EE3A6" w:rsidR="00F07CAD" w:rsidRDefault="00F07CAD">
      <w:pPr>
        <w:pStyle w:val="TOC2"/>
        <w:rPr>
          <w:rFonts w:asciiTheme="minorHAnsi" w:eastAsiaTheme="minorEastAsia" w:hAnsiTheme="minorHAnsi" w:cstheme="minorBidi"/>
          <w:b w:val="0"/>
          <w:color w:val="auto"/>
          <w:sz w:val="22"/>
          <w:szCs w:val="22"/>
          <w:lang w:eastAsia="en-AU"/>
        </w:rPr>
      </w:pPr>
      <w:hyperlink w:anchor="_Toc137198185" w:history="1">
        <w:r w:rsidRPr="00E71F82">
          <w:rPr>
            <w:rStyle w:val="Hyperlink"/>
          </w:rPr>
          <w:t>Efficacy</w:t>
        </w:r>
        <w:r>
          <w:rPr>
            <w:webHidden/>
          </w:rPr>
          <w:tab/>
        </w:r>
        <w:r>
          <w:rPr>
            <w:webHidden/>
          </w:rPr>
          <w:fldChar w:fldCharType="begin"/>
        </w:r>
        <w:r>
          <w:rPr>
            <w:webHidden/>
          </w:rPr>
          <w:instrText xml:space="preserve"> PAGEREF _Toc137198185 \h </w:instrText>
        </w:r>
        <w:r>
          <w:rPr>
            <w:webHidden/>
          </w:rPr>
        </w:r>
        <w:r>
          <w:rPr>
            <w:webHidden/>
          </w:rPr>
          <w:fldChar w:fldCharType="separate"/>
        </w:r>
        <w:r>
          <w:rPr>
            <w:webHidden/>
          </w:rPr>
          <w:t>48</w:t>
        </w:r>
        <w:r>
          <w:rPr>
            <w:webHidden/>
          </w:rPr>
          <w:fldChar w:fldCharType="end"/>
        </w:r>
      </w:hyperlink>
    </w:p>
    <w:p w14:paraId="28FD92E3" w14:textId="3961A025" w:rsidR="00F07CAD" w:rsidRDefault="00F07CAD">
      <w:pPr>
        <w:pStyle w:val="TOC2"/>
        <w:rPr>
          <w:rFonts w:asciiTheme="minorHAnsi" w:eastAsiaTheme="minorEastAsia" w:hAnsiTheme="minorHAnsi" w:cstheme="minorBidi"/>
          <w:b w:val="0"/>
          <w:color w:val="auto"/>
          <w:sz w:val="22"/>
          <w:szCs w:val="22"/>
          <w:lang w:eastAsia="en-AU"/>
        </w:rPr>
      </w:pPr>
      <w:hyperlink w:anchor="_Toc137198186" w:history="1">
        <w:r w:rsidRPr="00E71F82">
          <w:rPr>
            <w:rStyle w:val="Hyperlink"/>
          </w:rPr>
          <w:t>Crop safety</w:t>
        </w:r>
        <w:r>
          <w:rPr>
            <w:webHidden/>
          </w:rPr>
          <w:tab/>
        </w:r>
        <w:r>
          <w:rPr>
            <w:webHidden/>
          </w:rPr>
          <w:fldChar w:fldCharType="begin"/>
        </w:r>
        <w:r>
          <w:rPr>
            <w:webHidden/>
          </w:rPr>
          <w:instrText xml:space="preserve"> PAGEREF _Toc137198186 \h </w:instrText>
        </w:r>
        <w:r>
          <w:rPr>
            <w:webHidden/>
          </w:rPr>
        </w:r>
        <w:r>
          <w:rPr>
            <w:webHidden/>
          </w:rPr>
          <w:fldChar w:fldCharType="separate"/>
        </w:r>
        <w:r>
          <w:rPr>
            <w:webHidden/>
          </w:rPr>
          <w:t>48</w:t>
        </w:r>
        <w:r>
          <w:rPr>
            <w:webHidden/>
          </w:rPr>
          <w:fldChar w:fldCharType="end"/>
        </w:r>
      </w:hyperlink>
    </w:p>
    <w:p w14:paraId="22F8E83B" w14:textId="554A1A85" w:rsidR="00F07CAD" w:rsidRDefault="00F07CAD">
      <w:pPr>
        <w:pStyle w:val="TOC2"/>
        <w:rPr>
          <w:rFonts w:asciiTheme="minorHAnsi" w:eastAsiaTheme="minorEastAsia" w:hAnsiTheme="minorHAnsi" w:cstheme="minorBidi"/>
          <w:b w:val="0"/>
          <w:color w:val="auto"/>
          <w:sz w:val="22"/>
          <w:szCs w:val="22"/>
          <w:lang w:eastAsia="en-AU"/>
        </w:rPr>
      </w:pPr>
      <w:hyperlink w:anchor="_Toc137198187" w:history="1">
        <w:r w:rsidRPr="00E71F82">
          <w:rPr>
            <w:rStyle w:val="Hyperlink"/>
          </w:rPr>
          <w:t>Organoleptic tests</w:t>
        </w:r>
        <w:r>
          <w:rPr>
            <w:webHidden/>
          </w:rPr>
          <w:tab/>
        </w:r>
        <w:r>
          <w:rPr>
            <w:webHidden/>
          </w:rPr>
          <w:fldChar w:fldCharType="begin"/>
        </w:r>
        <w:r>
          <w:rPr>
            <w:webHidden/>
          </w:rPr>
          <w:instrText xml:space="preserve"> PAGEREF _Toc137198187 \h </w:instrText>
        </w:r>
        <w:r>
          <w:rPr>
            <w:webHidden/>
          </w:rPr>
        </w:r>
        <w:r>
          <w:rPr>
            <w:webHidden/>
          </w:rPr>
          <w:fldChar w:fldCharType="separate"/>
        </w:r>
        <w:r>
          <w:rPr>
            <w:webHidden/>
          </w:rPr>
          <w:t>48</w:t>
        </w:r>
        <w:r>
          <w:rPr>
            <w:webHidden/>
          </w:rPr>
          <w:fldChar w:fldCharType="end"/>
        </w:r>
      </w:hyperlink>
    </w:p>
    <w:p w14:paraId="41F1EA23" w14:textId="74A0694C" w:rsidR="00F07CAD" w:rsidRDefault="00F07CAD">
      <w:pPr>
        <w:pStyle w:val="TOC2"/>
        <w:rPr>
          <w:rFonts w:asciiTheme="minorHAnsi" w:eastAsiaTheme="minorEastAsia" w:hAnsiTheme="minorHAnsi" w:cstheme="minorBidi"/>
          <w:b w:val="0"/>
          <w:color w:val="auto"/>
          <w:sz w:val="22"/>
          <w:szCs w:val="22"/>
          <w:lang w:eastAsia="en-AU"/>
        </w:rPr>
      </w:pPr>
      <w:hyperlink w:anchor="_Toc137198188" w:history="1">
        <w:r w:rsidRPr="00E71F82">
          <w:rPr>
            <w:rStyle w:val="Hyperlink"/>
          </w:rPr>
          <w:t>Resistance management</w:t>
        </w:r>
        <w:r>
          <w:rPr>
            <w:webHidden/>
          </w:rPr>
          <w:tab/>
        </w:r>
        <w:r>
          <w:rPr>
            <w:webHidden/>
          </w:rPr>
          <w:fldChar w:fldCharType="begin"/>
        </w:r>
        <w:r>
          <w:rPr>
            <w:webHidden/>
          </w:rPr>
          <w:instrText xml:space="preserve"> PAGEREF _Toc137198188 \h </w:instrText>
        </w:r>
        <w:r>
          <w:rPr>
            <w:webHidden/>
          </w:rPr>
        </w:r>
        <w:r>
          <w:rPr>
            <w:webHidden/>
          </w:rPr>
          <w:fldChar w:fldCharType="separate"/>
        </w:r>
        <w:r>
          <w:rPr>
            <w:webHidden/>
          </w:rPr>
          <w:t>49</w:t>
        </w:r>
        <w:r>
          <w:rPr>
            <w:webHidden/>
          </w:rPr>
          <w:fldChar w:fldCharType="end"/>
        </w:r>
      </w:hyperlink>
    </w:p>
    <w:p w14:paraId="78B01E39" w14:textId="0AFBDA18" w:rsidR="00F07CAD" w:rsidRDefault="00F07CAD">
      <w:pPr>
        <w:pStyle w:val="TOC2"/>
        <w:rPr>
          <w:rFonts w:asciiTheme="minorHAnsi" w:eastAsiaTheme="minorEastAsia" w:hAnsiTheme="minorHAnsi" w:cstheme="minorBidi"/>
          <w:b w:val="0"/>
          <w:color w:val="auto"/>
          <w:sz w:val="22"/>
          <w:szCs w:val="22"/>
          <w:lang w:eastAsia="en-AU"/>
        </w:rPr>
      </w:pPr>
      <w:hyperlink w:anchor="_Toc137198189" w:history="1">
        <w:r w:rsidRPr="00E71F82">
          <w:rPr>
            <w:rStyle w:val="Hyperlink"/>
          </w:rPr>
          <w:t>Recommendations</w:t>
        </w:r>
        <w:r>
          <w:rPr>
            <w:webHidden/>
          </w:rPr>
          <w:tab/>
        </w:r>
        <w:r>
          <w:rPr>
            <w:webHidden/>
          </w:rPr>
          <w:fldChar w:fldCharType="begin"/>
        </w:r>
        <w:r>
          <w:rPr>
            <w:webHidden/>
          </w:rPr>
          <w:instrText xml:space="preserve"> PAGEREF _Toc137198189 \h </w:instrText>
        </w:r>
        <w:r>
          <w:rPr>
            <w:webHidden/>
          </w:rPr>
        </w:r>
        <w:r>
          <w:rPr>
            <w:webHidden/>
          </w:rPr>
          <w:fldChar w:fldCharType="separate"/>
        </w:r>
        <w:r>
          <w:rPr>
            <w:webHidden/>
          </w:rPr>
          <w:t>49</w:t>
        </w:r>
        <w:r>
          <w:rPr>
            <w:webHidden/>
          </w:rPr>
          <w:fldChar w:fldCharType="end"/>
        </w:r>
      </w:hyperlink>
    </w:p>
    <w:p w14:paraId="178464EC" w14:textId="6768E966"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90" w:history="1">
        <w:r w:rsidRPr="00E71F82">
          <w:rPr>
            <w:rStyle w:val="Hyperlink"/>
          </w:rPr>
          <w:t>Spray drift assessment</w:t>
        </w:r>
        <w:r>
          <w:rPr>
            <w:webHidden/>
          </w:rPr>
          <w:tab/>
        </w:r>
        <w:r>
          <w:rPr>
            <w:webHidden/>
          </w:rPr>
          <w:fldChar w:fldCharType="begin"/>
        </w:r>
        <w:r>
          <w:rPr>
            <w:webHidden/>
          </w:rPr>
          <w:instrText xml:space="preserve"> PAGEREF _Toc137198190 \h </w:instrText>
        </w:r>
        <w:r>
          <w:rPr>
            <w:webHidden/>
          </w:rPr>
        </w:r>
        <w:r>
          <w:rPr>
            <w:webHidden/>
          </w:rPr>
          <w:fldChar w:fldCharType="separate"/>
        </w:r>
        <w:r>
          <w:rPr>
            <w:webHidden/>
          </w:rPr>
          <w:t>50</w:t>
        </w:r>
        <w:r>
          <w:rPr>
            <w:webHidden/>
          </w:rPr>
          <w:fldChar w:fldCharType="end"/>
        </w:r>
      </w:hyperlink>
    </w:p>
    <w:p w14:paraId="4D208115" w14:textId="6BC4C4ED" w:rsidR="00F07CAD" w:rsidRDefault="00F07CAD">
      <w:pPr>
        <w:pStyle w:val="TOC2"/>
        <w:rPr>
          <w:rFonts w:asciiTheme="minorHAnsi" w:eastAsiaTheme="minorEastAsia" w:hAnsiTheme="minorHAnsi" w:cstheme="minorBidi"/>
          <w:b w:val="0"/>
          <w:color w:val="auto"/>
          <w:sz w:val="22"/>
          <w:szCs w:val="22"/>
          <w:lang w:eastAsia="en-AU"/>
        </w:rPr>
      </w:pPr>
      <w:hyperlink w:anchor="_Toc137198191" w:history="1">
        <w:r w:rsidRPr="00E71F82">
          <w:rPr>
            <w:rStyle w:val="Hyperlink"/>
          </w:rPr>
          <w:t>Human health</w:t>
        </w:r>
        <w:r>
          <w:rPr>
            <w:webHidden/>
          </w:rPr>
          <w:tab/>
        </w:r>
        <w:r>
          <w:rPr>
            <w:webHidden/>
          </w:rPr>
          <w:fldChar w:fldCharType="begin"/>
        </w:r>
        <w:r>
          <w:rPr>
            <w:webHidden/>
          </w:rPr>
          <w:instrText xml:space="preserve"> PAGEREF _Toc137198191 \h </w:instrText>
        </w:r>
        <w:r>
          <w:rPr>
            <w:webHidden/>
          </w:rPr>
        </w:r>
        <w:r>
          <w:rPr>
            <w:webHidden/>
          </w:rPr>
          <w:fldChar w:fldCharType="separate"/>
        </w:r>
        <w:r>
          <w:rPr>
            <w:webHidden/>
          </w:rPr>
          <w:t>50</w:t>
        </w:r>
        <w:r>
          <w:rPr>
            <w:webHidden/>
          </w:rPr>
          <w:fldChar w:fldCharType="end"/>
        </w:r>
      </w:hyperlink>
    </w:p>
    <w:p w14:paraId="7304EA2D" w14:textId="0E00FA63" w:rsidR="00F07CAD" w:rsidRDefault="00F07CAD">
      <w:pPr>
        <w:pStyle w:val="TOC2"/>
        <w:rPr>
          <w:rFonts w:asciiTheme="minorHAnsi" w:eastAsiaTheme="minorEastAsia" w:hAnsiTheme="minorHAnsi" w:cstheme="minorBidi"/>
          <w:b w:val="0"/>
          <w:color w:val="auto"/>
          <w:sz w:val="22"/>
          <w:szCs w:val="22"/>
          <w:lang w:eastAsia="en-AU"/>
        </w:rPr>
      </w:pPr>
      <w:hyperlink w:anchor="_Toc137198192" w:history="1">
        <w:r w:rsidRPr="00E71F82">
          <w:rPr>
            <w:rStyle w:val="Hyperlink"/>
          </w:rPr>
          <w:t>Residues and trade</w:t>
        </w:r>
        <w:r>
          <w:rPr>
            <w:webHidden/>
          </w:rPr>
          <w:tab/>
        </w:r>
        <w:r>
          <w:rPr>
            <w:webHidden/>
          </w:rPr>
          <w:fldChar w:fldCharType="begin"/>
        </w:r>
        <w:r>
          <w:rPr>
            <w:webHidden/>
          </w:rPr>
          <w:instrText xml:space="preserve"> PAGEREF _Toc137198192 \h </w:instrText>
        </w:r>
        <w:r>
          <w:rPr>
            <w:webHidden/>
          </w:rPr>
        </w:r>
        <w:r>
          <w:rPr>
            <w:webHidden/>
          </w:rPr>
          <w:fldChar w:fldCharType="separate"/>
        </w:r>
        <w:r>
          <w:rPr>
            <w:webHidden/>
          </w:rPr>
          <w:t>50</w:t>
        </w:r>
        <w:r>
          <w:rPr>
            <w:webHidden/>
          </w:rPr>
          <w:fldChar w:fldCharType="end"/>
        </w:r>
      </w:hyperlink>
    </w:p>
    <w:p w14:paraId="1E98C19A" w14:textId="77664906" w:rsidR="00F07CAD" w:rsidRDefault="00F07CAD">
      <w:pPr>
        <w:pStyle w:val="TOC2"/>
        <w:rPr>
          <w:rFonts w:asciiTheme="minorHAnsi" w:eastAsiaTheme="minorEastAsia" w:hAnsiTheme="minorHAnsi" w:cstheme="minorBidi"/>
          <w:b w:val="0"/>
          <w:color w:val="auto"/>
          <w:sz w:val="22"/>
          <w:szCs w:val="22"/>
          <w:lang w:eastAsia="en-AU"/>
        </w:rPr>
      </w:pPr>
      <w:hyperlink w:anchor="_Toc137198193" w:history="1">
        <w:r w:rsidRPr="00E71F82">
          <w:rPr>
            <w:rStyle w:val="Hyperlink"/>
          </w:rPr>
          <w:t>Environment</w:t>
        </w:r>
        <w:r>
          <w:rPr>
            <w:webHidden/>
          </w:rPr>
          <w:tab/>
        </w:r>
        <w:r>
          <w:rPr>
            <w:webHidden/>
          </w:rPr>
          <w:fldChar w:fldCharType="begin"/>
        </w:r>
        <w:r>
          <w:rPr>
            <w:webHidden/>
          </w:rPr>
          <w:instrText xml:space="preserve"> PAGEREF _Toc137198193 \h </w:instrText>
        </w:r>
        <w:r>
          <w:rPr>
            <w:webHidden/>
          </w:rPr>
        </w:r>
        <w:r>
          <w:rPr>
            <w:webHidden/>
          </w:rPr>
          <w:fldChar w:fldCharType="separate"/>
        </w:r>
        <w:r>
          <w:rPr>
            <w:webHidden/>
          </w:rPr>
          <w:t>50</w:t>
        </w:r>
        <w:r>
          <w:rPr>
            <w:webHidden/>
          </w:rPr>
          <w:fldChar w:fldCharType="end"/>
        </w:r>
      </w:hyperlink>
    </w:p>
    <w:p w14:paraId="6547F128" w14:textId="0EE3FAC2"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94" w:history="1">
        <w:r w:rsidRPr="00E71F82">
          <w:rPr>
            <w:rStyle w:val="Hyperlink"/>
          </w:rPr>
          <w:t>Labelling requirements</w:t>
        </w:r>
        <w:r>
          <w:rPr>
            <w:webHidden/>
          </w:rPr>
          <w:tab/>
        </w:r>
        <w:r>
          <w:rPr>
            <w:webHidden/>
          </w:rPr>
          <w:fldChar w:fldCharType="begin"/>
        </w:r>
        <w:r>
          <w:rPr>
            <w:webHidden/>
          </w:rPr>
          <w:instrText xml:space="preserve"> PAGEREF _Toc137198194 \h </w:instrText>
        </w:r>
        <w:r>
          <w:rPr>
            <w:webHidden/>
          </w:rPr>
        </w:r>
        <w:r>
          <w:rPr>
            <w:webHidden/>
          </w:rPr>
          <w:fldChar w:fldCharType="separate"/>
        </w:r>
        <w:r>
          <w:rPr>
            <w:webHidden/>
          </w:rPr>
          <w:t>52</w:t>
        </w:r>
        <w:r>
          <w:rPr>
            <w:webHidden/>
          </w:rPr>
          <w:fldChar w:fldCharType="end"/>
        </w:r>
      </w:hyperlink>
    </w:p>
    <w:p w14:paraId="13FB7EED" w14:textId="7D5596BB"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95" w:history="1">
        <w:r w:rsidRPr="00E71F82">
          <w:rPr>
            <w:rStyle w:val="Hyperlink"/>
          </w:rPr>
          <w:t>Acronyms and abbreviations</w:t>
        </w:r>
        <w:r>
          <w:rPr>
            <w:webHidden/>
          </w:rPr>
          <w:tab/>
        </w:r>
        <w:r>
          <w:rPr>
            <w:webHidden/>
          </w:rPr>
          <w:fldChar w:fldCharType="begin"/>
        </w:r>
        <w:r>
          <w:rPr>
            <w:webHidden/>
          </w:rPr>
          <w:instrText xml:space="preserve"> PAGEREF _Toc137198195 \h </w:instrText>
        </w:r>
        <w:r>
          <w:rPr>
            <w:webHidden/>
          </w:rPr>
        </w:r>
        <w:r>
          <w:rPr>
            <w:webHidden/>
          </w:rPr>
          <w:fldChar w:fldCharType="separate"/>
        </w:r>
        <w:r>
          <w:rPr>
            <w:webHidden/>
          </w:rPr>
          <w:t>57</w:t>
        </w:r>
        <w:r>
          <w:rPr>
            <w:webHidden/>
          </w:rPr>
          <w:fldChar w:fldCharType="end"/>
        </w:r>
      </w:hyperlink>
    </w:p>
    <w:p w14:paraId="3240F316" w14:textId="45ACBA72"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96" w:history="1">
        <w:r w:rsidRPr="00E71F82">
          <w:rPr>
            <w:rStyle w:val="Hyperlink"/>
            <w:lang w:val="en-GB"/>
          </w:rPr>
          <w:t>Glossary</w:t>
        </w:r>
        <w:r>
          <w:rPr>
            <w:webHidden/>
          </w:rPr>
          <w:tab/>
        </w:r>
        <w:r>
          <w:rPr>
            <w:webHidden/>
          </w:rPr>
          <w:fldChar w:fldCharType="begin"/>
        </w:r>
        <w:r>
          <w:rPr>
            <w:webHidden/>
          </w:rPr>
          <w:instrText xml:space="preserve"> PAGEREF _Toc137198196 \h </w:instrText>
        </w:r>
        <w:r>
          <w:rPr>
            <w:webHidden/>
          </w:rPr>
        </w:r>
        <w:r>
          <w:rPr>
            <w:webHidden/>
          </w:rPr>
          <w:fldChar w:fldCharType="separate"/>
        </w:r>
        <w:r>
          <w:rPr>
            <w:webHidden/>
          </w:rPr>
          <w:t>62</w:t>
        </w:r>
        <w:r>
          <w:rPr>
            <w:webHidden/>
          </w:rPr>
          <w:fldChar w:fldCharType="end"/>
        </w:r>
      </w:hyperlink>
    </w:p>
    <w:p w14:paraId="00BA542F" w14:textId="3249F5AF" w:rsidR="00F07CAD" w:rsidRDefault="00F07CAD">
      <w:pPr>
        <w:pStyle w:val="TOC1"/>
        <w:rPr>
          <w:rFonts w:asciiTheme="minorHAnsi" w:eastAsiaTheme="minorEastAsia" w:hAnsiTheme="minorHAnsi" w:cstheme="minorBidi"/>
          <w:bCs w:val="0"/>
          <w:color w:val="auto"/>
          <w:kern w:val="0"/>
          <w:sz w:val="22"/>
          <w:szCs w:val="22"/>
          <w:lang w:eastAsia="en-AU"/>
        </w:rPr>
      </w:pPr>
      <w:hyperlink w:anchor="_Toc137198197" w:history="1">
        <w:r w:rsidRPr="00E71F82">
          <w:rPr>
            <w:rStyle w:val="Hyperlink"/>
          </w:rPr>
          <w:t>References</w:t>
        </w:r>
        <w:r>
          <w:rPr>
            <w:webHidden/>
          </w:rPr>
          <w:tab/>
        </w:r>
        <w:r>
          <w:rPr>
            <w:webHidden/>
          </w:rPr>
          <w:fldChar w:fldCharType="begin"/>
        </w:r>
        <w:r>
          <w:rPr>
            <w:webHidden/>
          </w:rPr>
          <w:instrText xml:space="preserve"> PAGEREF _Toc137198197 \h </w:instrText>
        </w:r>
        <w:r>
          <w:rPr>
            <w:webHidden/>
          </w:rPr>
        </w:r>
        <w:r>
          <w:rPr>
            <w:webHidden/>
          </w:rPr>
          <w:fldChar w:fldCharType="separate"/>
        </w:r>
        <w:r>
          <w:rPr>
            <w:webHidden/>
          </w:rPr>
          <w:t>63</w:t>
        </w:r>
        <w:r>
          <w:rPr>
            <w:webHidden/>
          </w:rPr>
          <w:fldChar w:fldCharType="end"/>
        </w:r>
      </w:hyperlink>
    </w:p>
    <w:p w14:paraId="1A71186D" w14:textId="073C439A" w:rsidR="00772458" w:rsidRDefault="000D124E" w:rsidP="00CA5B2B">
      <w:pPr>
        <w:pStyle w:val="ToCH1"/>
        <w:spacing w:before="500"/>
        <w:rPr>
          <w:noProof/>
        </w:rPr>
      </w:pPr>
      <w:r>
        <w:rPr>
          <w:sz w:val="16"/>
          <w:szCs w:val="16"/>
          <w:lang w:eastAsia="en-AU"/>
        </w:rPr>
        <w:fldChar w:fldCharType="end"/>
      </w:r>
      <w:r w:rsidR="002E20AC">
        <w:rPr>
          <w:noProof/>
        </w:rPr>
        <w:t>List of tables</w:t>
      </w:r>
    </w:p>
    <w:p w14:paraId="09DB26D3" w14:textId="27DC77FB" w:rsidR="00F07CAD" w:rsidRDefault="00772458">
      <w:pPr>
        <w:pStyle w:val="TableofFigures"/>
        <w:rPr>
          <w:rFonts w:asciiTheme="minorHAnsi" w:eastAsiaTheme="minorEastAsia" w:hAnsiTheme="minorHAnsi" w:cstheme="minorBidi"/>
          <w:sz w:val="22"/>
          <w:szCs w:val="22"/>
          <w:lang w:eastAsia="en-AU"/>
        </w:rPr>
      </w:pPr>
      <w:r>
        <w:rPr>
          <w:caps/>
        </w:rPr>
        <w:fldChar w:fldCharType="begin"/>
      </w:r>
      <w:r>
        <w:rPr>
          <w:caps/>
        </w:rPr>
        <w:instrText xml:space="preserve"> TOC \h \z \t "Caption,1,APVMA_Caption,1" \c "Table" </w:instrText>
      </w:r>
      <w:r>
        <w:rPr>
          <w:caps/>
        </w:rPr>
        <w:fldChar w:fldCharType="separate"/>
      </w:r>
      <w:hyperlink w:anchor="_Toc137198198" w:history="1">
        <w:r w:rsidR="00F07CAD" w:rsidRPr="00645AC6">
          <w:rPr>
            <w:rStyle w:val="Hyperlink"/>
          </w:rPr>
          <w:t>Table 1: Nomenclature and structural formula of the active constituent fenpropidin</w:t>
        </w:r>
        <w:r w:rsidR="00F07CAD">
          <w:rPr>
            <w:webHidden/>
          </w:rPr>
          <w:tab/>
        </w:r>
        <w:r w:rsidR="00F07CAD">
          <w:rPr>
            <w:webHidden/>
          </w:rPr>
          <w:fldChar w:fldCharType="begin"/>
        </w:r>
        <w:r w:rsidR="00F07CAD">
          <w:rPr>
            <w:webHidden/>
          </w:rPr>
          <w:instrText xml:space="preserve"> PAGEREF _Toc137198198 \h </w:instrText>
        </w:r>
        <w:r w:rsidR="00F07CAD">
          <w:rPr>
            <w:webHidden/>
          </w:rPr>
        </w:r>
        <w:r w:rsidR="00F07CAD">
          <w:rPr>
            <w:webHidden/>
          </w:rPr>
          <w:fldChar w:fldCharType="separate"/>
        </w:r>
        <w:r w:rsidR="00F07CAD">
          <w:rPr>
            <w:webHidden/>
          </w:rPr>
          <w:t>5</w:t>
        </w:r>
        <w:r w:rsidR="00F07CAD">
          <w:rPr>
            <w:webHidden/>
          </w:rPr>
          <w:fldChar w:fldCharType="end"/>
        </w:r>
      </w:hyperlink>
    </w:p>
    <w:p w14:paraId="376D25F9" w14:textId="545B4402" w:rsidR="00F07CAD" w:rsidRDefault="00F07CAD">
      <w:pPr>
        <w:pStyle w:val="TableofFigures"/>
        <w:rPr>
          <w:rFonts w:asciiTheme="minorHAnsi" w:eastAsiaTheme="minorEastAsia" w:hAnsiTheme="minorHAnsi" w:cstheme="minorBidi"/>
          <w:sz w:val="22"/>
          <w:szCs w:val="22"/>
          <w:lang w:eastAsia="en-AU"/>
        </w:rPr>
      </w:pPr>
      <w:hyperlink w:anchor="_Toc137198199" w:history="1">
        <w:r w:rsidRPr="00645AC6">
          <w:rPr>
            <w:rStyle w:val="Hyperlink"/>
          </w:rPr>
          <w:t>Table 2: Key physicochemical properties of the active constituent fenpropidin</w:t>
        </w:r>
        <w:r>
          <w:rPr>
            <w:webHidden/>
          </w:rPr>
          <w:tab/>
        </w:r>
        <w:r>
          <w:rPr>
            <w:webHidden/>
          </w:rPr>
          <w:fldChar w:fldCharType="begin"/>
        </w:r>
        <w:r>
          <w:rPr>
            <w:webHidden/>
          </w:rPr>
          <w:instrText xml:space="preserve"> PAGEREF _Toc137198199 \h </w:instrText>
        </w:r>
        <w:r>
          <w:rPr>
            <w:webHidden/>
          </w:rPr>
        </w:r>
        <w:r>
          <w:rPr>
            <w:webHidden/>
          </w:rPr>
          <w:fldChar w:fldCharType="separate"/>
        </w:r>
        <w:r>
          <w:rPr>
            <w:webHidden/>
          </w:rPr>
          <w:t>5</w:t>
        </w:r>
        <w:r>
          <w:rPr>
            <w:webHidden/>
          </w:rPr>
          <w:fldChar w:fldCharType="end"/>
        </w:r>
      </w:hyperlink>
    </w:p>
    <w:p w14:paraId="71569992" w14:textId="23CAC4DD" w:rsidR="00F07CAD" w:rsidRDefault="00F07CAD">
      <w:pPr>
        <w:pStyle w:val="TableofFigures"/>
        <w:rPr>
          <w:rFonts w:asciiTheme="minorHAnsi" w:eastAsiaTheme="minorEastAsia" w:hAnsiTheme="minorHAnsi" w:cstheme="minorBidi"/>
          <w:sz w:val="22"/>
          <w:szCs w:val="22"/>
          <w:lang w:eastAsia="en-AU"/>
        </w:rPr>
      </w:pPr>
      <w:hyperlink w:anchor="_Toc137198200" w:history="1">
        <w:r w:rsidRPr="00645AC6">
          <w:rPr>
            <w:rStyle w:val="Hyperlink"/>
          </w:rPr>
          <w:t>Table 3: Proposed APVMA active constituent standard for fenpropidin</w:t>
        </w:r>
        <w:r>
          <w:rPr>
            <w:webHidden/>
          </w:rPr>
          <w:tab/>
        </w:r>
        <w:r>
          <w:rPr>
            <w:webHidden/>
          </w:rPr>
          <w:fldChar w:fldCharType="begin"/>
        </w:r>
        <w:r>
          <w:rPr>
            <w:webHidden/>
          </w:rPr>
          <w:instrText xml:space="preserve"> PAGEREF _Toc137198200 \h </w:instrText>
        </w:r>
        <w:r>
          <w:rPr>
            <w:webHidden/>
          </w:rPr>
        </w:r>
        <w:r>
          <w:rPr>
            <w:webHidden/>
          </w:rPr>
          <w:fldChar w:fldCharType="separate"/>
        </w:r>
        <w:r>
          <w:rPr>
            <w:webHidden/>
          </w:rPr>
          <w:t>6</w:t>
        </w:r>
        <w:r>
          <w:rPr>
            <w:webHidden/>
          </w:rPr>
          <w:fldChar w:fldCharType="end"/>
        </w:r>
      </w:hyperlink>
    </w:p>
    <w:p w14:paraId="224E6742" w14:textId="05CC80A5" w:rsidR="00F07CAD" w:rsidRDefault="00F07CAD">
      <w:pPr>
        <w:pStyle w:val="TableofFigures"/>
        <w:rPr>
          <w:rFonts w:asciiTheme="minorHAnsi" w:eastAsiaTheme="minorEastAsia" w:hAnsiTheme="minorHAnsi" w:cstheme="minorBidi"/>
          <w:sz w:val="22"/>
          <w:szCs w:val="22"/>
          <w:lang w:eastAsia="en-AU"/>
        </w:rPr>
      </w:pPr>
      <w:hyperlink w:anchor="_Toc137198201" w:history="1">
        <w:r w:rsidRPr="00645AC6">
          <w:rPr>
            <w:rStyle w:val="Hyperlink"/>
          </w:rPr>
          <w:t>Table 4: Key aspects of the formulation of the product SEEKER Duo Fungicide</w:t>
        </w:r>
        <w:r>
          <w:rPr>
            <w:webHidden/>
          </w:rPr>
          <w:tab/>
        </w:r>
        <w:r>
          <w:rPr>
            <w:webHidden/>
          </w:rPr>
          <w:fldChar w:fldCharType="begin"/>
        </w:r>
        <w:r>
          <w:rPr>
            <w:webHidden/>
          </w:rPr>
          <w:instrText xml:space="preserve"> PAGEREF _Toc137198201 \h </w:instrText>
        </w:r>
        <w:r>
          <w:rPr>
            <w:webHidden/>
          </w:rPr>
        </w:r>
        <w:r>
          <w:rPr>
            <w:webHidden/>
          </w:rPr>
          <w:fldChar w:fldCharType="separate"/>
        </w:r>
        <w:r>
          <w:rPr>
            <w:webHidden/>
          </w:rPr>
          <w:t>7</w:t>
        </w:r>
        <w:r>
          <w:rPr>
            <w:webHidden/>
          </w:rPr>
          <w:fldChar w:fldCharType="end"/>
        </w:r>
      </w:hyperlink>
    </w:p>
    <w:p w14:paraId="34DC1423" w14:textId="5525611E" w:rsidR="00F07CAD" w:rsidRDefault="00F07CAD">
      <w:pPr>
        <w:pStyle w:val="TableofFigures"/>
        <w:rPr>
          <w:rFonts w:asciiTheme="minorHAnsi" w:eastAsiaTheme="minorEastAsia" w:hAnsiTheme="minorHAnsi" w:cstheme="minorBidi"/>
          <w:sz w:val="22"/>
          <w:szCs w:val="22"/>
          <w:lang w:eastAsia="en-AU"/>
        </w:rPr>
      </w:pPr>
      <w:hyperlink w:anchor="_Toc137198202" w:history="1">
        <w:r w:rsidRPr="00645AC6">
          <w:rPr>
            <w:rStyle w:val="Hyperlink"/>
          </w:rPr>
          <w:t>Table 5: Physicochemical properties of the product SEEKER Duo Fungicide</w:t>
        </w:r>
        <w:r>
          <w:rPr>
            <w:webHidden/>
          </w:rPr>
          <w:tab/>
        </w:r>
        <w:r>
          <w:rPr>
            <w:webHidden/>
          </w:rPr>
          <w:fldChar w:fldCharType="begin"/>
        </w:r>
        <w:r>
          <w:rPr>
            <w:webHidden/>
          </w:rPr>
          <w:instrText xml:space="preserve"> PAGEREF _Toc137198202 \h </w:instrText>
        </w:r>
        <w:r>
          <w:rPr>
            <w:webHidden/>
          </w:rPr>
        </w:r>
        <w:r>
          <w:rPr>
            <w:webHidden/>
          </w:rPr>
          <w:fldChar w:fldCharType="separate"/>
        </w:r>
        <w:r>
          <w:rPr>
            <w:webHidden/>
          </w:rPr>
          <w:t>8</w:t>
        </w:r>
        <w:r>
          <w:rPr>
            <w:webHidden/>
          </w:rPr>
          <w:fldChar w:fldCharType="end"/>
        </w:r>
      </w:hyperlink>
    </w:p>
    <w:p w14:paraId="79FD4F4A" w14:textId="1F4A6F66" w:rsidR="00F07CAD" w:rsidRDefault="00F07CAD">
      <w:pPr>
        <w:pStyle w:val="TableofFigures"/>
        <w:rPr>
          <w:rFonts w:asciiTheme="minorHAnsi" w:eastAsiaTheme="minorEastAsia" w:hAnsiTheme="minorHAnsi" w:cstheme="minorBidi"/>
          <w:sz w:val="22"/>
          <w:szCs w:val="22"/>
          <w:lang w:eastAsia="en-AU"/>
        </w:rPr>
      </w:pPr>
      <w:hyperlink w:anchor="_Toc137198203" w:history="1">
        <w:r w:rsidRPr="00645AC6">
          <w:rPr>
            <w:rStyle w:val="Hyperlink"/>
          </w:rPr>
          <w:t xml:space="preserve">Table 6: Amendments to the APVMA </w:t>
        </w:r>
        <w:r w:rsidRPr="00645AC6">
          <w:rPr>
            <w:rStyle w:val="Hyperlink"/>
            <w:bCs/>
          </w:rPr>
          <w:t>MRL Standard</w:t>
        </w:r>
        <w:r>
          <w:rPr>
            <w:webHidden/>
          </w:rPr>
          <w:tab/>
        </w:r>
        <w:r>
          <w:rPr>
            <w:webHidden/>
          </w:rPr>
          <w:fldChar w:fldCharType="begin"/>
        </w:r>
        <w:r>
          <w:rPr>
            <w:webHidden/>
          </w:rPr>
          <w:instrText xml:space="preserve"> PAGEREF _Toc137198203 \h </w:instrText>
        </w:r>
        <w:r>
          <w:rPr>
            <w:webHidden/>
          </w:rPr>
        </w:r>
        <w:r>
          <w:rPr>
            <w:webHidden/>
          </w:rPr>
          <w:fldChar w:fldCharType="separate"/>
        </w:r>
        <w:r>
          <w:rPr>
            <w:webHidden/>
          </w:rPr>
          <w:t>33</w:t>
        </w:r>
        <w:r>
          <w:rPr>
            <w:webHidden/>
          </w:rPr>
          <w:fldChar w:fldCharType="end"/>
        </w:r>
      </w:hyperlink>
    </w:p>
    <w:p w14:paraId="05D7BC27" w14:textId="6845323D" w:rsidR="00F07CAD" w:rsidRDefault="00F07CAD">
      <w:pPr>
        <w:pStyle w:val="TableofFigures"/>
        <w:rPr>
          <w:rFonts w:asciiTheme="minorHAnsi" w:eastAsiaTheme="minorEastAsia" w:hAnsiTheme="minorHAnsi" w:cstheme="minorBidi"/>
          <w:sz w:val="22"/>
          <w:szCs w:val="22"/>
          <w:lang w:eastAsia="en-AU"/>
        </w:rPr>
      </w:pPr>
      <w:hyperlink w:anchor="_Toc137198204" w:history="1">
        <w:r w:rsidRPr="00645AC6">
          <w:rPr>
            <w:rStyle w:val="Hyperlink"/>
          </w:rPr>
          <w:t>Table 7: Proposed Australian and current international MRLs for fenpropidin</w:t>
        </w:r>
        <w:r>
          <w:rPr>
            <w:webHidden/>
          </w:rPr>
          <w:tab/>
        </w:r>
        <w:r>
          <w:rPr>
            <w:webHidden/>
          </w:rPr>
          <w:fldChar w:fldCharType="begin"/>
        </w:r>
        <w:r>
          <w:rPr>
            <w:webHidden/>
          </w:rPr>
          <w:instrText xml:space="preserve"> PAGEREF _Toc137198204 \h </w:instrText>
        </w:r>
        <w:r>
          <w:rPr>
            <w:webHidden/>
          </w:rPr>
        </w:r>
        <w:r>
          <w:rPr>
            <w:webHidden/>
          </w:rPr>
          <w:fldChar w:fldCharType="separate"/>
        </w:r>
        <w:r>
          <w:rPr>
            <w:webHidden/>
          </w:rPr>
          <w:t>36</w:t>
        </w:r>
        <w:r>
          <w:rPr>
            <w:webHidden/>
          </w:rPr>
          <w:fldChar w:fldCharType="end"/>
        </w:r>
      </w:hyperlink>
    </w:p>
    <w:p w14:paraId="4059D7CB" w14:textId="3A0DDD83" w:rsidR="00F07CAD" w:rsidRDefault="00F07CAD">
      <w:pPr>
        <w:pStyle w:val="TableofFigures"/>
        <w:rPr>
          <w:rFonts w:asciiTheme="minorHAnsi" w:eastAsiaTheme="minorEastAsia" w:hAnsiTheme="minorHAnsi" w:cstheme="minorBidi"/>
          <w:sz w:val="22"/>
          <w:szCs w:val="22"/>
          <w:lang w:eastAsia="en-AU"/>
        </w:rPr>
      </w:pPr>
      <w:hyperlink w:anchor="_Toc137198205" w:history="1">
        <w:r w:rsidRPr="00645AC6">
          <w:rPr>
            <w:rStyle w:val="Hyperlink"/>
          </w:rPr>
          <w:t>Table 8: Summary of RALs for SEEKER Duo Fungicide</w:t>
        </w:r>
        <w:r>
          <w:rPr>
            <w:webHidden/>
          </w:rPr>
          <w:tab/>
        </w:r>
        <w:r>
          <w:rPr>
            <w:webHidden/>
          </w:rPr>
          <w:fldChar w:fldCharType="begin"/>
        </w:r>
        <w:r>
          <w:rPr>
            <w:webHidden/>
          </w:rPr>
          <w:instrText xml:space="preserve"> PAGEREF _Toc137198205 \h </w:instrText>
        </w:r>
        <w:r>
          <w:rPr>
            <w:webHidden/>
          </w:rPr>
        </w:r>
        <w:r>
          <w:rPr>
            <w:webHidden/>
          </w:rPr>
          <w:fldChar w:fldCharType="separate"/>
        </w:r>
        <w:r>
          <w:rPr>
            <w:webHidden/>
          </w:rPr>
          <w:t>51</w:t>
        </w:r>
        <w:r>
          <w:rPr>
            <w:webHidden/>
          </w:rPr>
          <w:fldChar w:fldCharType="end"/>
        </w:r>
      </w:hyperlink>
    </w:p>
    <w:p w14:paraId="3C3F73BA" w14:textId="77777777" w:rsidR="00F07CAD" w:rsidRDefault="00772458" w:rsidP="00772458">
      <w:pPr>
        <w:pStyle w:val="ToCH1"/>
        <w:spacing w:before="500"/>
        <w:rPr>
          <w:noProof/>
        </w:rPr>
      </w:pPr>
      <w:r>
        <w:rPr>
          <w:caps/>
          <w:noProof/>
        </w:rPr>
        <w:lastRenderedPageBreak/>
        <w:fldChar w:fldCharType="end"/>
      </w:r>
      <w:r w:rsidR="00F02476">
        <w:rPr>
          <w:noProof/>
        </w:rPr>
        <w:t>List of figures</w:t>
      </w:r>
      <w:r>
        <w:rPr>
          <w:caps/>
          <w:noProof/>
        </w:rPr>
        <w:fldChar w:fldCharType="begin"/>
      </w:r>
      <w:r>
        <w:rPr>
          <w:caps/>
          <w:noProof/>
        </w:rPr>
        <w:instrText xml:space="preserve"> TOC \h \z \c "Figure" </w:instrText>
      </w:r>
      <w:r>
        <w:rPr>
          <w:caps/>
          <w:noProof/>
        </w:rPr>
        <w:fldChar w:fldCharType="separate"/>
      </w:r>
    </w:p>
    <w:p w14:paraId="69476B21" w14:textId="33D93125" w:rsidR="00F07CAD" w:rsidRDefault="00F07CAD">
      <w:pPr>
        <w:pStyle w:val="TableofFigures"/>
        <w:rPr>
          <w:rFonts w:asciiTheme="minorHAnsi" w:eastAsiaTheme="minorEastAsia" w:hAnsiTheme="minorHAnsi" w:cstheme="minorBidi"/>
          <w:sz w:val="22"/>
          <w:szCs w:val="22"/>
          <w:lang w:eastAsia="en-AU"/>
        </w:rPr>
      </w:pPr>
      <w:hyperlink w:anchor="_Toc137198206" w:history="1">
        <w:r w:rsidRPr="00F9596D">
          <w:rPr>
            <w:rStyle w:val="Hyperlink"/>
          </w:rPr>
          <w:t>Figure 1: Proposed metabolic pathways of fenpropidin in the rat</w:t>
        </w:r>
        <w:r>
          <w:rPr>
            <w:webHidden/>
          </w:rPr>
          <w:tab/>
        </w:r>
        <w:r>
          <w:rPr>
            <w:webHidden/>
          </w:rPr>
          <w:fldChar w:fldCharType="begin"/>
        </w:r>
        <w:r>
          <w:rPr>
            <w:webHidden/>
          </w:rPr>
          <w:instrText xml:space="preserve"> PAGEREF _Toc137198206 \h </w:instrText>
        </w:r>
        <w:r>
          <w:rPr>
            <w:webHidden/>
          </w:rPr>
        </w:r>
        <w:r>
          <w:rPr>
            <w:webHidden/>
          </w:rPr>
          <w:fldChar w:fldCharType="separate"/>
        </w:r>
        <w:r>
          <w:rPr>
            <w:webHidden/>
          </w:rPr>
          <w:t>10</w:t>
        </w:r>
        <w:r>
          <w:rPr>
            <w:webHidden/>
          </w:rPr>
          <w:fldChar w:fldCharType="end"/>
        </w:r>
      </w:hyperlink>
    </w:p>
    <w:p w14:paraId="73E5B28B" w14:textId="479354B5" w:rsidR="00F07CAD" w:rsidRDefault="00F07CAD">
      <w:pPr>
        <w:pStyle w:val="TableofFigures"/>
        <w:rPr>
          <w:rFonts w:asciiTheme="minorHAnsi" w:eastAsiaTheme="minorEastAsia" w:hAnsiTheme="minorHAnsi" w:cstheme="minorBidi"/>
          <w:sz w:val="22"/>
          <w:szCs w:val="22"/>
          <w:lang w:eastAsia="en-AU"/>
        </w:rPr>
      </w:pPr>
      <w:hyperlink w:anchor="_Toc137198207" w:history="1">
        <w:r w:rsidRPr="00F9596D">
          <w:rPr>
            <w:rStyle w:val="Hyperlink"/>
          </w:rPr>
          <w:t>Figure 2: Proposed metabolic pathway of fenpropidin in grapevines</w:t>
        </w:r>
        <w:r>
          <w:rPr>
            <w:webHidden/>
          </w:rPr>
          <w:tab/>
        </w:r>
        <w:r>
          <w:rPr>
            <w:webHidden/>
          </w:rPr>
          <w:fldChar w:fldCharType="begin"/>
        </w:r>
        <w:r>
          <w:rPr>
            <w:webHidden/>
          </w:rPr>
          <w:instrText xml:space="preserve"> PAGEREF _Toc137198207 \h </w:instrText>
        </w:r>
        <w:r>
          <w:rPr>
            <w:webHidden/>
          </w:rPr>
        </w:r>
        <w:r>
          <w:rPr>
            <w:webHidden/>
          </w:rPr>
          <w:fldChar w:fldCharType="separate"/>
        </w:r>
        <w:r>
          <w:rPr>
            <w:webHidden/>
          </w:rPr>
          <w:t>19</w:t>
        </w:r>
        <w:r>
          <w:rPr>
            <w:webHidden/>
          </w:rPr>
          <w:fldChar w:fldCharType="end"/>
        </w:r>
      </w:hyperlink>
    </w:p>
    <w:p w14:paraId="4DFF6B5E" w14:textId="40AC56CF" w:rsidR="00F07CAD" w:rsidRDefault="00F07CAD">
      <w:pPr>
        <w:pStyle w:val="TableofFigures"/>
        <w:rPr>
          <w:rFonts w:asciiTheme="minorHAnsi" w:eastAsiaTheme="minorEastAsia" w:hAnsiTheme="minorHAnsi" w:cstheme="minorBidi"/>
          <w:sz w:val="22"/>
          <w:szCs w:val="22"/>
          <w:lang w:eastAsia="en-AU"/>
        </w:rPr>
      </w:pPr>
      <w:hyperlink w:anchor="_Toc137198208" w:history="1">
        <w:r w:rsidRPr="00F9596D">
          <w:rPr>
            <w:rStyle w:val="Hyperlink"/>
          </w:rPr>
          <w:t>Figure 3: Proposed metabolic pathway of fenpropidin in sugar beets</w:t>
        </w:r>
        <w:r>
          <w:rPr>
            <w:webHidden/>
          </w:rPr>
          <w:tab/>
        </w:r>
        <w:r>
          <w:rPr>
            <w:webHidden/>
          </w:rPr>
          <w:fldChar w:fldCharType="begin"/>
        </w:r>
        <w:r>
          <w:rPr>
            <w:webHidden/>
          </w:rPr>
          <w:instrText xml:space="preserve"> PAGEREF _Toc137198208 \h </w:instrText>
        </w:r>
        <w:r>
          <w:rPr>
            <w:webHidden/>
          </w:rPr>
        </w:r>
        <w:r>
          <w:rPr>
            <w:webHidden/>
          </w:rPr>
          <w:fldChar w:fldCharType="separate"/>
        </w:r>
        <w:r>
          <w:rPr>
            <w:webHidden/>
          </w:rPr>
          <w:t>20</w:t>
        </w:r>
        <w:r>
          <w:rPr>
            <w:webHidden/>
          </w:rPr>
          <w:fldChar w:fldCharType="end"/>
        </w:r>
      </w:hyperlink>
    </w:p>
    <w:p w14:paraId="5AC6CC24" w14:textId="0B49E218" w:rsidR="00F07CAD" w:rsidRDefault="00F07CAD">
      <w:pPr>
        <w:pStyle w:val="TableofFigures"/>
        <w:rPr>
          <w:rFonts w:asciiTheme="minorHAnsi" w:eastAsiaTheme="minorEastAsia" w:hAnsiTheme="minorHAnsi" w:cstheme="minorBidi"/>
          <w:sz w:val="22"/>
          <w:szCs w:val="22"/>
          <w:lang w:eastAsia="en-AU"/>
        </w:rPr>
      </w:pPr>
      <w:hyperlink w:anchor="_Toc137198209" w:history="1">
        <w:r w:rsidRPr="00F9596D">
          <w:rPr>
            <w:rStyle w:val="Hyperlink"/>
          </w:rPr>
          <w:t>Figure 4: Proposed metabolic pathway of fenpropidin in plants</w:t>
        </w:r>
        <w:r>
          <w:rPr>
            <w:webHidden/>
          </w:rPr>
          <w:tab/>
        </w:r>
        <w:r>
          <w:rPr>
            <w:webHidden/>
          </w:rPr>
          <w:fldChar w:fldCharType="begin"/>
        </w:r>
        <w:r>
          <w:rPr>
            <w:webHidden/>
          </w:rPr>
          <w:instrText xml:space="preserve"> PAGEREF _Toc137198209 \h </w:instrText>
        </w:r>
        <w:r>
          <w:rPr>
            <w:webHidden/>
          </w:rPr>
        </w:r>
        <w:r>
          <w:rPr>
            <w:webHidden/>
          </w:rPr>
          <w:fldChar w:fldCharType="separate"/>
        </w:r>
        <w:r>
          <w:rPr>
            <w:webHidden/>
          </w:rPr>
          <w:t>23</w:t>
        </w:r>
        <w:r>
          <w:rPr>
            <w:webHidden/>
          </w:rPr>
          <w:fldChar w:fldCharType="end"/>
        </w:r>
      </w:hyperlink>
    </w:p>
    <w:p w14:paraId="17925680" w14:textId="55648EE2" w:rsidR="00F07CAD" w:rsidRDefault="00F07CAD">
      <w:pPr>
        <w:pStyle w:val="TableofFigures"/>
        <w:rPr>
          <w:rFonts w:asciiTheme="minorHAnsi" w:eastAsiaTheme="minorEastAsia" w:hAnsiTheme="minorHAnsi" w:cstheme="minorBidi"/>
          <w:sz w:val="22"/>
          <w:szCs w:val="22"/>
          <w:lang w:eastAsia="en-AU"/>
        </w:rPr>
      </w:pPr>
      <w:hyperlink w:anchor="_Toc137198210" w:history="1">
        <w:r w:rsidRPr="00F9596D">
          <w:rPr>
            <w:rStyle w:val="Hyperlink"/>
          </w:rPr>
          <w:t>Figure 5: Proposed metabolic pathway of fenpropidin in the lactating goat</w:t>
        </w:r>
        <w:r>
          <w:rPr>
            <w:webHidden/>
          </w:rPr>
          <w:tab/>
        </w:r>
        <w:r>
          <w:rPr>
            <w:webHidden/>
          </w:rPr>
          <w:fldChar w:fldCharType="begin"/>
        </w:r>
        <w:r>
          <w:rPr>
            <w:webHidden/>
          </w:rPr>
          <w:instrText xml:space="preserve"> PAGEREF _Toc137198210 \h </w:instrText>
        </w:r>
        <w:r>
          <w:rPr>
            <w:webHidden/>
          </w:rPr>
        </w:r>
        <w:r>
          <w:rPr>
            <w:webHidden/>
          </w:rPr>
          <w:fldChar w:fldCharType="separate"/>
        </w:r>
        <w:r>
          <w:rPr>
            <w:webHidden/>
          </w:rPr>
          <w:t>25</w:t>
        </w:r>
        <w:r>
          <w:rPr>
            <w:webHidden/>
          </w:rPr>
          <w:fldChar w:fldCharType="end"/>
        </w:r>
      </w:hyperlink>
    </w:p>
    <w:p w14:paraId="640D22AC" w14:textId="7E66D4CD" w:rsidR="00F07CAD" w:rsidRDefault="00F07CAD">
      <w:pPr>
        <w:pStyle w:val="TableofFigures"/>
        <w:rPr>
          <w:rFonts w:asciiTheme="minorHAnsi" w:eastAsiaTheme="minorEastAsia" w:hAnsiTheme="minorHAnsi" w:cstheme="minorBidi"/>
          <w:sz w:val="22"/>
          <w:szCs w:val="22"/>
          <w:lang w:eastAsia="en-AU"/>
        </w:rPr>
      </w:pPr>
      <w:hyperlink w:anchor="_Toc137198211" w:history="1">
        <w:r w:rsidRPr="00F9596D">
          <w:rPr>
            <w:rStyle w:val="Hyperlink"/>
          </w:rPr>
          <w:t>Figure 6: Proposed metabolic pathway from the [3-</w:t>
        </w:r>
        <w:r w:rsidRPr="00F9596D">
          <w:rPr>
            <w:rStyle w:val="Hyperlink"/>
            <w:vertAlign w:val="superscript"/>
          </w:rPr>
          <w:t>14</w:t>
        </w:r>
        <w:r w:rsidRPr="00F9596D">
          <w:rPr>
            <w:rStyle w:val="Hyperlink"/>
          </w:rPr>
          <w:t>C-propylpiperidine]-fenpropidin experiment in the laying hen</w:t>
        </w:r>
        <w:r>
          <w:rPr>
            <w:webHidden/>
          </w:rPr>
          <w:tab/>
        </w:r>
        <w:r>
          <w:rPr>
            <w:webHidden/>
          </w:rPr>
          <w:fldChar w:fldCharType="begin"/>
        </w:r>
        <w:r>
          <w:rPr>
            <w:webHidden/>
          </w:rPr>
          <w:instrText xml:space="preserve"> PAGEREF _Toc137198211 \h </w:instrText>
        </w:r>
        <w:r>
          <w:rPr>
            <w:webHidden/>
          </w:rPr>
        </w:r>
        <w:r>
          <w:rPr>
            <w:webHidden/>
          </w:rPr>
          <w:fldChar w:fldCharType="separate"/>
        </w:r>
        <w:r>
          <w:rPr>
            <w:webHidden/>
          </w:rPr>
          <w:t>27</w:t>
        </w:r>
        <w:r>
          <w:rPr>
            <w:webHidden/>
          </w:rPr>
          <w:fldChar w:fldCharType="end"/>
        </w:r>
      </w:hyperlink>
    </w:p>
    <w:p w14:paraId="66F806D6" w14:textId="67A83009" w:rsidR="00F07CAD" w:rsidRDefault="00F07CAD">
      <w:pPr>
        <w:pStyle w:val="TableofFigures"/>
        <w:rPr>
          <w:rFonts w:asciiTheme="minorHAnsi" w:eastAsiaTheme="minorEastAsia" w:hAnsiTheme="minorHAnsi" w:cstheme="minorBidi"/>
          <w:sz w:val="22"/>
          <w:szCs w:val="22"/>
          <w:lang w:eastAsia="en-AU"/>
        </w:rPr>
      </w:pPr>
      <w:hyperlink w:anchor="_Toc137198212" w:history="1">
        <w:r w:rsidRPr="00F9596D">
          <w:rPr>
            <w:rStyle w:val="Hyperlink"/>
          </w:rPr>
          <w:t>Figure 7: Proposed metabolic pathway from the [2,6-</w:t>
        </w:r>
        <w:r w:rsidRPr="00F9596D">
          <w:rPr>
            <w:rStyle w:val="Hyperlink"/>
            <w:vertAlign w:val="superscript"/>
          </w:rPr>
          <w:t>14</w:t>
        </w:r>
        <w:r w:rsidRPr="00F9596D">
          <w:rPr>
            <w:rStyle w:val="Hyperlink"/>
          </w:rPr>
          <w:t>C-piperidine]-fenpropidin experiment in the laying hen</w:t>
        </w:r>
        <w:r>
          <w:rPr>
            <w:webHidden/>
          </w:rPr>
          <w:tab/>
        </w:r>
        <w:r>
          <w:rPr>
            <w:webHidden/>
          </w:rPr>
          <w:fldChar w:fldCharType="begin"/>
        </w:r>
        <w:r>
          <w:rPr>
            <w:webHidden/>
          </w:rPr>
          <w:instrText xml:space="preserve"> PAGEREF _Toc137198212 \h </w:instrText>
        </w:r>
        <w:r>
          <w:rPr>
            <w:webHidden/>
          </w:rPr>
        </w:r>
        <w:r>
          <w:rPr>
            <w:webHidden/>
          </w:rPr>
          <w:fldChar w:fldCharType="separate"/>
        </w:r>
        <w:r>
          <w:rPr>
            <w:webHidden/>
          </w:rPr>
          <w:t>28</w:t>
        </w:r>
        <w:r>
          <w:rPr>
            <w:webHidden/>
          </w:rPr>
          <w:fldChar w:fldCharType="end"/>
        </w:r>
      </w:hyperlink>
    </w:p>
    <w:p w14:paraId="542B1E3A" w14:textId="314B452D" w:rsidR="00F07CAD" w:rsidRDefault="00F07CAD">
      <w:pPr>
        <w:pStyle w:val="TableofFigures"/>
        <w:rPr>
          <w:rFonts w:asciiTheme="minorHAnsi" w:eastAsiaTheme="minorEastAsia" w:hAnsiTheme="minorHAnsi" w:cstheme="minorBidi"/>
          <w:sz w:val="22"/>
          <w:szCs w:val="22"/>
          <w:lang w:eastAsia="en-AU"/>
        </w:rPr>
      </w:pPr>
      <w:hyperlink w:anchor="_Toc137198213" w:history="1">
        <w:r w:rsidRPr="00F9596D">
          <w:rPr>
            <w:rStyle w:val="Hyperlink"/>
          </w:rPr>
          <w:t>Figure 8: Proposed metabolic pathway of fenpropidin in the lactating goat, laying hen and rat</w:t>
        </w:r>
        <w:r>
          <w:rPr>
            <w:webHidden/>
          </w:rPr>
          <w:tab/>
        </w:r>
        <w:r>
          <w:rPr>
            <w:webHidden/>
          </w:rPr>
          <w:fldChar w:fldCharType="begin"/>
        </w:r>
        <w:r>
          <w:rPr>
            <w:webHidden/>
          </w:rPr>
          <w:instrText xml:space="preserve"> PAGEREF _Toc137198213 \h </w:instrText>
        </w:r>
        <w:r>
          <w:rPr>
            <w:webHidden/>
          </w:rPr>
        </w:r>
        <w:r>
          <w:rPr>
            <w:webHidden/>
          </w:rPr>
          <w:fldChar w:fldCharType="separate"/>
        </w:r>
        <w:r>
          <w:rPr>
            <w:webHidden/>
          </w:rPr>
          <w:t>29</w:t>
        </w:r>
        <w:r>
          <w:rPr>
            <w:webHidden/>
          </w:rPr>
          <w:fldChar w:fldCharType="end"/>
        </w:r>
      </w:hyperlink>
    </w:p>
    <w:p w14:paraId="669B30F6" w14:textId="58F9C284" w:rsidR="00F02476" w:rsidRDefault="00772458" w:rsidP="00772458">
      <w:pPr>
        <w:pStyle w:val="ToCH1"/>
        <w:spacing w:before="500"/>
        <w:rPr>
          <w:rFonts w:ascii="Trebuchet MS" w:hAnsi="Trebuchet MS"/>
          <w:b/>
          <w:bCs w:val="0"/>
          <w:caps/>
          <w:noProof/>
          <w:color w:val="365860"/>
        </w:rPr>
        <w:sectPr w:rsidR="00F02476" w:rsidSect="005148C0">
          <w:headerReference w:type="even" r:id="rId20"/>
          <w:headerReference w:type="default" r:id="rId21"/>
          <w:pgSz w:w="11906" w:h="16838" w:code="9"/>
          <w:pgMar w:top="2835" w:right="1134" w:bottom="1134" w:left="1134" w:header="1701" w:footer="680" w:gutter="0"/>
          <w:pgNumType w:fmt="lowerRoman" w:start="3"/>
          <w:cols w:space="708"/>
          <w:docGrid w:linePitch="360"/>
        </w:sectPr>
      </w:pPr>
      <w:r>
        <w:rPr>
          <w:caps/>
          <w:noProof/>
        </w:rPr>
        <w:fldChar w:fldCharType="end"/>
      </w:r>
    </w:p>
    <w:p w14:paraId="0A1F4403" w14:textId="56B5AF4C" w:rsidR="002E20AC" w:rsidRDefault="002E20AC" w:rsidP="00032787">
      <w:pPr>
        <w:pStyle w:val="APVMAPreliminariesH1"/>
      </w:pPr>
      <w:bookmarkStart w:id="1" w:name="_Toc234063054"/>
      <w:bookmarkStart w:id="2" w:name="_Toc414373831"/>
      <w:bookmarkStart w:id="3" w:name="_Toc7561213"/>
      <w:bookmarkStart w:id="4" w:name="_Toc137198143"/>
      <w:r>
        <w:lastRenderedPageBreak/>
        <w:t>Preface</w:t>
      </w:r>
      <w:bookmarkEnd w:id="1"/>
      <w:bookmarkEnd w:id="2"/>
      <w:bookmarkEnd w:id="3"/>
      <w:bookmarkEnd w:id="4"/>
    </w:p>
    <w:p w14:paraId="6C80D611" w14:textId="01B4540A" w:rsidR="002F5D1B" w:rsidRDefault="002F5D1B" w:rsidP="002F5D1B">
      <w:pPr>
        <w:pStyle w:val="APVMAText"/>
      </w:pPr>
      <w:bookmarkStart w:id="5" w:name="_Toc414373832"/>
      <w:r>
        <w:t>The Australian Pesticides and Veterinary Medicines Authority (APVMA) is the Australian Government regulator responsible for assessing and approving agricultural and veterinary chemical products prior to their sale and use in Australia. Before approving an active constituent and/or registering a product, the APVMA must be satisfied that the statutory criteria, including the safety, efficacy, trade</w:t>
      </w:r>
      <w:r w:rsidR="00CA5B2B">
        <w:t>,</w:t>
      </w:r>
      <w:r>
        <w:t xml:space="preserve"> and labelling criteria, have been met.</w:t>
      </w:r>
      <w:r w:rsidRPr="00995FB4">
        <w:t xml:space="preserve"> </w:t>
      </w:r>
      <w:r>
        <w:t xml:space="preserve">The information and technical data required by the APVMA to assess the statutory criteria of new chemical products, and the methods of assessment, must be consistent with accepted scientific principles and processes. Details are outlined on the </w:t>
      </w:r>
      <w:hyperlink r:id="rId22" w:history="1">
        <w:r w:rsidRPr="006C539B">
          <w:rPr>
            <w:rStyle w:val="Hyperlink"/>
          </w:rPr>
          <w:t>APVMA website</w:t>
        </w:r>
      </w:hyperlink>
      <w:r>
        <w:t>.</w:t>
      </w:r>
    </w:p>
    <w:p w14:paraId="25A1461C" w14:textId="2AAE51D9" w:rsidR="002F5D1B" w:rsidRDefault="002F5D1B" w:rsidP="002F5D1B">
      <w:pPr>
        <w:pStyle w:val="APVMAText"/>
      </w:pPr>
      <w:r>
        <w:t xml:space="preserve">The APVMA has a policy of encouraging transparency in its activities and seeking community involvement in decision making. Part of that process is the publication of </w:t>
      </w:r>
      <w:r w:rsidR="00E1009B">
        <w:t>Public Release S</w:t>
      </w:r>
      <w:r>
        <w:t>ummaries for products containing new active constituents.</w:t>
      </w:r>
      <w:r w:rsidR="002853BD">
        <w:t xml:space="preserve"> This Public Release S</w:t>
      </w:r>
      <w:r>
        <w:t>ummary is intended as a brief overview of the assessment that has been conducted by the APVMA and of the specialist advice received from advisory agencies, including other Australian Government agencies and State departments of primary industries. It has been deliberately presented in a manner that is likely to be informative to the widest possible audienc</w:t>
      </w:r>
      <w:r w:rsidRPr="00017CE2">
        <w:t>e</w:t>
      </w:r>
      <w:r>
        <w:t xml:space="preserve"> to encourage public comment.</w:t>
      </w:r>
    </w:p>
    <w:p w14:paraId="370B646F" w14:textId="77777777" w:rsidR="002E20AC" w:rsidRDefault="006D36C8" w:rsidP="00032787">
      <w:pPr>
        <w:pStyle w:val="APVMAPreliminariesH2"/>
      </w:pPr>
      <w:bookmarkStart w:id="6" w:name="_Toc7561214"/>
      <w:bookmarkStart w:id="7" w:name="_Toc137198144"/>
      <w:r>
        <w:t>About this document</w:t>
      </w:r>
      <w:bookmarkEnd w:id="5"/>
      <w:bookmarkEnd w:id="6"/>
      <w:bookmarkEnd w:id="7"/>
    </w:p>
    <w:p w14:paraId="4B18BC02" w14:textId="77777777" w:rsidR="002F5D1B" w:rsidRDefault="002853BD" w:rsidP="002F5D1B">
      <w:pPr>
        <w:pStyle w:val="APVMAText"/>
        <w:tabs>
          <w:tab w:val="left" w:pos="1361"/>
        </w:tabs>
      </w:pPr>
      <w:r>
        <w:t>This P</w:t>
      </w:r>
      <w:r>
        <w:rPr>
          <w:lang w:val="en-GB"/>
        </w:rPr>
        <w:t>ublic Release S</w:t>
      </w:r>
      <w:r w:rsidR="002F5D1B">
        <w:rPr>
          <w:lang w:val="en-GB"/>
        </w:rPr>
        <w:t xml:space="preserve">ummary </w:t>
      </w:r>
      <w:r w:rsidR="002F5D1B">
        <w:t>indicates that the APVMA is considering an application for registration of an agricultural or veterinary chemical. It provides a summary of the APVMA’s assessment, which may include details of:</w:t>
      </w:r>
    </w:p>
    <w:p w14:paraId="0EF16FB9" w14:textId="77777777" w:rsidR="002F5D1B" w:rsidRDefault="002F5D1B" w:rsidP="00CA0A44">
      <w:pPr>
        <w:pStyle w:val="APVMABullet1"/>
      </w:pPr>
      <w:r>
        <w:t>the toxicology of both the active constituent and product</w:t>
      </w:r>
    </w:p>
    <w:p w14:paraId="5F57BB43" w14:textId="77777777" w:rsidR="002F5D1B" w:rsidRDefault="002F5D1B" w:rsidP="00CA0A44">
      <w:pPr>
        <w:pStyle w:val="APVMABullet1"/>
      </w:pPr>
      <w:r>
        <w:t>the residues and trade assessment</w:t>
      </w:r>
    </w:p>
    <w:p w14:paraId="43B7D5E0" w14:textId="77777777" w:rsidR="002F5D1B" w:rsidRDefault="002F5D1B" w:rsidP="00CA0A44">
      <w:pPr>
        <w:pStyle w:val="APVMABullet1"/>
      </w:pPr>
      <w:r>
        <w:t>occupational exposure aspects</w:t>
      </w:r>
    </w:p>
    <w:p w14:paraId="7E94D8B9" w14:textId="77777777" w:rsidR="002F5D1B" w:rsidRDefault="002F5D1B" w:rsidP="00CA0A44">
      <w:pPr>
        <w:pStyle w:val="APVMABullet1"/>
      </w:pPr>
      <w:r>
        <w:t>environmental fate, toxicity, potential exposure and hazard</w:t>
      </w:r>
    </w:p>
    <w:p w14:paraId="2F4B360E" w14:textId="77777777" w:rsidR="002F5D1B" w:rsidRDefault="002F5D1B" w:rsidP="00CA0A44">
      <w:pPr>
        <w:pStyle w:val="APVMABullet1"/>
      </w:pPr>
      <w:r>
        <w:t>efficacy and target crop or animal safety.</w:t>
      </w:r>
    </w:p>
    <w:p w14:paraId="736592DF" w14:textId="77777777" w:rsidR="002F5D1B" w:rsidRDefault="002F5D1B" w:rsidP="002F5D1B">
      <w:pPr>
        <w:pStyle w:val="APVMAText"/>
        <w:tabs>
          <w:tab w:val="left" w:pos="1361"/>
        </w:tabs>
      </w:pPr>
      <w:r>
        <w:t>Comment is sought from interested stakeholders on the information contained within this document.</w:t>
      </w:r>
    </w:p>
    <w:p w14:paraId="1AC06269" w14:textId="77777777" w:rsidR="006D36C8" w:rsidRDefault="006D36C8" w:rsidP="00032787">
      <w:pPr>
        <w:pStyle w:val="APVMAPreliminariesH2"/>
      </w:pPr>
      <w:bookmarkStart w:id="8" w:name="_Toc7561215"/>
      <w:bookmarkStart w:id="9" w:name="_Toc137198145"/>
      <w:r>
        <w:t>Making a submission</w:t>
      </w:r>
      <w:bookmarkEnd w:id="8"/>
      <w:bookmarkEnd w:id="9"/>
    </w:p>
    <w:p w14:paraId="6FA69E0E" w14:textId="77777777" w:rsidR="00DD03C2" w:rsidRDefault="002F5D1B" w:rsidP="002F5D1B">
      <w:pPr>
        <w:pStyle w:val="APVMAText"/>
      </w:pPr>
      <w:r>
        <w:t xml:space="preserve">In accordance with sections 12 and 13 of the Agvet Code, the APVMA invites any person to submit a relevant written submission as to whether the application for registration of </w:t>
      </w:r>
      <w:r w:rsidR="00DD03C2" w:rsidRPr="00DD03C2">
        <w:t>SEEKER Duo Fungicide</w:t>
      </w:r>
      <w:r w:rsidR="00DD03C2">
        <w:t xml:space="preserve"> </w:t>
      </w:r>
      <w:r w:rsidR="00D81C23">
        <w:t>should be granted.</w:t>
      </w:r>
    </w:p>
    <w:p w14:paraId="618C111D" w14:textId="0E12507E" w:rsidR="002F5D1B" w:rsidRDefault="002F5D1B" w:rsidP="002F5D1B">
      <w:pPr>
        <w:pStyle w:val="APVMAText"/>
      </w:pPr>
      <w:r>
        <w:t xml:space="preserve">Submissions should relate only to matters that the APVMA is required, by legislation, to take into account in deciding whether to grant the application. These matters include aspects of </w:t>
      </w:r>
      <w:r w:rsidRPr="00B401F5">
        <w:rPr>
          <w:bCs/>
        </w:rPr>
        <w:t>public health, occupational health and safety, chemistry and manufacture, residues in food, environmental safety, trade, and efficacy and target crop or animal safety</w:t>
      </w:r>
      <w:r w:rsidRPr="00B401F5">
        <w:t>. S</w:t>
      </w:r>
      <w:r>
        <w:t>ubmissions should state the grounds on which they are based. Comments received that address issues outside the relevant matters cannot be considered by the APVMA.</w:t>
      </w:r>
    </w:p>
    <w:p w14:paraId="2C04DAC8" w14:textId="3C927162" w:rsidR="002F5D1B" w:rsidRDefault="002F5D1B" w:rsidP="002F5D1B">
      <w:pPr>
        <w:pStyle w:val="APVMAText"/>
      </w:pPr>
      <w:r>
        <w:lastRenderedPageBreak/>
        <w:t xml:space="preserve">Submissions must be received by the APVMA by close of business on </w:t>
      </w:r>
      <w:r w:rsidR="00C563CE">
        <w:t>11 July 2023</w:t>
      </w:r>
      <w:r w:rsidR="00CA5B2B">
        <w:t xml:space="preserve"> </w:t>
      </w:r>
      <w:r>
        <w:t>and be directed to the contact listed below. All submissions to the APVMA will be acknowledged in writing via email or by post.</w:t>
      </w:r>
    </w:p>
    <w:p w14:paraId="5149F7FB" w14:textId="77777777" w:rsidR="002F5D1B" w:rsidRDefault="002F5D1B" w:rsidP="002F5D1B">
      <w:pPr>
        <w:pStyle w:val="APVMAText"/>
      </w:pPr>
      <w:r>
        <w:t>Relevant comments will be taken into account by the APVMA in deciding whether the product should be registered and in determining appropriate conditions of registration and product labelling.</w:t>
      </w:r>
    </w:p>
    <w:p w14:paraId="1DBB4369" w14:textId="626268AE" w:rsidR="002F5D1B" w:rsidRDefault="002F5D1B" w:rsidP="002F5D1B">
      <w:pPr>
        <w:pStyle w:val="APVMAText"/>
      </w:pPr>
      <w:r>
        <w:t>When making a submission please include:</w:t>
      </w:r>
    </w:p>
    <w:p w14:paraId="3415C3D9" w14:textId="3D52A68F" w:rsidR="002F5D1B" w:rsidRDefault="00772458" w:rsidP="002F5D1B">
      <w:pPr>
        <w:pStyle w:val="APVMABullet1"/>
      </w:pPr>
      <w:r>
        <w:t xml:space="preserve">a </w:t>
      </w:r>
      <w:r w:rsidR="002F5D1B">
        <w:t xml:space="preserve">contact </w:t>
      </w:r>
      <w:proofErr w:type="gramStart"/>
      <w:r w:rsidR="002F5D1B">
        <w:t>name</w:t>
      </w:r>
      <w:proofErr w:type="gramEnd"/>
    </w:p>
    <w:p w14:paraId="42073838" w14:textId="7698F0AA" w:rsidR="002F5D1B" w:rsidRDefault="00772458" w:rsidP="002F5D1B">
      <w:pPr>
        <w:pStyle w:val="APVMABullet1"/>
      </w:pPr>
      <w:r>
        <w:t xml:space="preserve">the </w:t>
      </w:r>
      <w:r w:rsidR="002F5D1B">
        <w:t xml:space="preserve">company or </w:t>
      </w:r>
      <w:r w:rsidR="00F836A5">
        <w:t xml:space="preserve">organisation </w:t>
      </w:r>
      <w:r w:rsidR="002F5D1B">
        <w:t>name (if relevant)</w:t>
      </w:r>
    </w:p>
    <w:p w14:paraId="2A0494C3" w14:textId="7044B26C" w:rsidR="002F5D1B" w:rsidRDefault="00772458" w:rsidP="002F5D1B">
      <w:pPr>
        <w:pStyle w:val="APVMABullet1"/>
      </w:pPr>
      <w:r>
        <w:t xml:space="preserve">an </w:t>
      </w:r>
      <w:r w:rsidR="002F5D1B">
        <w:t>email or postal address (if available)</w:t>
      </w:r>
    </w:p>
    <w:p w14:paraId="0CCBBD35" w14:textId="77777777" w:rsidR="002F5D1B" w:rsidRDefault="002F5D1B" w:rsidP="002F5D1B">
      <w:pPr>
        <w:pStyle w:val="APVMABullet1"/>
      </w:pPr>
      <w:r>
        <w:t>the date you made the submission.</w:t>
      </w:r>
    </w:p>
    <w:p w14:paraId="7F264EDA" w14:textId="35BB044C" w:rsidR="00D81C23" w:rsidRDefault="00D81C23" w:rsidP="002F5D1B">
      <w:pPr>
        <w:pStyle w:val="APVMAText"/>
      </w:pPr>
      <w:r w:rsidRPr="005958BC">
        <w:rPr>
          <w:b/>
        </w:rPr>
        <w:t>Please note</w:t>
      </w:r>
      <w:r>
        <w:t xml:space="preserve">: </w:t>
      </w:r>
      <w:r w:rsidR="00F836A5">
        <w:t>s</w:t>
      </w:r>
      <w:r w:rsidR="00F836A5" w:rsidRPr="00F836A5">
        <w:t>ubmissions will be published on the APVMA website unless you have asked for the sub</w:t>
      </w:r>
      <w:r w:rsidR="00F836A5">
        <w:t xml:space="preserve">mission to remain confidential, or </w:t>
      </w:r>
      <w:r w:rsidR="0046400B">
        <w:t xml:space="preserve">if the APVMA chooses at its discretion not to publish any submissions received </w:t>
      </w:r>
      <w:r w:rsidR="00F836A5">
        <w:t xml:space="preserve">(refer to the </w:t>
      </w:r>
      <w:hyperlink r:id="rId23" w:history="1">
        <w:r w:rsidR="00F836A5" w:rsidRPr="00401F04">
          <w:rPr>
            <w:rStyle w:val="Hyperlink"/>
          </w:rPr>
          <w:t>public consultation coversheet</w:t>
        </w:r>
      </w:hyperlink>
      <w:r w:rsidR="00F836A5">
        <w:t>)</w:t>
      </w:r>
      <w:r w:rsidR="00CA5B2B">
        <w:t>.</w:t>
      </w:r>
    </w:p>
    <w:p w14:paraId="7BABEEAA" w14:textId="1515682E" w:rsidR="00D81C23" w:rsidRDefault="00F836A5" w:rsidP="002F5D1B">
      <w:pPr>
        <w:pStyle w:val="APVMAText"/>
      </w:pPr>
      <w:r>
        <w:t>Please</w:t>
      </w:r>
      <w:r w:rsidR="00D81C23">
        <w:t xml:space="preserve"> lodge </w:t>
      </w:r>
      <w:r>
        <w:t xml:space="preserve">your </w:t>
      </w:r>
      <w:r w:rsidR="00D81C23">
        <w:t xml:space="preserve">submission using </w:t>
      </w:r>
      <w:r w:rsidR="00D81C23" w:rsidRPr="00D81C23">
        <w:t xml:space="preserve">the </w:t>
      </w:r>
      <w:hyperlink r:id="rId24" w:history="1">
        <w:r w:rsidR="00D81C23" w:rsidRPr="00401F04">
          <w:rPr>
            <w:rStyle w:val="Hyperlink"/>
          </w:rPr>
          <w:t>public consultation coversheet</w:t>
        </w:r>
      </w:hyperlink>
      <w:r w:rsidR="00D81C23">
        <w:t xml:space="preserve">, which provides options for how your submission </w:t>
      </w:r>
      <w:r>
        <w:t>will be</w:t>
      </w:r>
      <w:r w:rsidR="00D81C23">
        <w:t xml:space="preserve"> published.</w:t>
      </w:r>
    </w:p>
    <w:p w14:paraId="35CECD91" w14:textId="3773BB88" w:rsidR="00E1009B" w:rsidRDefault="00E1009B" w:rsidP="002F5D1B">
      <w:pPr>
        <w:pStyle w:val="APVMAText"/>
      </w:pPr>
      <w:r w:rsidRPr="0066107B">
        <w:t xml:space="preserve">Note that all APVMA documents are subject to the access provisions of the </w:t>
      </w:r>
      <w:r w:rsidRPr="0066107B">
        <w:rPr>
          <w:i/>
        </w:rPr>
        <w:t>Freedom of Information Act 1982</w:t>
      </w:r>
      <w:r w:rsidRPr="0066107B">
        <w:t xml:space="preserve"> and may be required to be released under that Act should a request for access be made.</w:t>
      </w:r>
    </w:p>
    <w:p w14:paraId="0DEFD823" w14:textId="2E99F4B5" w:rsidR="002F5D1B" w:rsidRDefault="002F5D1B" w:rsidP="002F5D1B">
      <w:pPr>
        <w:pStyle w:val="APVMAText"/>
      </w:pPr>
      <w:r>
        <w:t xml:space="preserve">Unless </w:t>
      </w:r>
      <w:r w:rsidR="00F836A5">
        <w:t xml:space="preserve">you </w:t>
      </w:r>
      <w:r>
        <w:t xml:space="preserve">request </w:t>
      </w:r>
      <w:r w:rsidR="00F836A5">
        <w:t>for your submission to remain confident</w:t>
      </w:r>
      <w:r w:rsidR="002549D3">
        <w:t>ial</w:t>
      </w:r>
      <w:r w:rsidR="00F836A5">
        <w:t>,</w:t>
      </w:r>
      <w:r>
        <w:t xml:space="preserve"> the APVMA may release </w:t>
      </w:r>
      <w:r w:rsidR="00F836A5">
        <w:t xml:space="preserve">your </w:t>
      </w:r>
      <w:r>
        <w:t>submission</w:t>
      </w:r>
      <w:r w:rsidR="00F836A5">
        <w:t xml:space="preserve"> </w:t>
      </w:r>
      <w:r>
        <w:t>to the applicant for comment.</w:t>
      </w:r>
    </w:p>
    <w:p w14:paraId="45436B3D" w14:textId="79C571E4" w:rsidR="002F5D1B" w:rsidRDefault="002F5D1B" w:rsidP="005958BC">
      <w:pPr>
        <w:pStyle w:val="APVMAText"/>
        <w:tabs>
          <w:tab w:val="center" w:pos="4819"/>
        </w:tabs>
      </w:pPr>
      <w:r>
        <w:t>Written submissions should be addressed to:</w:t>
      </w:r>
    </w:p>
    <w:p w14:paraId="4675E9A9" w14:textId="48F563C3" w:rsidR="006D36C8" w:rsidRDefault="00705195" w:rsidP="005148C0">
      <w:pPr>
        <w:pStyle w:val="APVMAAddress"/>
        <w:tabs>
          <w:tab w:val="clear" w:pos="1361"/>
          <w:tab w:val="left" w:pos="851"/>
        </w:tabs>
        <w:ind w:left="0"/>
      </w:pPr>
      <w:r>
        <w:t xml:space="preserve">Case Management Team </w:t>
      </w:r>
      <w:r w:rsidR="00772458">
        <w:t>–</w:t>
      </w:r>
      <w:r>
        <w:t xml:space="preserve"> Pesticides</w:t>
      </w:r>
    </w:p>
    <w:p w14:paraId="3491E4D1" w14:textId="77777777" w:rsidR="006D36C8" w:rsidRDefault="006D36C8" w:rsidP="005148C0">
      <w:pPr>
        <w:pStyle w:val="APVMAAddress"/>
        <w:tabs>
          <w:tab w:val="clear" w:pos="1361"/>
          <w:tab w:val="left" w:pos="851"/>
        </w:tabs>
        <w:ind w:left="0"/>
      </w:pPr>
      <w:r>
        <w:t>Australian Pesticides and Veterinary Medicines Authority</w:t>
      </w:r>
    </w:p>
    <w:p w14:paraId="5C03F965" w14:textId="77777777" w:rsidR="006D36C8" w:rsidRDefault="00913600" w:rsidP="005148C0">
      <w:pPr>
        <w:pStyle w:val="APVMAAddress"/>
        <w:tabs>
          <w:tab w:val="clear" w:pos="1361"/>
          <w:tab w:val="left" w:pos="851"/>
        </w:tabs>
        <w:ind w:left="0"/>
      </w:pPr>
      <w:r>
        <w:t>G</w:t>
      </w:r>
      <w:r w:rsidR="006D36C8">
        <w:t xml:space="preserve">PO Box </w:t>
      </w:r>
      <w:r>
        <w:t>3262</w:t>
      </w:r>
    </w:p>
    <w:p w14:paraId="1F837EDF" w14:textId="77777777" w:rsidR="006D36C8" w:rsidRDefault="00913600" w:rsidP="005148C0">
      <w:pPr>
        <w:pStyle w:val="APVMAAddress"/>
        <w:tabs>
          <w:tab w:val="clear" w:pos="1361"/>
          <w:tab w:val="left" w:pos="851"/>
        </w:tabs>
        <w:ind w:left="0"/>
      </w:pPr>
      <w:r>
        <w:t>Sydney NSW 2001</w:t>
      </w:r>
    </w:p>
    <w:p w14:paraId="12A6E910" w14:textId="77777777" w:rsidR="006D36C8" w:rsidRDefault="006D36C8" w:rsidP="005148C0">
      <w:pPr>
        <w:pStyle w:val="APVMAAddress"/>
        <w:tabs>
          <w:tab w:val="clear" w:pos="1361"/>
          <w:tab w:val="left" w:pos="851"/>
        </w:tabs>
        <w:spacing w:before="240"/>
        <w:ind w:left="0"/>
      </w:pPr>
      <w:r>
        <w:rPr>
          <w:b/>
        </w:rPr>
        <w:t>Phone:</w:t>
      </w:r>
      <w:r>
        <w:tab/>
        <w:t xml:space="preserve">+61 2 </w:t>
      </w:r>
      <w:r w:rsidR="00913600">
        <w:t>6770 2300</w:t>
      </w:r>
    </w:p>
    <w:p w14:paraId="2847B932" w14:textId="386DF334" w:rsidR="006D36C8" w:rsidRPr="006D36C8" w:rsidRDefault="006D36C8" w:rsidP="005148C0">
      <w:pPr>
        <w:pStyle w:val="APVMAAddress"/>
        <w:tabs>
          <w:tab w:val="clear" w:pos="1361"/>
          <w:tab w:val="left" w:pos="851"/>
        </w:tabs>
        <w:ind w:left="0"/>
      </w:pPr>
      <w:r>
        <w:rPr>
          <w:b/>
        </w:rPr>
        <w:t>Email:</w:t>
      </w:r>
      <w:r>
        <w:tab/>
      </w:r>
      <w:hyperlink r:id="rId25" w:history="1">
        <w:r w:rsidR="00705195" w:rsidRPr="00772458">
          <w:rPr>
            <w:rStyle w:val="Hyperlink"/>
          </w:rPr>
          <w:t>casemanagement@apvma.gov.au</w:t>
        </w:r>
      </w:hyperlink>
      <w:r>
        <w:t>.</w:t>
      </w:r>
    </w:p>
    <w:p w14:paraId="62987759" w14:textId="77777777" w:rsidR="006D36C8" w:rsidRDefault="006D36C8" w:rsidP="00032787">
      <w:pPr>
        <w:pStyle w:val="APVMAPreliminariesH2"/>
      </w:pPr>
      <w:bookmarkStart w:id="10" w:name="_Toc2243844"/>
      <w:bookmarkStart w:id="11" w:name="_Toc7561216"/>
      <w:bookmarkStart w:id="12" w:name="_Toc137198146"/>
      <w:r>
        <w:t>Further information</w:t>
      </w:r>
      <w:bookmarkEnd w:id="10"/>
      <w:bookmarkEnd w:id="11"/>
      <w:bookmarkEnd w:id="12"/>
    </w:p>
    <w:p w14:paraId="0E27766A" w14:textId="77777777" w:rsidR="002F5D1B" w:rsidRDefault="002F5D1B" w:rsidP="002F5D1B">
      <w:pPr>
        <w:pStyle w:val="APVMAText"/>
      </w:pPr>
      <w:r>
        <w:t>Further information can be obtained via the contact details provided above.</w:t>
      </w:r>
    </w:p>
    <w:p w14:paraId="1AF67543" w14:textId="77777777" w:rsidR="002F5D1B" w:rsidRDefault="002F5D1B" w:rsidP="002F5D1B">
      <w:pPr>
        <w:pStyle w:val="APVMAText"/>
      </w:pPr>
      <w:r>
        <w:t>Copies of technical evaluation reports covering chemistry, efficacy and safety, toxicology, occupational health and safety aspects, residues in food and environmental aspects are available from the APVMA on request.</w:t>
      </w:r>
    </w:p>
    <w:p w14:paraId="3CA7B1E0" w14:textId="31A7919F" w:rsidR="00D22CCB" w:rsidRDefault="00E1009B" w:rsidP="00EA7005">
      <w:pPr>
        <w:pStyle w:val="APVMAText"/>
        <w:sectPr w:rsidR="00D22CCB">
          <w:headerReference w:type="even" r:id="rId26"/>
          <w:headerReference w:type="default" r:id="rId27"/>
          <w:pgSz w:w="11906" w:h="16838" w:code="9"/>
          <w:pgMar w:top="2835" w:right="1134" w:bottom="1134" w:left="1134" w:header="1701" w:footer="680" w:gutter="0"/>
          <w:pgNumType w:start="1"/>
          <w:cols w:space="708"/>
          <w:docGrid w:linePitch="360"/>
        </w:sectPr>
      </w:pPr>
      <w:r>
        <w:t>Further information on Public Release S</w:t>
      </w:r>
      <w:r w:rsidR="002F5D1B">
        <w:t xml:space="preserve">ummaries can be found on the </w:t>
      </w:r>
      <w:hyperlink r:id="rId28" w:history="1">
        <w:r w:rsidR="002F5D1B" w:rsidRPr="006C539B">
          <w:rPr>
            <w:rStyle w:val="Hyperlink"/>
          </w:rPr>
          <w:t>APVMA website</w:t>
        </w:r>
      </w:hyperlink>
      <w:r w:rsidR="002F5D1B">
        <w:t>.</w:t>
      </w:r>
    </w:p>
    <w:p w14:paraId="085FB31F" w14:textId="614E340F" w:rsidR="002E20AC" w:rsidRDefault="00CA5B2B" w:rsidP="00032787">
      <w:pPr>
        <w:pStyle w:val="Heading1"/>
      </w:pPr>
      <w:bookmarkStart w:id="13" w:name="_Toc7561217"/>
      <w:bookmarkStart w:id="14" w:name="_Toc137198147"/>
      <w:r>
        <w:lastRenderedPageBreak/>
        <w:t>I</w:t>
      </w:r>
      <w:r w:rsidR="006D36C8">
        <w:t>ntroduction</w:t>
      </w:r>
      <w:bookmarkEnd w:id="13"/>
      <w:bookmarkEnd w:id="14"/>
    </w:p>
    <w:p w14:paraId="103012DF" w14:textId="12E3F420" w:rsidR="00743AFF" w:rsidRPr="00065FCE" w:rsidRDefault="00743AFF" w:rsidP="00743AFF">
      <w:pPr>
        <w:pStyle w:val="NormalText"/>
        <w:rPr>
          <w:sz w:val="20"/>
          <w:szCs w:val="20"/>
        </w:rPr>
      </w:pPr>
      <w:r w:rsidRPr="00065FCE">
        <w:rPr>
          <w:sz w:val="20"/>
          <w:szCs w:val="20"/>
        </w:rPr>
        <w:t xml:space="preserve">This publication provides a summary of the data reviewed and an outline of the regulatory considerations for the proposed registration of SEEKER Duo Fungicide, and approval of </w:t>
      </w:r>
      <w:bookmarkStart w:id="15" w:name="_Hlk135810671"/>
      <w:r w:rsidRPr="00065FCE">
        <w:rPr>
          <w:sz w:val="20"/>
          <w:szCs w:val="20"/>
        </w:rPr>
        <w:t>the new active constituent</w:t>
      </w:r>
      <w:bookmarkEnd w:id="15"/>
      <w:r w:rsidRPr="00065FCE">
        <w:rPr>
          <w:sz w:val="20"/>
          <w:szCs w:val="20"/>
        </w:rPr>
        <w:t xml:space="preserve"> fenpropidin.</w:t>
      </w:r>
    </w:p>
    <w:p w14:paraId="32D5C8FA" w14:textId="36E83AA1" w:rsidR="005A2957" w:rsidRDefault="005A2957" w:rsidP="005A2957">
      <w:pPr>
        <w:pStyle w:val="Heading2"/>
        <w:ind w:left="907" w:hanging="907"/>
      </w:pPr>
      <w:bookmarkStart w:id="16" w:name="_Toc461366927"/>
      <w:bookmarkStart w:id="17" w:name="_Toc531181066"/>
      <w:bookmarkStart w:id="18" w:name="_Toc7561218"/>
      <w:bookmarkStart w:id="19" w:name="_Toc137198148"/>
      <w:r>
        <w:t>Applicant</w:t>
      </w:r>
      <w:bookmarkEnd w:id="16"/>
      <w:bookmarkEnd w:id="17"/>
      <w:bookmarkEnd w:id="18"/>
      <w:bookmarkEnd w:id="19"/>
    </w:p>
    <w:p w14:paraId="061DF27B" w14:textId="4E1931C9" w:rsidR="00743AFF" w:rsidRPr="00743AFF" w:rsidRDefault="00743AFF" w:rsidP="00743AFF">
      <w:pPr>
        <w:pStyle w:val="APVMAText"/>
      </w:pPr>
      <w:r>
        <w:t>Syngenta Australia Pty Ltd. is the applicant for the product SEEKER Duo Fungicide and the active</w:t>
      </w:r>
      <w:r w:rsidR="00065FCE">
        <w:t xml:space="preserve"> constituent,</w:t>
      </w:r>
      <w:r>
        <w:t xml:space="preserve"> fenpropidin.</w:t>
      </w:r>
    </w:p>
    <w:p w14:paraId="4FA10056" w14:textId="77777777" w:rsidR="00743AFF" w:rsidRPr="00002B5B" w:rsidRDefault="00743AFF" w:rsidP="00743AFF">
      <w:pPr>
        <w:pStyle w:val="Heading2"/>
        <w:ind w:left="907" w:hanging="907"/>
      </w:pPr>
      <w:bookmarkStart w:id="20" w:name="_Toc531181067"/>
      <w:bookmarkStart w:id="21" w:name="_Toc7561219"/>
      <w:bookmarkStart w:id="22" w:name="_Toc56686220"/>
      <w:bookmarkStart w:id="23" w:name="_Toc137198149"/>
      <w:r>
        <w:t>Purpose of application</w:t>
      </w:r>
      <w:bookmarkEnd w:id="20"/>
      <w:bookmarkEnd w:id="21"/>
      <w:bookmarkEnd w:id="22"/>
      <w:bookmarkEnd w:id="23"/>
    </w:p>
    <w:p w14:paraId="7165D032" w14:textId="3797D4C5" w:rsidR="00743AFF" w:rsidRDefault="00000000" w:rsidP="005A2957">
      <w:pPr>
        <w:pStyle w:val="APVMAText"/>
      </w:pPr>
      <w:hyperlink r:id="rId29" w:history="1"/>
      <w:r w:rsidR="00743AFF">
        <w:t xml:space="preserve">Syngenta Australia Pty Ltd </w:t>
      </w:r>
      <w:r w:rsidR="005A2957">
        <w:t>has applied to the APVMA for</w:t>
      </w:r>
      <w:r w:rsidR="00743AFF">
        <w:t xml:space="preserve"> the registration of the new product SEEKER Duo Fungicide, containing </w:t>
      </w:r>
      <w:r w:rsidR="00743AFF" w:rsidRPr="00743AFF">
        <w:t xml:space="preserve">375 g/L </w:t>
      </w:r>
      <w:bookmarkStart w:id="24" w:name="_Hlk133905162"/>
      <w:r w:rsidR="00743AFF" w:rsidRPr="00743AFF">
        <w:t>fenpropidin</w:t>
      </w:r>
      <w:bookmarkEnd w:id="24"/>
      <w:r w:rsidR="00743AFF" w:rsidRPr="00743AFF">
        <w:t xml:space="preserve"> and 100 g/L difenoconazole in an emulsifiable concentrate (EC)</w:t>
      </w:r>
      <w:r w:rsidR="00065FCE">
        <w:t xml:space="preserve"> formulation</w:t>
      </w:r>
      <w:r w:rsidR="009A33D0">
        <w:t>, in conjunction with</w:t>
      </w:r>
      <w:r w:rsidR="00743AFF">
        <w:t xml:space="preserve"> approval of the new active constituent fenpropidin.</w:t>
      </w:r>
    </w:p>
    <w:p w14:paraId="5014731A" w14:textId="56CA60DB" w:rsidR="005A2957" w:rsidRDefault="005A2957" w:rsidP="005A2957">
      <w:pPr>
        <w:pStyle w:val="APVMAText"/>
      </w:pPr>
      <w:r>
        <w:rPr>
          <w:szCs w:val="20"/>
        </w:rPr>
        <w:t xml:space="preserve">This publication provides a summary of the data reviewed and an outline of the regulatory considerations for the proposed registration of the product </w:t>
      </w:r>
      <w:r w:rsidR="00743AFF">
        <w:t>SEEKER Duo Fungicide</w:t>
      </w:r>
      <w:r w:rsidR="00856E3B">
        <w:t>,</w:t>
      </w:r>
      <w:r w:rsidR="00743AFF">
        <w:t xml:space="preserve"> </w:t>
      </w:r>
      <w:r>
        <w:rPr>
          <w:szCs w:val="20"/>
        </w:rPr>
        <w:t xml:space="preserve">and approval of the new active constituent </w:t>
      </w:r>
      <w:r w:rsidR="00743AFF">
        <w:rPr>
          <w:iCs/>
        </w:rPr>
        <w:t>fenpropidin.</w:t>
      </w:r>
    </w:p>
    <w:p w14:paraId="3B9097F8" w14:textId="30CE31A8" w:rsidR="005A2957" w:rsidRDefault="005A2957" w:rsidP="005A2957">
      <w:pPr>
        <w:pStyle w:val="Heading2"/>
        <w:ind w:left="907" w:hanging="907"/>
      </w:pPr>
      <w:bookmarkStart w:id="25" w:name="_Toc531181068"/>
      <w:bookmarkStart w:id="26" w:name="_Toc7561220"/>
      <w:bookmarkStart w:id="27" w:name="_Toc461366929"/>
      <w:bookmarkStart w:id="28" w:name="_Toc137198150"/>
      <w:r>
        <w:t>Proposed claims and use pattern</w:t>
      </w:r>
      <w:bookmarkEnd w:id="25"/>
      <w:bookmarkEnd w:id="26"/>
      <w:bookmarkEnd w:id="28"/>
    </w:p>
    <w:p w14:paraId="7153BD8A" w14:textId="735E513F" w:rsidR="00743AFF" w:rsidRPr="00743AFF" w:rsidRDefault="00743AFF" w:rsidP="00743AFF">
      <w:pPr>
        <w:pStyle w:val="APVMAText"/>
      </w:pPr>
      <w:r>
        <w:t>SEEKER Duo Fungicide is intended for the control of powdery mildew (</w:t>
      </w:r>
      <w:proofErr w:type="spellStart"/>
      <w:r w:rsidR="00C42E51">
        <w:rPr>
          <w:i/>
          <w:iCs/>
        </w:rPr>
        <w:t>Uncinula</w:t>
      </w:r>
      <w:proofErr w:type="spellEnd"/>
      <w:r w:rsidRPr="00743AFF">
        <w:rPr>
          <w:i/>
          <w:iCs/>
        </w:rPr>
        <w:t xml:space="preserve"> </w:t>
      </w:r>
      <w:proofErr w:type="spellStart"/>
      <w:r w:rsidRPr="00743AFF">
        <w:rPr>
          <w:i/>
          <w:iCs/>
        </w:rPr>
        <w:t>necator</w:t>
      </w:r>
      <w:proofErr w:type="spellEnd"/>
      <w:r>
        <w:t>)</w:t>
      </w:r>
      <w:r w:rsidRPr="00743AFF">
        <w:t xml:space="preserve"> </w:t>
      </w:r>
      <w:r>
        <w:t xml:space="preserve">in wine grapes. </w:t>
      </w:r>
      <w:r w:rsidRPr="00743AFF">
        <w:t>One application of the product at 40 mL/100 L is proposed using ground application equipment only. At the specified maximum spray volume of 1</w:t>
      </w:r>
      <w:r w:rsidR="00DD03C2">
        <w:t>,</w:t>
      </w:r>
      <w:r w:rsidRPr="00743AFF">
        <w:t>500 L/ha, the application rate is equivalent to 600 mL/ha (225 g/</w:t>
      </w:r>
      <w:r w:rsidR="00C42E51">
        <w:t>ha</w:t>
      </w:r>
      <w:r w:rsidRPr="00743AFF">
        <w:t xml:space="preserve"> fenpropidin</w:t>
      </w:r>
      <w:r w:rsidR="00C42E51">
        <w:t xml:space="preserve"> + 60 g/ha difenoconazole</w:t>
      </w:r>
      <w:r w:rsidRPr="00743AFF">
        <w:t>).</w:t>
      </w:r>
      <w:r>
        <w:t xml:space="preserve"> </w:t>
      </w:r>
      <w:r w:rsidR="00C42E51">
        <w:t>SEEKER Duo</w:t>
      </w:r>
      <w:r>
        <w:t xml:space="preserve"> Fungicide is to be applied </w:t>
      </w:r>
      <w:r w:rsidRPr="00743AFF">
        <w:t>within a protectant fungicide program aimed at controlling powdery mildew</w:t>
      </w:r>
      <w:r>
        <w:t xml:space="preserve"> no later than 80% </w:t>
      </w:r>
      <w:proofErr w:type="spellStart"/>
      <w:r>
        <w:t>capfall</w:t>
      </w:r>
      <w:proofErr w:type="spellEnd"/>
      <w:r>
        <w:t xml:space="preserve"> (E-L 25). The product is not to be applied more than one application per season.</w:t>
      </w:r>
    </w:p>
    <w:p w14:paraId="13D27F64" w14:textId="77777777" w:rsidR="005A2957" w:rsidRPr="00734315" w:rsidRDefault="005A2957" w:rsidP="005A2957">
      <w:pPr>
        <w:pStyle w:val="Heading2"/>
        <w:ind w:left="907" w:hanging="907"/>
      </w:pPr>
      <w:bookmarkStart w:id="29" w:name="_Toc531181069"/>
      <w:bookmarkStart w:id="30" w:name="_Toc7561221"/>
      <w:bookmarkStart w:id="31" w:name="_Toc137198151"/>
      <w:r w:rsidRPr="00734315">
        <w:t>Mode of action</w:t>
      </w:r>
      <w:bookmarkEnd w:id="29"/>
      <w:bookmarkEnd w:id="30"/>
      <w:bookmarkEnd w:id="31"/>
    </w:p>
    <w:p w14:paraId="34C4D6B8" w14:textId="045FC5BE" w:rsidR="00856E3B" w:rsidRPr="00856E3B" w:rsidRDefault="00856E3B" w:rsidP="005A2957">
      <w:pPr>
        <w:pStyle w:val="APVMAText"/>
        <w:rPr>
          <w:rFonts w:cs="Times New Roman"/>
          <w:iCs/>
        </w:rPr>
      </w:pPr>
      <w:r>
        <w:rPr>
          <w:szCs w:val="20"/>
        </w:rPr>
        <w:t>Fenpropidin is a preventative and curative fungicide which belongs to the Fungicide Resistance Action Committee (FRAC) Group 5 amines (morpholines) group of fungicides. It acts by inhibiting ergosterol synthesis in membranes (Activity Group G2)</w:t>
      </w:r>
      <w:r w:rsidR="00C42E51">
        <w:rPr>
          <w:szCs w:val="20"/>
        </w:rPr>
        <w:t xml:space="preserve">. It blocks </w:t>
      </w:r>
      <w:r>
        <w:rPr>
          <w:szCs w:val="20"/>
        </w:rPr>
        <w:t xml:space="preserve">the </w:t>
      </w:r>
      <w:r w:rsidR="00C42E51">
        <w:rPr>
          <w:szCs w:val="20"/>
        </w:rPr>
        <w:t xml:space="preserve">ergosterol synthesis </w:t>
      </w:r>
      <w:r>
        <w:rPr>
          <w:szCs w:val="20"/>
        </w:rPr>
        <w:t>pathway at a different enzymatic site than the triazole group of fungicides.</w:t>
      </w:r>
    </w:p>
    <w:p w14:paraId="535E4AA9" w14:textId="6931B435" w:rsidR="006B31E5" w:rsidRDefault="006B31E5" w:rsidP="005A2957">
      <w:pPr>
        <w:pStyle w:val="APVMAText"/>
        <w:rPr>
          <w:szCs w:val="20"/>
        </w:rPr>
      </w:pPr>
      <w:r w:rsidRPr="006B31E5">
        <w:t>Difenoconazole is a systemic triazole with broad spectrum inhibition activity against Deuteromycetes, Basidiomycetes and Ascomycetes fungal organisms. Difenoconazole inhibits the C14-demethylase enzyme which affects the production of sterols which are required for membrane stability and function</w:t>
      </w:r>
      <w:r w:rsidR="00C42E51">
        <w:t>. I</w:t>
      </w:r>
      <w:r w:rsidRPr="006B31E5">
        <w:t xml:space="preserve">nhibition of sterol production typically leads to the inhibition of growth of fungi. Triazoles have curative activity, although due to resistance management are only recommended to be used preventatively. Triazole tolerance, through multiple mutations within the nuclear CYP51 gene has been identified. </w:t>
      </w:r>
      <w:r w:rsidR="00743AFF">
        <w:t xml:space="preserve">Difenoconazole </w:t>
      </w:r>
      <w:r w:rsidR="00743AFF">
        <w:rPr>
          <w:rFonts w:cs="Times New Roman"/>
          <w:iCs/>
        </w:rPr>
        <w:t xml:space="preserve">is classified in the FRAC group 3 of fungicides, </w:t>
      </w:r>
      <w:r w:rsidR="00856E3B">
        <w:rPr>
          <w:rFonts w:cs="Times New Roman"/>
          <w:iCs/>
        </w:rPr>
        <w:t xml:space="preserve">known as </w:t>
      </w:r>
      <w:r w:rsidR="00743AFF">
        <w:rPr>
          <w:rFonts w:cs="Times New Roman"/>
          <w:iCs/>
        </w:rPr>
        <w:t>demethylation inhibitors</w:t>
      </w:r>
      <w:r>
        <w:rPr>
          <w:rFonts w:cs="Times New Roman"/>
          <w:iCs/>
        </w:rPr>
        <w:t>.</w:t>
      </w:r>
    </w:p>
    <w:p w14:paraId="493FDA61" w14:textId="1595B4FA" w:rsidR="005A2957" w:rsidRDefault="006B31E5" w:rsidP="00856E3B">
      <w:pPr>
        <w:pStyle w:val="Heading2"/>
      </w:pPr>
      <w:bookmarkStart w:id="32" w:name="_Toc531181070"/>
      <w:bookmarkStart w:id="33" w:name="_Toc7561222"/>
      <w:bookmarkStart w:id="34" w:name="_Toc137198152"/>
      <w:r>
        <w:rPr>
          <w:rFonts w:cs="Times New Roman"/>
          <w:iCs/>
        </w:rPr>
        <w:lastRenderedPageBreak/>
        <w:t>O</w:t>
      </w:r>
      <w:r w:rsidR="005A2957">
        <w:t>verseas registrations</w:t>
      </w:r>
      <w:bookmarkEnd w:id="27"/>
      <w:bookmarkEnd w:id="32"/>
      <w:bookmarkEnd w:id="33"/>
      <w:bookmarkEnd w:id="34"/>
    </w:p>
    <w:p w14:paraId="57A4BA62" w14:textId="77777777" w:rsidR="00DD03C2" w:rsidRDefault="00147F78" w:rsidP="005A2957">
      <w:pPr>
        <w:pStyle w:val="APVMAText"/>
        <w:rPr>
          <w:szCs w:val="20"/>
        </w:rPr>
        <w:sectPr w:rsidR="00DD03C2">
          <w:headerReference w:type="even" r:id="rId30"/>
          <w:headerReference w:type="default" r:id="rId31"/>
          <w:pgSz w:w="11906" w:h="16838" w:code="9"/>
          <w:pgMar w:top="2835" w:right="1134" w:bottom="1134" w:left="1134" w:header="1701" w:footer="680" w:gutter="0"/>
          <w:cols w:space="708"/>
          <w:docGrid w:linePitch="360"/>
        </w:sectPr>
      </w:pPr>
      <w:r w:rsidRPr="00147F78">
        <w:rPr>
          <w:szCs w:val="20"/>
        </w:rPr>
        <w:t>Fenpropidin is approved in the EU for the control of a range of foliar fungal diseases in cereals. It is also approved in other jurisdictions for the control of foliar fungal diseases in bananas, beets and grapes.</w:t>
      </w:r>
    </w:p>
    <w:p w14:paraId="5141A89F" w14:textId="5698D8E9" w:rsidR="006D36C8" w:rsidRDefault="00CA5B2B" w:rsidP="00032787">
      <w:pPr>
        <w:pStyle w:val="Heading1"/>
      </w:pPr>
      <w:bookmarkStart w:id="35" w:name="_Toc137198153"/>
      <w:r>
        <w:lastRenderedPageBreak/>
        <w:t>C</w:t>
      </w:r>
      <w:r w:rsidR="000C1518">
        <w:t>hemistry and manufacture</w:t>
      </w:r>
      <w:bookmarkEnd w:id="35"/>
    </w:p>
    <w:p w14:paraId="080FB73B" w14:textId="77777777" w:rsidR="006D36C8" w:rsidRDefault="000C1518" w:rsidP="00032787">
      <w:pPr>
        <w:pStyle w:val="Heading2"/>
      </w:pPr>
      <w:bookmarkStart w:id="36" w:name="_Toc137198154"/>
      <w:r>
        <w:t>Active constituent</w:t>
      </w:r>
      <w:bookmarkEnd w:id="36"/>
    </w:p>
    <w:p w14:paraId="012C3446" w14:textId="79C81F21" w:rsidR="007B2CBD" w:rsidRDefault="005A2957" w:rsidP="005A2957">
      <w:pPr>
        <w:pStyle w:val="APVMAText"/>
        <w:rPr>
          <w:szCs w:val="20"/>
        </w:rPr>
      </w:pPr>
      <w:r>
        <w:t xml:space="preserve">The active constituent </w:t>
      </w:r>
      <w:r w:rsidR="007B2CBD">
        <w:t>f</w:t>
      </w:r>
      <w:r w:rsidR="007B2CBD" w:rsidRPr="007B2CBD">
        <w:t>enpropidin</w:t>
      </w:r>
      <w:r w:rsidR="00CA5B2B">
        <w:t xml:space="preserve"> is manufactured overseas</w:t>
      </w:r>
      <w:r>
        <w:t xml:space="preserve">. </w:t>
      </w:r>
      <w:r>
        <w:rPr>
          <w:szCs w:val="20"/>
        </w:rPr>
        <w:t xml:space="preserve">Details of the chemical name, structure, and physicochemical properties of </w:t>
      </w:r>
      <w:r w:rsidR="007B2CBD">
        <w:t>f</w:t>
      </w:r>
      <w:r w:rsidR="007B2CBD" w:rsidRPr="007B2CBD">
        <w:t>enpropidin</w:t>
      </w:r>
      <w:r w:rsidR="007B2CBD">
        <w:t xml:space="preserve"> </w:t>
      </w:r>
      <w:r>
        <w:rPr>
          <w:szCs w:val="20"/>
        </w:rPr>
        <w:t>are</w:t>
      </w:r>
      <w:r w:rsidR="00CA5B2B">
        <w:rPr>
          <w:szCs w:val="20"/>
        </w:rPr>
        <w:t xml:space="preserve"> listed below </w:t>
      </w:r>
      <w:r w:rsidR="00772458">
        <w:rPr>
          <w:szCs w:val="20"/>
        </w:rPr>
        <w:t xml:space="preserve">in </w:t>
      </w:r>
      <w:r w:rsidR="00CA5B2B">
        <w:rPr>
          <w:szCs w:val="20"/>
        </w:rPr>
        <w:t xml:space="preserve">Tables 1 to </w:t>
      </w:r>
      <w:r>
        <w:rPr>
          <w:szCs w:val="20"/>
        </w:rPr>
        <w:t>2.</w:t>
      </w:r>
    </w:p>
    <w:p w14:paraId="47B792B1" w14:textId="7F105395" w:rsidR="00856E3B" w:rsidRDefault="00856E3B" w:rsidP="00856E3B">
      <w:pPr>
        <w:pStyle w:val="Caption"/>
        <w:ind w:left="0" w:firstLine="0"/>
      </w:pPr>
      <w:bookmarkStart w:id="37" w:name="_Toc252955166"/>
      <w:bookmarkStart w:id="38" w:name="_Toc56686265"/>
      <w:bookmarkStart w:id="39" w:name="_Toc56686278"/>
      <w:bookmarkStart w:id="40" w:name="_Toc137198198"/>
      <w:r>
        <w:t xml:space="preserve">Table </w:t>
      </w:r>
      <w:fldSimple w:instr=" SEQ Table \* ARABIC ">
        <w:r w:rsidR="00DD03C2">
          <w:rPr>
            <w:noProof/>
          </w:rPr>
          <w:t>1</w:t>
        </w:r>
      </w:fldSimple>
      <w:r>
        <w:t>:</w:t>
      </w:r>
      <w:bookmarkEnd w:id="37"/>
      <w:r>
        <w:t xml:space="preserve"> Nomenclature and structural formula of the active constituent </w:t>
      </w:r>
      <w:bookmarkEnd w:id="38"/>
      <w:bookmarkEnd w:id="39"/>
      <w:r>
        <w:t>fenpropidin</w:t>
      </w:r>
      <w:bookmarkEnd w:id="40"/>
    </w:p>
    <w:tbl>
      <w:tblPr>
        <w:tblW w:w="5000" w:type="pct"/>
        <w:tblBorders>
          <w:top w:val="single" w:sz="4" w:space="0" w:color="auto"/>
          <w:bottom w:val="single" w:sz="4" w:space="0" w:color="auto"/>
          <w:insideH w:val="single" w:sz="4" w:space="0" w:color="auto"/>
        </w:tblBorders>
        <w:tblLook w:val="01E0" w:firstRow="1" w:lastRow="1" w:firstColumn="1" w:lastColumn="1" w:noHBand="0" w:noVBand="0"/>
        <w:tblCaption w:val="Nomenclature and structural formula of the active constituent"/>
        <w:tblDescription w:val="Key names and formulas of the active constituent"/>
      </w:tblPr>
      <w:tblGrid>
        <w:gridCol w:w="3046"/>
        <w:gridCol w:w="6592"/>
      </w:tblGrid>
      <w:tr w:rsidR="00856E3B" w14:paraId="6EE0DB3A" w14:textId="77777777" w:rsidTr="00CC3DCB">
        <w:tc>
          <w:tcPr>
            <w:tcW w:w="1580" w:type="pct"/>
            <w:shd w:val="clear" w:color="auto" w:fill="00747A" w:themeFill="background2"/>
          </w:tcPr>
          <w:p w14:paraId="68836498" w14:textId="77777777" w:rsidR="00856E3B" w:rsidRDefault="00856E3B" w:rsidP="00CC3DCB">
            <w:pPr>
              <w:pStyle w:val="APVMATableHead"/>
              <w:spacing w:before="120"/>
            </w:pPr>
            <w:r>
              <w:t>Common name (ISO):</w:t>
            </w:r>
          </w:p>
        </w:tc>
        <w:tc>
          <w:tcPr>
            <w:tcW w:w="3420" w:type="pct"/>
          </w:tcPr>
          <w:p w14:paraId="13B70253" w14:textId="77777777" w:rsidR="00856E3B" w:rsidRDefault="00856E3B" w:rsidP="00CC3DCB">
            <w:pPr>
              <w:pStyle w:val="APVMATableText"/>
            </w:pPr>
            <w:r w:rsidRPr="007B2CBD">
              <w:t>Fenpropidin</w:t>
            </w:r>
          </w:p>
        </w:tc>
      </w:tr>
      <w:tr w:rsidR="00856E3B" w14:paraId="7BE610FF" w14:textId="77777777" w:rsidTr="00CC3DCB">
        <w:tc>
          <w:tcPr>
            <w:tcW w:w="1580" w:type="pct"/>
            <w:shd w:val="clear" w:color="auto" w:fill="00747A" w:themeFill="background2"/>
          </w:tcPr>
          <w:p w14:paraId="43473F4C" w14:textId="77777777" w:rsidR="00856E3B" w:rsidRDefault="00856E3B" w:rsidP="00CC3DCB">
            <w:pPr>
              <w:pStyle w:val="APVMATableHead"/>
              <w:spacing w:before="120"/>
            </w:pPr>
            <w:r>
              <w:t>IUPAC name:</w:t>
            </w:r>
          </w:p>
        </w:tc>
        <w:tc>
          <w:tcPr>
            <w:tcW w:w="3420" w:type="pct"/>
          </w:tcPr>
          <w:p w14:paraId="1F5430EF" w14:textId="77777777" w:rsidR="00856E3B" w:rsidRDefault="00856E3B" w:rsidP="00CC3DCB">
            <w:pPr>
              <w:pStyle w:val="APVMATableText"/>
            </w:pPr>
            <w:r w:rsidRPr="00A73926">
              <w:t>1-[(</w:t>
            </w:r>
            <w:r w:rsidRPr="00A73926">
              <w:rPr>
                <w:i/>
                <w:iCs/>
              </w:rPr>
              <w:t>RS</w:t>
            </w:r>
            <w:r w:rsidRPr="00A73926">
              <w:t>)-3-(4-tert-butylphenyl)-2-</w:t>
            </w:r>
            <w:proofErr w:type="gramStart"/>
            <w:r w:rsidRPr="00A73926">
              <w:t>methylpropyl]piperidine</w:t>
            </w:r>
            <w:proofErr w:type="gramEnd"/>
          </w:p>
        </w:tc>
      </w:tr>
      <w:tr w:rsidR="00856E3B" w14:paraId="4F2D06A2" w14:textId="77777777" w:rsidTr="00CC3DCB">
        <w:tc>
          <w:tcPr>
            <w:tcW w:w="1580" w:type="pct"/>
            <w:shd w:val="clear" w:color="auto" w:fill="00747A" w:themeFill="background2"/>
          </w:tcPr>
          <w:p w14:paraId="4426EE1D" w14:textId="77777777" w:rsidR="00856E3B" w:rsidRDefault="00856E3B" w:rsidP="00CC3DCB">
            <w:pPr>
              <w:pStyle w:val="APVMATableHead"/>
              <w:spacing w:before="120"/>
            </w:pPr>
            <w:r>
              <w:t>CAS registry number:</w:t>
            </w:r>
          </w:p>
        </w:tc>
        <w:tc>
          <w:tcPr>
            <w:tcW w:w="3420" w:type="pct"/>
          </w:tcPr>
          <w:p w14:paraId="2489A288" w14:textId="77777777" w:rsidR="00856E3B" w:rsidRDefault="00856E3B" w:rsidP="00CC3DCB">
            <w:pPr>
              <w:pStyle w:val="APVMATableText"/>
            </w:pPr>
            <w:r w:rsidRPr="00A73926">
              <w:t>67306-00-7</w:t>
            </w:r>
          </w:p>
        </w:tc>
      </w:tr>
      <w:tr w:rsidR="00856E3B" w14:paraId="0E73C64B" w14:textId="77777777" w:rsidTr="00CC3DCB">
        <w:tc>
          <w:tcPr>
            <w:tcW w:w="1580" w:type="pct"/>
            <w:shd w:val="clear" w:color="auto" w:fill="00747A" w:themeFill="background2"/>
          </w:tcPr>
          <w:p w14:paraId="0D645CC8" w14:textId="77777777" w:rsidR="00856E3B" w:rsidRDefault="00856E3B" w:rsidP="00CC3DCB">
            <w:pPr>
              <w:pStyle w:val="APVMATableHead"/>
              <w:spacing w:before="120"/>
            </w:pPr>
            <w:r>
              <w:t>Molecular formula:</w:t>
            </w:r>
          </w:p>
        </w:tc>
        <w:tc>
          <w:tcPr>
            <w:tcW w:w="3420" w:type="pct"/>
          </w:tcPr>
          <w:p w14:paraId="5E4815A8" w14:textId="77777777" w:rsidR="00856E3B" w:rsidRDefault="00856E3B" w:rsidP="00CC3DCB">
            <w:pPr>
              <w:pStyle w:val="APVMATableText"/>
            </w:pPr>
            <w:r w:rsidRPr="00A73926">
              <w:t>C</w:t>
            </w:r>
            <w:r w:rsidRPr="00A73926">
              <w:rPr>
                <w:vertAlign w:val="subscript"/>
              </w:rPr>
              <w:t>19</w:t>
            </w:r>
            <w:r w:rsidRPr="00A73926">
              <w:t>H</w:t>
            </w:r>
            <w:r w:rsidRPr="00A73926">
              <w:rPr>
                <w:vertAlign w:val="subscript"/>
              </w:rPr>
              <w:t>31</w:t>
            </w:r>
            <w:r w:rsidRPr="00A73926">
              <w:t>N</w:t>
            </w:r>
          </w:p>
        </w:tc>
      </w:tr>
      <w:tr w:rsidR="00856E3B" w14:paraId="0569ED48" w14:textId="77777777" w:rsidTr="00CC3DCB">
        <w:tc>
          <w:tcPr>
            <w:tcW w:w="1580" w:type="pct"/>
            <w:shd w:val="clear" w:color="auto" w:fill="00747A" w:themeFill="background2"/>
          </w:tcPr>
          <w:p w14:paraId="0A8AF32E" w14:textId="77777777" w:rsidR="00856E3B" w:rsidRDefault="00856E3B" w:rsidP="00CC3DCB">
            <w:pPr>
              <w:pStyle w:val="APVMATableHead"/>
              <w:spacing w:before="120"/>
            </w:pPr>
            <w:r>
              <w:t>Molecular weight:</w:t>
            </w:r>
          </w:p>
        </w:tc>
        <w:tc>
          <w:tcPr>
            <w:tcW w:w="3420" w:type="pct"/>
          </w:tcPr>
          <w:p w14:paraId="0F9FED94" w14:textId="296B688D" w:rsidR="00856E3B" w:rsidRDefault="00856E3B" w:rsidP="00CC3DCB">
            <w:pPr>
              <w:pStyle w:val="APVMATableText"/>
            </w:pPr>
            <w:r w:rsidRPr="00A73926">
              <w:t>273.5 g</w:t>
            </w:r>
            <w:r w:rsidR="000923F1">
              <w:t>.</w:t>
            </w:r>
            <w:r w:rsidRPr="00A73926">
              <w:t>mol</w:t>
            </w:r>
            <w:r w:rsidRPr="00A73926">
              <w:rPr>
                <w:vertAlign w:val="superscript"/>
              </w:rPr>
              <w:t>-1</w:t>
            </w:r>
          </w:p>
        </w:tc>
      </w:tr>
      <w:tr w:rsidR="00856E3B" w14:paraId="0BAEFDA8" w14:textId="77777777" w:rsidTr="00CC3DCB">
        <w:tc>
          <w:tcPr>
            <w:tcW w:w="1580" w:type="pct"/>
            <w:shd w:val="clear" w:color="auto" w:fill="00747A" w:themeFill="background2"/>
          </w:tcPr>
          <w:p w14:paraId="4BC0A491" w14:textId="77777777" w:rsidR="00856E3B" w:rsidRDefault="00856E3B" w:rsidP="00CC3DCB">
            <w:pPr>
              <w:pStyle w:val="APVMATableHead"/>
              <w:spacing w:before="120"/>
            </w:pPr>
            <w:r>
              <w:t>Structural formula:</w:t>
            </w:r>
          </w:p>
        </w:tc>
        <w:tc>
          <w:tcPr>
            <w:tcW w:w="3420" w:type="pct"/>
          </w:tcPr>
          <w:p w14:paraId="38763E78" w14:textId="77777777" w:rsidR="00856E3B" w:rsidRDefault="00856E3B" w:rsidP="00CC3DCB">
            <w:pPr>
              <w:pStyle w:val="APVMATableText"/>
            </w:pPr>
          </w:p>
          <w:p w14:paraId="2B475BBC" w14:textId="77777777" w:rsidR="00856E3B" w:rsidRDefault="00856E3B" w:rsidP="00CC3DCB">
            <w:pPr>
              <w:pStyle w:val="APVMATableText"/>
            </w:pPr>
          </w:p>
          <w:p w14:paraId="6B97027A" w14:textId="77777777" w:rsidR="00856E3B" w:rsidRDefault="00856E3B" w:rsidP="00CC3DCB">
            <w:pPr>
              <w:pStyle w:val="APVMATableText"/>
            </w:pPr>
          </w:p>
          <w:p w14:paraId="1B46F197" w14:textId="77777777" w:rsidR="00856E3B" w:rsidRDefault="00856E3B" w:rsidP="00CC3DCB">
            <w:pPr>
              <w:pStyle w:val="APVMATableText"/>
            </w:pPr>
            <w:r w:rsidRPr="000E75B2">
              <w:rPr>
                <w:noProof/>
                <w:sz w:val="24"/>
              </w:rPr>
              <w:drawing>
                <wp:inline distT="0" distB="0" distL="0" distR="0" wp14:anchorId="5345DAAA" wp14:editId="39547A7A">
                  <wp:extent cx="3098800" cy="759124"/>
                  <wp:effectExtent l="0" t="0" r="6350" b="3175"/>
                  <wp:docPr id="2" name="Picture 2" descr="The structural formula of fenpropi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structural formula of fenpropidin"/>
                          <pic:cNvPicPr/>
                        </pic:nvPicPr>
                        <pic:blipFill rotWithShape="1">
                          <a:blip r:embed="rId32"/>
                          <a:srcRect l="1911" b="7093"/>
                          <a:stretch/>
                        </pic:blipFill>
                        <pic:spPr bwMode="auto">
                          <a:xfrm>
                            <a:off x="0" y="0"/>
                            <a:ext cx="3098800" cy="7591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453880" w14:textId="3FFAD8FD" w:rsidR="000923F1" w:rsidRPr="000923F1" w:rsidRDefault="000923F1" w:rsidP="000923F1">
      <w:pPr>
        <w:pStyle w:val="Caption"/>
        <w:ind w:left="0" w:firstLine="0"/>
      </w:pPr>
      <w:bookmarkStart w:id="41" w:name="_Hlk136530296"/>
      <w:bookmarkStart w:id="42" w:name="_Toc252955167"/>
      <w:bookmarkStart w:id="43" w:name="_Toc56686266"/>
      <w:bookmarkStart w:id="44" w:name="_Toc56686279"/>
      <w:bookmarkStart w:id="45" w:name="_Toc137198199"/>
      <w:r>
        <w:t xml:space="preserve">Table </w:t>
      </w:r>
      <w:fldSimple w:instr=" SEQ Table \* ARABIC ">
        <w:r w:rsidR="00DD03C2">
          <w:rPr>
            <w:noProof/>
          </w:rPr>
          <w:t>2</w:t>
        </w:r>
      </w:fldSimple>
      <w:r>
        <w:t>: Key physicochemical properties of the active constituent fenpropidin</w:t>
      </w:r>
      <w:bookmarkEnd w:id="45"/>
    </w:p>
    <w:tbl>
      <w:tblPr>
        <w:tblpPr w:leftFromText="180" w:rightFromText="180" w:vertAnchor="text" w:horzAnchor="margin" w:tblpY="21"/>
        <w:tblW w:w="5000" w:type="pct"/>
        <w:tblBorders>
          <w:top w:val="single" w:sz="4" w:space="0" w:color="auto"/>
          <w:bottom w:val="single" w:sz="4" w:space="0" w:color="auto"/>
          <w:insideH w:val="single" w:sz="4" w:space="0" w:color="auto"/>
        </w:tblBorders>
        <w:tblLook w:val="01E0" w:firstRow="1" w:lastRow="1" w:firstColumn="1" w:lastColumn="1" w:noHBand="0" w:noVBand="0"/>
        <w:tblCaption w:val="Key physicochemical properties of the active constituent"/>
        <w:tblDescription w:val="Details of various physicochemical properties of the active constituent"/>
      </w:tblPr>
      <w:tblGrid>
        <w:gridCol w:w="2639"/>
        <w:gridCol w:w="6999"/>
      </w:tblGrid>
      <w:tr w:rsidR="000923F1" w14:paraId="2F8A99A2" w14:textId="77777777" w:rsidTr="000923F1">
        <w:tc>
          <w:tcPr>
            <w:tcW w:w="1369" w:type="pct"/>
            <w:shd w:val="clear" w:color="auto" w:fill="00747A" w:themeFill="background2"/>
          </w:tcPr>
          <w:bookmarkEnd w:id="41"/>
          <w:p w14:paraId="2410FA2C" w14:textId="77777777" w:rsidR="000923F1" w:rsidRDefault="000923F1" w:rsidP="000923F1">
            <w:pPr>
              <w:pStyle w:val="APVMATableHead"/>
              <w:spacing w:before="120"/>
            </w:pPr>
            <w:r>
              <w:t>Physical form:</w:t>
            </w:r>
          </w:p>
        </w:tc>
        <w:tc>
          <w:tcPr>
            <w:tcW w:w="3631" w:type="pct"/>
          </w:tcPr>
          <w:p w14:paraId="3A5A26AD" w14:textId="406B8A0B" w:rsidR="000923F1" w:rsidRDefault="00BA161E" w:rsidP="000923F1">
            <w:pPr>
              <w:pStyle w:val="APVMATableText"/>
            </w:pPr>
            <w:r>
              <w:t>L</w:t>
            </w:r>
            <w:r w:rsidR="000923F1">
              <w:t>iquid</w:t>
            </w:r>
          </w:p>
        </w:tc>
      </w:tr>
      <w:tr w:rsidR="000923F1" w14:paraId="2EC8507F" w14:textId="77777777" w:rsidTr="000923F1">
        <w:tc>
          <w:tcPr>
            <w:tcW w:w="1369" w:type="pct"/>
            <w:shd w:val="clear" w:color="auto" w:fill="00747A" w:themeFill="background2"/>
          </w:tcPr>
          <w:p w14:paraId="7334AD12" w14:textId="77777777" w:rsidR="000923F1" w:rsidRDefault="000923F1" w:rsidP="000923F1">
            <w:pPr>
              <w:pStyle w:val="APVMATableHead"/>
              <w:spacing w:before="120"/>
            </w:pPr>
            <w:r>
              <w:t>Colour:</w:t>
            </w:r>
          </w:p>
        </w:tc>
        <w:tc>
          <w:tcPr>
            <w:tcW w:w="3631" w:type="pct"/>
          </w:tcPr>
          <w:p w14:paraId="46E087D8" w14:textId="37593878" w:rsidR="000923F1" w:rsidRDefault="000923F1" w:rsidP="000923F1">
            <w:pPr>
              <w:pStyle w:val="APVMATableText"/>
            </w:pPr>
            <w:r>
              <w:t>Pale yellow</w:t>
            </w:r>
          </w:p>
        </w:tc>
      </w:tr>
      <w:tr w:rsidR="000923F1" w14:paraId="274067D5" w14:textId="77777777" w:rsidTr="000923F1">
        <w:tc>
          <w:tcPr>
            <w:tcW w:w="1369" w:type="pct"/>
            <w:shd w:val="clear" w:color="auto" w:fill="00747A" w:themeFill="background2"/>
          </w:tcPr>
          <w:p w14:paraId="55C4E89C" w14:textId="77777777" w:rsidR="000923F1" w:rsidRDefault="000923F1" w:rsidP="000923F1">
            <w:pPr>
              <w:pStyle w:val="APVMATableHead"/>
              <w:spacing w:before="120"/>
            </w:pPr>
            <w:r>
              <w:t>Boiling point:</w:t>
            </w:r>
          </w:p>
        </w:tc>
        <w:tc>
          <w:tcPr>
            <w:tcW w:w="3631" w:type="pct"/>
          </w:tcPr>
          <w:p w14:paraId="7E1C85A8" w14:textId="31D757E3" w:rsidR="000923F1" w:rsidRDefault="000923F1" w:rsidP="000923F1">
            <w:pPr>
              <w:pStyle w:val="APVMATableText"/>
            </w:pPr>
            <w:r w:rsidRPr="00511FCF">
              <w:t>Thermal decomposition starts before the boiling point is reach</w:t>
            </w:r>
            <w:r>
              <w:t>ed</w:t>
            </w:r>
            <w:r w:rsidRPr="00511FCF">
              <w:t>, &gt;250°C, and oxidative decomposition starts at about 93°C</w:t>
            </w:r>
          </w:p>
        </w:tc>
      </w:tr>
      <w:tr w:rsidR="000923F1" w14:paraId="7E60E64B" w14:textId="77777777" w:rsidTr="000923F1">
        <w:tc>
          <w:tcPr>
            <w:tcW w:w="1369" w:type="pct"/>
            <w:shd w:val="clear" w:color="auto" w:fill="00747A" w:themeFill="background2"/>
          </w:tcPr>
          <w:p w14:paraId="6CDC1C22" w14:textId="63F23D07" w:rsidR="000923F1" w:rsidRDefault="000923F1" w:rsidP="000923F1">
            <w:pPr>
              <w:pStyle w:val="APVMATableHead"/>
              <w:spacing w:before="120"/>
            </w:pPr>
            <w:r>
              <w:t>Relative density:</w:t>
            </w:r>
          </w:p>
        </w:tc>
        <w:tc>
          <w:tcPr>
            <w:tcW w:w="3631" w:type="pct"/>
          </w:tcPr>
          <w:p w14:paraId="533048AD" w14:textId="5F1C16E0" w:rsidR="000923F1" w:rsidRPr="00511FCF" w:rsidRDefault="000923F1" w:rsidP="000923F1">
            <w:pPr>
              <w:pStyle w:val="APVMATableText"/>
            </w:pPr>
            <w:r w:rsidRPr="00511FCF">
              <w:t>0.913 g/cm</w:t>
            </w:r>
            <w:r w:rsidRPr="00511FCF">
              <w:rPr>
                <w:vertAlign w:val="superscript"/>
              </w:rPr>
              <w:t>3</w:t>
            </w:r>
            <w:r>
              <w:t xml:space="preserve"> @ 20°C</w:t>
            </w:r>
          </w:p>
        </w:tc>
      </w:tr>
      <w:tr w:rsidR="000923F1" w14:paraId="123E0E13" w14:textId="77777777" w:rsidTr="000923F1">
        <w:trPr>
          <w:trHeight w:val="613"/>
        </w:trPr>
        <w:tc>
          <w:tcPr>
            <w:tcW w:w="1369" w:type="pct"/>
            <w:shd w:val="clear" w:color="auto" w:fill="00747A" w:themeFill="background2"/>
          </w:tcPr>
          <w:p w14:paraId="666FB618" w14:textId="77777777" w:rsidR="000923F1" w:rsidRDefault="000923F1" w:rsidP="000923F1">
            <w:pPr>
              <w:pStyle w:val="APVMATableHead"/>
              <w:spacing w:before="120"/>
            </w:pPr>
            <w:r>
              <w:t>Stability:</w:t>
            </w:r>
          </w:p>
        </w:tc>
        <w:tc>
          <w:tcPr>
            <w:tcW w:w="3631" w:type="pct"/>
          </w:tcPr>
          <w:p w14:paraId="66A99174" w14:textId="4884D397" w:rsidR="000923F1" w:rsidRPr="00EA7005" w:rsidRDefault="000923F1" w:rsidP="000923F1">
            <w:pPr>
              <w:pStyle w:val="APVMATableText"/>
            </w:pPr>
            <w:r w:rsidRPr="00276901">
              <w:t xml:space="preserve">In an accelerated model at temperature, </w:t>
            </w:r>
            <w:r>
              <w:t>the</w:t>
            </w:r>
            <w:r w:rsidRPr="00276901">
              <w:t xml:space="preserve"> </w:t>
            </w:r>
            <w:r>
              <w:t>change in concentration</w:t>
            </w:r>
            <w:r w:rsidRPr="00276901">
              <w:t xml:space="preserve"> of the active</w:t>
            </w:r>
            <w:r>
              <w:t xml:space="preserve"> was within the error margin of the analytical method</w:t>
            </w:r>
            <w:r w:rsidRPr="00276901">
              <w:t xml:space="preserve"> after </w:t>
            </w:r>
            <w:r w:rsidR="00DD03C2">
              <w:t>2</w:t>
            </w:r>
            <w:r w:rsidRPr="00276901">
              <w:t xml:space="preserve"> weeks storage at 54°C. Technical </w:t>
            </w:r>
            <w:r>
              <w:t>fenpropidin</w:t>
            </w:r>
            <w:r w:rsidRPr="00276901">
              <w:t xml:space="preserve"> is expected to be stable during storage under normal conditions for at least </w:t>
            </w:r>
            <w:r w:rsidR="00DD03C2">
              <w:t>2</w:t>
            </w:r>
            <w:r w:rsidRPr="00276901">
              <w:t xml:space="preserve"> years.</w:t>
            </w:r>
          </w:p>
        </w:tc>
      </w:tr>
      <w:tr w:rsidR="000923F1" w14:paraId="3AD6F4DF" w14:textId="77777777" w:rsidTr="000923F1">
        <w:tc>
          <w:tcPr>
            <w:tcW w:w="1369" w:type="pct"/>
            <w:shd w:val="clear" w:color="auto" w:fill="00747A" w:themeFill="background2"/>
          </w:tcPr>
          <w:p w14:paraId="71AE96D6" w14:textId="77777777" w:rsidR="000923F1" w:rsidRDefault="000923F1" w:rsidP="000923F1">
            <w:pPr>
              <w:pStyle w:val="APVMATableHead"/>
              <w:spacing w:before="120"/>
            </w:pPr>
            <w:r>
              <w:t>Safety properties:</w:t>
            </w:r>
          </w:p>
        </w:tc>
        <w:tc>
          <w:tcPr>
            <w:tcW w:w="3631" w:type="pct"/>
          </w:tcPr>
          <w:p w14:paraId="51DD88D3" w14:textId="26008CD0" w:rsidR="000923F1" w:rsidRPr="00EA7005" w:rsidRDefault="000923F1" w:rsidP="000923F1">
            <w:pPr>
              <w:pStyle w:val="APVMATableText"/>
            </w:pPr>
            <w:r>
              <w:t>Not flammable, explosive, corrosive</w:t>
            </w:r>
            <w:r w:rsidR="009A33D0">
              <w:t>,</w:t>
            </w:r>
            <w:r>
              <w:t xml:space="preserve"> or an oxidising substance.</w:t>
            </w:r>
          </w:p>
        </w:tc>
      </w:tr>
      <w:tr w:rsidR="000923F1" w14:paraId="23716835" w14:textId="77777777" w:rsidTr="000923F1">
        <w:tc>
          <w:tcPr>
            <w:tcW w:w="1369" w:type="pct"/>
            <w:shd w:val="clear" w:color="auto" w:fill="00747A" w:themeFill="background2"/>
          </w:tcPr>
          <w:p w14:paraId="637CF044" w14:textId="77777777" w:rsidR="000923F1" w:rsidRDefault="000923F1" w:rsidP="000923F1">
            <w:pPr>
              <w:pStyle w:val="APVMATableHead"/>
              <w:spacing w:before="120"/>
            </w:pPr>
            <w:r>
              <w:t>Solubility in water:</w:t>
            </w:r>
          </w:p>
        </w:tc>
        <w:tc>
          <w:tcPr>
            <w:tcW w:w="3631" w:type="pct"/>
          </w:tcPr>
          <w:p w14:paraId="4B1A5810" w14:textId="6BCCE72A" w:rsidR="000923F1" w:rsidRPr="00A73926" w:rsidRDefault="000923F1" w:rsidP="000923F1">
            <w:pPr>
              <w:pStyle w:val="APVMATableText"/>
            </w:pPr>
            <w:r w:rsidRPr="00A73926">
              <w:t>130 g/L at pH 6.0</w:t>
            </w:r>
            <w:r>
              <w:t xml:space="preserve"> at 25°C</w:t>
            </w:r>
          </w:p>
          <w:p w14:paraId="4CB14537" w14:textId="6754AAC4" w:rsidR="000923F1" w:rsidRPr="00A73926" w:rsidRDefault="000923F1" w:rsidP="000923F1">
            <w:pPr>
              <w:pStyle w:val="APVMATableText"/>
            </w:pPr>
            <w:r w:rsidRPr="00A73926">
              <w:t>530 mg/L at pH 7.0</w:t>
            </w:r>
            <w:r>
              <w:t xml:space="preserve"> at 25°C</w:t>
            </w:r>
          </w:p>
          <w:p w14:paraId="47B91BEF" w14:textId="6F33F55F" w:rsidR="000923F1" w:rsidRPr="00EA7005" w:rsidRDefault="000923F1" w:rsidP="000923F1">
            <w:pPr>
              <w:pStyle w:val="APVMATableText"/>
            </w:pPr>
            <w:r w:rsidRPr="00A73926">
              <w:t>6.2 mg/L at pH 9.0</w:t>
            </w:r>
            <w:r>
              <w:t xml:space="preserve"> at 25°C</w:t>
            </w:r>
          </w:p>
        </w:tc>
      </w:tr>
      <w:tr w:rsidR="000923F1" w14:paraId="378A1D3E" w14:textId="77777777" w:rsidTr="000923F1">
        <w:tc>
          <w:tcPr>
            <w:tcW w:w="1369" w:type="pct"/>
            <w:shd w:val="clear" w:color="auto" w:fill="00747A" w:themeFill="background2"/>
          </w:tcPr>
          <w:p w14:paraId="50B77E90" w14:textId="77777777" w:rsidR="000923F1" w:rsidRDefault="000923F1" w:rsidP="000923F1">
            <w:pPr>
              <w:pStyle w:val="APVMATableHead"/>
              <w:spacing w:before="120"/>
            </w:pPr>
            <w:r>
              <w:t>Organic solvent solubility:</w:t>
            </w:r>
          </w:p>
        </w:tc>
        <w:tc>
          <w:tcPr>
            <w:tcW w:w="3631" w:type="pct"/>
          </w:tcPr>
          <w:p w14:paraId="2A7F34D4" w14:textId="7CA31140" w:rsidR="000923F1" w:rsidRPr="00A73926" w:rsidRDefault="00DD03C2" w:rsidP="000923F1">
            <w:pPr>
              <w:pStyle w:val="APVMATableText"/>
            </w:pPr>
            <w:r>
              <w:t>C</w:t>
            </w:r>
            <w:r w:rsidR="000923F1" w:rsidRPr="00A73926">
              <w:t>ompletely miscible in</w:t>
            </w:r>
          </w:p>
          <w:p w14:paraId="6D1A6CAC" w14:textId="77777777" w:rsidR="000923F1" w:rsidRPr="00A73926" w:rsidRDefault="000923F1" w:rsidP="00DD03C2">
            <w:pPr>
              <w:pStyle w:val="APVMATableBullet"/>
            </w:pPr>
            <w:r w:rsidRPr="00A73926">
              <w:t>acetone</w:t>
            </w:r>
          </w:p>
          <w:p w14:paraId="29C80383" w14:textId="77777777" w:rsidR="000923F1" w:rsidRPr="00A73926" w:rsidRDefault="000923F1" w:rsidP="00DD03C2">
            <w:pPr>
              <w:pStyle w:val="APVMATableBullet"/>
            </w:pPr>
            <w:r w:rsidRPr="00A73926">
              <w:t>dichloromethane</w:t>
            </w:r>
          </w:p>
          <w:p w14:paraId="793B8A55" w14:textId="77777777" w:rsidR="000923F1" w:rsidRPr="00A73926" w:rsidRDefault="000923F1" w:rsidP="00DD03C2">
            <w:pPr>
              <w:pStyle w:val="APVMATableBullet"/>
            </w:pPr>
            <w:r w:rsidRPr="00A73926">
              <w:lastRenderedPageBreak/>
              <w:t>ethyl acetate</w:t>
            </w:r>
          </w:p>
          <w:p w14:paraId="7C36E599" w14:textId="77777777" w:rsidR="000923F1" w:rsidRPr="00A73926" w:rsidRDefault="000923F1" w:rsidP="00DD03C2">
            <w:pPr>
              <w:pStyle w:val="APVMATableBullet"/>
            </w:pPr>
            <w:r w:rsidRPr="00A73926">
              <w:t>hexane</w:t>
            </w:r>
          </w:p>
          <w:p w14:paraId="61130F33" w14:textId="77777777" w:rsidR="000923F1" w:rsidRPr="00A73926" w:rsidRDefault="000923F1" w:rsidP="00DD03C2">
            <w:pPr>
              <w:pStyle w:val="APVMATableBullet"/>
            </w:pPr>
            <w:r w:rsidRPr="00A73926">
              <w:t>methanol</w:t>
            </w:r>
          </w:p>
          <w:p w14:paraId="333AF1AB" w14:textId="77777777" w:rsidR="000923F1" w:rsidRDefault="000923F1" w:rsidP="00DD03C2">
            <w:pPr>
              <w:pStyle w:val="APVMATableBullet"/>
            </w:pPr>
            <w:r w:rsidRPr="00A73926">
              <w:t>octanol</w:t>
            </w:r>
          </w:p>
          <w:p w14:paraId="7755F44D" w14:textId="77777777" w:rsidR="000923F1" w:rsidRPr="00EA7005" w:rsidRDefault="000923F1" w:rsidP="00DD03C2">
            <w:pPr>
              <w:pStyle w:val="APVMATableBullet"/>
            </w:pPr>
            <w:r w:rsidRPr="00A73926">
              <w:t>toluene</w:t>
            </w:r>
          </w:p>
        </w:tc>
      </w:tr>
      <w:tr w:rsidR="000923F1" w14:paraId="0FF1E68C" w14:textId="77777777" w:rsidTr="000923F1">
        <w:tc>
          <w:tcPr>
            <w:tcW w:w="1369" w:type="pct"/>
            <w:shd w:val="clear" w:color="auto" w:fill="00747A" w:themeFill="background2"/>
          </w:tcPr>
          <w:p w14:paraId="4890A352" w14:textId="77777777" w:rsidR="000923F1" w:rsidRDefault="000923F1" w:rsidP="000923F1">
            <w:pPr>
              <w:pStyle w:val="APVMATableHead"/>
              <w:spacing w:before="120"/>
            </w:pPr>
            <w:r>
              <w:lastRenderedPageBreak/>
              <w:t>Dissociation constant (</w:t>
            </w:r>
            <w:proofErr w:type="spellStart"/>
            <w:r>
              <w:t>PK</w:t>
            </w:r>
            <w:r w:rsidRPr="00B75B0D">
              <w:rPr>
                <w:vertAlign w:val="subscript"/>
              </w:rPr>
              <w:t>a</w:t>
            </w:r>
            <w:proofErr w:type="spellEnd"/>
            <w:r w:rsidRPr="009A5578">
              <w:t>)</w:t>
            </w:r>
            <w:r>
              <w:t>:</w:t>
            </w:r>
          </w:p>
        </w:tc>
        <w:tc>
          <w:tcPr>
            <w:tcW w:w="3631" w:type="pct"/>
          </w:tcPr>
          <w:p w14:paraId="6FD66BC9" w14:textId="77777777" w:rsidR="000923F1" w:rsidRPr="00EA7005" w:rsidRDefault="000923F1" w:rsidP="000923F1">
            <w:pPr>
              <w:pStyle w:val="APVMATableText"/>
            </w:pPr>
            <w:r>
              <w:t>10.1</w:t>
            </w:r>
          </w:p>
        </w:tc>
      </w:tr>
      <w:tr w:rsidR="000923F1" w14:paraId="45922488" w14:textId="77777777" w:rsidTr="000923F1">
        <w:tc>
          <w:tcPr>
            <w:tcW w:w="1369" w:type="pct"/>
            <w:shd w:val="clear" w:color="auto" w:fill="00747A" w:themeFill="background2"/>
          </w:tcPr>
          <w:p w14:paraId="4E264B52" w14:textId="77777777" w:rsidR="000923F1" w:rsidRDefault="000923F1" w:rsidP="000923F1">
            <w:pPr>
              <w:pStyle w:val="APVMATableHead"/>
              <w:spacing w:before="120"/>
            </w:pPr>
            <w:r>
              <w:t>pH:</w:t>
            </w:r>
          </w:p>
        </w:tc>
        <w:tc>
          <w:tcPr>
            <w:tcW w:w="3631" w:type="pct"/>
          </w:tcPr>
          <w:p w14:paraId="2E24670D" w14:textId="77777777" w:rsidR="000923F1" w:rsidRPr="000B4CEB" w:rsidRDefault="000923F1" w:rsidP="000923F1">
            <w:pPr>
              <w:pStyle w:val="APVMATableText"/>
            </w:pPr>
            <w:r>
              <w:t>8.57 (1% w/v, 25 °C)</w:t>
            </w:r>
          </w:p>
        </w:tc>
      </w:tr>
      <w:tr w:rsidR="000923F1" w14:paraId="24F0C315" w14:textId="77777777" w:rsidTr="000923F1">
        <w:tc>
          <w:tcPr>
            <w:tcW w:w="1369" w:type="pct"/>
            <w:shd w:val="clear" w:color="auto" w:fill="00747A" w:themeFill="background2"/>
          </w:tcPr>
          <w:p w14:paraId="129041D6" w14:textId="77777777" w:rsidR="000923F1" w:rsidRDefault="000923F1" w:rsidP="000923F1">
            <w:pPr>
              <w:pStyle w:val="APVMATableHead"/>
              <w:spacing w:before="120"/>
            </w:pPr>
            <w:r>
              <w:t xml:space="preserve">Octanol/water partition coefficient (Log </w:t>
            </w:r>
            <w:proofErr w:type="spellStart"/>
            <w:r>
              <w:t>K</w:t>
            </w:r>
            <w:r w:rsidRPr="00B75B0D">
              <w:rPr>
                <w:vertAlign w:val="subscript"/>
              </w:rPr>
              <w:t>ow</w:t>
            </w:r>
            <w:proofErr w:type="spellEnd"/>
            <w:r>
              <w:t>/K</w:t>
            </w:r>
            <w:r w:rsidRPr="00B75B0D">
              <w:rPr>
                <w:vertAlign w:val="subscript"/>
              </w:rPr>
              <w:t>OW</w:t>
            </w:r>
            <w:r>
              <w:t>):</w:t>
            </w:r>
          </w:p>
        </w:tc>
        <w:tc>
          <w:tcPr>
            <w:tcW w:w="3631" w:type="pct"/>
          </w:tcPr>
          <w:p w14:paraId="433A6CB5" w14:textId="77777777" w:rsidR="000923F1" w:rsidRPr="00511FCF" w:rsidRDefault="000923F1" w:rsidP="000923F1">
            <w:pPr>
              <w:pStyle w:val="APVMATableText"/>
            </w:pPr>
            <w:r w:rsidRPr="00511FCF">
              <w:t>log P</w:t>
            </w:r>
            <w:r w:rsidRPr="00511FCF">
              <w:rPr>
                <w:vertAlign w:val="subscript"/>
              </w:rPr>
              <w:t xml:space="preserve">ow </w:t>
            </w:r>
            <w:r w:rsidRPr="00511FCF">
              <w:t>= 0.83 at pH 4.2</w:t>
            </w:r>
          </w:p>
          <w:p w14:paraId="33693DE9" w14:textId="77777777" w:rsidR="000923F1" w:rsidRPr="00511FCF" w:rsidRDefault="000923F1" w:rsidP="000923F1">
            <w:pPr>
              <w:pStyle w:val="APVMATableText"/>
            </w:pPr>
            <w:r w:rsidRPr="00511FCF">
              <w:t>log P</w:t>
            </w:r>
            <w:r w:rsidRPr="00511FCF">
              <w:rPr>
                <w:vertAlign w:val="subscript"/>
              </w:rPr>
              <w:t>ow</w:t>
            </w:r>
            <w:r w:rsidRPr="00511FCF">
              <w:t xml:space="preserve"> = 2.9 at pH 7.0</w:t>
            </w:r>
          </w:p>
          <w:p w14:paraId="6778EB89" w14:textId="77777777" w:rsidR="000923F1" w:rsidRPr="00EA7005" w:rsidRDefault="000923F1" w:rsidP="000923F1">
            <w:pPr>
              <w:pStyle w:val="APVMATableText"/>
            </w:pPr>
            <w:r w:rsidRPr="00511FCF">
              <w:t>log P</w:t>
            </w:r>
            <w:r w:rsidRPr="00511FCF">
              <w:rPr>
                <w:vertAlign w:val="subscript"/>
              </w:rPr>
              <w:t>ow</w:t>
            </w:r>
            <w:r w:rsidRPr="00511FCF">
              <w:t xml:space="preserve"> = 4.5 at pH 9.0</w:t>
            </w:r>
          </w:p>
        </w:tc>
      </w:tr>
      <w:tr w:rsidR="000923F1" w14:paraId="22C53557" w14:textId="77777777" w:rsidTr="000923F1">
        <w:tc>
          <w:tcPr>
            <w:tcW w:w="1369" w:type="pct"/>
            <w:shd w:val="clear" w:color="auto" w:fill="00747A" w:themeFill="background2"/>
          </w:tcPr>
          <w:p w14:paraId="4378CE13" w14:textId="77777777" w:rsidR="000923F1" w:rsidRDefault="000923F1" w:rsidP="000923F1">
            <w:pPr>
              <w:pStyle w:val="APVMATableHead"/>
              <w:spacing w:before="120"/>
            </w:pPr>
            <w:r>
              <w:t>Vapour pressure:</w:t>
            </w:r>
          </w:p>
        </w:tc>
        <w:tc>
          <w:tcPr>
            <w:tcW w:w="3631" w:type="pct"/>
          </w:tcPr>
          <w:p w14:paraId="0C8699C1" w14:textId="27AF1E99" w:rsidR="000923F1" w:rsidRPr="00EA7005" w:rsidRDefault="00C42E51" w:rsidP="000923F1">
            <w:pPr>
              <w:pStyle w:val="APVMATableText"/>
            </w:pPr>
            <w:r>
              <w:t>0.017</w:t>
            </w:r>
            <w:r w:rsidR="000923F1" w:rsidRPr="00511FCF">
              <w:t xml:space="preserve"> Pa</w:t>
            </w:r>
            <w:r w:rsidR="000923F1">
              <w:t xml:space="preserve"> (25 °C)</w:t>
            </w:r>
          </w:p>
        </w:tc>
      </w:tr>
      <w:tr w:rsidR="000923F1" w14:paraId="228D5C95" w14:textId="77777777" w:rsidTr="000923F1">
        <w:trPr>
          <w:trHeight w:val="613"/>
        </w:trPr>
        <w:tc>
          <w:tcPr>
            <w:tcW w:w="1369" w:type="pct"/>
            <w:shd w:val="clear" w:color="auto" w:fill="00747A" w:themeFill="background2"/>
          </w:tcPr>
          <w:p w14:paraId="029C153D" w14:textId="77777777" w:rsidR="000923F1" w:rsidRDefault="000923F1" w:rsidP="000923F1">
            <w:pPr>
              <w:pStyle w:val="APVMATableHead"/>
              <w:spacing w:before="120"/>
            </w:pPr>
            <w:r>
              <w:t>Henry’s law constant:</w:t>
            </w:r>
          </w:p>
        </w:tc>
        <w:tc>
          <w:tcPr>
            <w:tcW w:w="3631" w:type="pct"/>
          </w:tcPr>
          <w:p w14:paraId="38E77557" w14:textId="77777777" w:rsidR="000923F1" w:rsidRPr="00EA7005" w:rsidRDefault="000923F1" w:rsidP="000923F1">
            <w:pPr>
              <w:pStyle w:val="APVMATableText"/>
            </w:pPr>
            <w:r w:rsidRPr="00511FCF">
              <w:t>3.39 Pa m</w:t>
            </w:r>
            <w:r w:rsidRPr="00511FCF">
              <w:rPr>
                <w:vertAlign w:val="superscript"/>
              </w:rPr>
              <w:t>3</w:t>
            </w:r>
            <w:r w:rsidRPr="00511FCF">
              <w:t>/mol</w:t>
            </w:r>
            <w:r>
              <w:t xml:space="preserve"> (</w:t>
            </w:r>
            <w:r w:rsidRPr="00511FCF">
              <w:t>25 °C</w:t>
            </w:r>
            <w:r>
              <w:t>)</w:t>
            </w:r>
          </w:p>
        </w:tc>
      </w:tr>
      <w:tr w:rsidR="000923F1" w14:paraId="35DC2E52" w14:textId="77777777" w:rsidTr="000923F1">
        <w:trPr>
          <w:trHeight w:val="613"/>
        </w:trPr>
        <w:tc>
          <w:tcPr>
            <w:tcW w:w="1369" w:type="pct"/>
            <w:shd w:val="clear" w:color="auto" w:fill="00747A" w:themeFill="background2"/>
          </w:tcPr>
          <w:p w14:paraId="24257FAC" w14:textId="77777777" w:rsidR="000923F1" w:rsidRDefault="000923F1" w:rsidP="000923F1">
            <w:pPr>
              <w:pStyle w:val="APVMATableHead"/>
              <w:spacing w:before="120"/>
            </w:pPr>
            <w:r>
              <w:t>UV/</w:t>
            </w:r>
            <w:proofErr w:type="gramStart"/>
            <w:r>
              <w:t>VIS</w:t>
            </w:r>
            <w:proofErr w:type="gramEnd"/>
            <w:r>
              <w:t xml:space="preserve"> absorption spectra:</w:t>
            </w:r>
          </w:p>
        </w:tc>
        <w:tc>
          <w:tcPr>
            <w:tcW w:w="3631" w:type="pct"/>
          </w:tcPr>
          <w:tbl>
            <w:tblPr>
              <w:tblW w:w="6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0"/>
              <w:gridCol w:w="1548"/>
              <w:gridCol w:w="3775"/>
            </w:tblGrid>
            <w:tr w:rsidR="000923F1" w:rsidRPr="000E75B2" w14:paraId="7F8358F7" w14:textId="77777777" w:rsidTr="000923F1">
              <w:trPr>
                <w:trHeight w:val="278"/>
              </w:trPr>
              <w:tc>
                <w:tcPr>
                  <w:tcW w:w="0" w:type="auto"/>
                  <w:gridSpan w:val="3"/>
                </w:tcPr>
                <w:p w14:paraId="4D9F9E29" w14:textId="77777777" w:rsidR="000923F1" w:rsidRPr="00F21108" w:rsidRDefault="000923F1" w:rsidP="00F07CAD">
                  <w:pPr>
                    <w:pStyle w:val="APVMATableText"/>
                    <w:framePr w:hSpace="180" w:wrap="around" w:vAnchor="text" w:hAnchor="margin" w:y="21"/>
                  </w:pPr>
                  <w:r w:rsidRPr="00F21108">
                    <w:t>List of characteristic bands:</w:t>
                  </w:r>
                </w:p>
              </w:tc>
            </w:tr>
            <w:tr w:rsidR="000A2568" w:rsidRPr="000E75B2" w14:paraId="0B466504" w14:textId="77777777" w:rsidTr="000923F1">
              <w:trPr>
                <w:trHeight w:val="418"/>
              </w:trPr>
              <w:tc>
                <w:tcPr>
                  <w:tcW w:w="0" w:type="auto"/>
                </w:tcPr>
                <w:p w14:paraId="6CF90645" w14:textId="77777777" w:rsidR="000923F1" w:rsidRPr="00F21108" w:rsidRDefault="000923F1" w:rsidP="00F07CAD">
                  <w:pPr>
                    <w:pStyle w:val="APVMATableText"/>
                    <w:framePr w:hSpace="180" w:wrap="around" w:vAnchor="text" w:hAnchor="margin" w:y="21"/>
                  </w:pPr>
                </w:p>
              </w:tc>
              <w:tc>
                <w:tcPr>
                  <w:tcW w:w="0" w:type="auto"/>
                </w:tcPr>
                <w:p w14:paraId="28727FBA" w14:textId="77777777" w:rsidR="000923F1" w:rsidRPr="00F21108" w:rsidRDefault="000923F1" w:rsidP="00F07CAD">
                  <w:pPr>
                    <w:pStyle w:val="APVMATableText"/>
                    <w:framePr w:hSpace="180" w:wrap="around" w:vAnchor="text" w:hAnchor="margin" w:y="21"/>
                    <w:jc w:val="center"/>
                  </w:pPr>
                  <w:r w:rsidRPr="00F21108">
                    <w:t>Wavelength [nm]</w:t>
                  </w:r>
                </w:p>
              </w:tc>
              <w:tc>
                <w:tcPr>
                  <w:tcW w:w="0" w:type="auto"/>
                </w:tcPr>
                <w:p w14:paraId="4B9AC362" w14:textId="2BD082BB" w:rsidR="000923F1" w:rsidRPr="00F21108" w:rsidRDefault="000923F1" w:rsidP="00F07CAD">
                  <w:pPr>
                    <w:pStyle w:val="APVMATableText"/>
                    <w:framePr w:hSpace="180" w:wrap="around" w:vAnchor="text" w:hAnchor="margin" w:y="21"/>
                    <w:jc w:val="center"/>
                  </w:pPr>
                  <w:r w:rsidRPr="00F21108">
                    <w:t>Molar extinction Coefficient [</w:t>
                  </w:r>
                  <w:r w:rsidR="00BA161E">
                    <w:t>L·</w:t>
                  </w:r>
                  <w:r w:rsidRPr="00F21108">
                    <w:t>mol</w:t>
                  </w:r>
                  <w:r w:rsidR="00BA161E">
                    <w:rPr>
                      <w:vertAlign w:val="superscript"/>
                    </w:rPr>
                    <w:t>-1</w:t>
                  </w:r>
                  <w:r w:rsidR="00BA161E">
                    <w:t>·</w:t>
                  </w:r>
                  <w:r w:rsidRPr="00F21108">
                    <w:t>cm</w:t>
                  </w:r>
                  <w:r w:rsidR="000A2568">
                    <w:rPr>
                      <w:vertAlign w:val="superscript"/>
                    </w:rPr>
                    <w:t>-1</w:t>
                  </w:r>
                  <w:r w:rsidRPr="00F21108">
                    <w:t>]</w:t>
                  </w:r>
                </w:p>
              </w:tc>
            </w:tr>
            <w:tr w:rsidR="000A2568" w:rsidRPr="000E75B2" w14:paraId="1889D377" w14:textId="77777777" w:rsidTr="000923F1">
              <w:trPr>
                <w:trHeight w:val="262"/>
              </w:trPr>
              <w:tc>
                <w:tcPr>
                  <w:tcW w:w="0" w:type="auto"/>
                  <w:vMerge w:val="restart"/>
                </w:tcPr>
                <w:p w14:paraId="269DF8D6" w14:textId="23204784" w:rsidR="000923F1" w:rsidRPr="00F21108" w:rsidRDefault="00DD03C2" w:rsidP="00F07CAD">
                  <w:pPr>
                    <w:pStyle w:val="APVMATableText"/>
                    <w:framePr w:hSpace="180" w:wrap="around" w:vAnchor="text" w:hAnchor="margin" w:y="21"/>
                  </w:pPr>
                  <w:r>
                    <w:t>N</w:t>
                  </w:r>
                  <w:r w:rsidR="000923F1" w:rsidRPr="00F21108">
                    <w:t>eutral solution</w:t>
                  </w:r>
                </w:p>
              </w:tc>
              <w:tc>
                <w:tcPr>
                  <w:tcW w:w="0" w:type="auto"/>
                </w:tcPr>
                <w:p w14:paraId="155FEDEE" w14:textId="77777777" w:rsidR="000923F1" w:rsidRPr="00F21108" w:rsidRDefault="000923F1" w:rsidP="00F07CAD">
                  <w:pPr>
                    <w:pStyle w:val="APVMATableText"/>
                    <w:framePr w:hSpace="180" w:wrap="around" w:vAnchor="text" w:hAnchor="margin" w:y="21"/>
                    <w:jc w:val="center"/>
                  </w:pPr>
                  <w:r w:rsidRPr="00F21108">
                    <w:t>218.2</w:t>
                  </w:r>
                </w:p>
              </w:tc>
              <w:tc>
                <w:tcPr>
                  <w:tcW w:w="0" w:type="auto"/>
                </w:tcPr>
                <w:p w14:paraId="1C37822E" w14:textId="5852173F" w:rsidR="000923F1" w:rsidRPr="00F21108" w:rsidRDefault="000923F1" w:rsidP="00F07CAD">
                  <w:pPr>
                    <w:pStyle w:val="APVMATableText"/>
                    <w:framePr w:hSpace="180" w:wrap="around" w:vAnchor="text" w:hAnchor="margin" w:y="21"/>
                    <w:jc w:val="center"/>
                  </w:pPr>
                  <w:r w:rsidRPr="00F21108">
                    <w:t>10</w:t>
                  </w:r>
                  <w:r w:rsidR="00DD03C2">
                    <w:t>,</w:t>
                  </w:r>
                  <w:r w:rsidRPr="00F21108">
                    <w:t>760</w:t>
                  </w:r>
                </w:p>
              </w:tc>
            </w:tr>
            <w:tr w:rsidR="000A2568" w:rsidRPr="000E75B2" w14:paraId="6B1E44F9" w14:textId="77777777" w:rsidTr="000923F1">
              <w:trPr>
                <w:trHeight w:val="257"/>
              </w:trPr>
              <w:tc>
                <w:tcPr>
                  <w:tcW w:w="0" w:type="auto"/>
                  <w:vMerge/>
                </w:tcPr>
                <w:p w14:paraId="7A822AE8" w14:textId="77777777" w:rsidR="000923F1" w:rsidRPr="00F21108" w:rsidRDefault="000923F1" w:rsidP="00F07CAD">
                  <w:pPr>
                    <w:pStyle w:val="APVMATableText"/>
                    <w:framePr w:hSpace="180" w:wrap="around" w:vAnchor="text" w:hAnchor="margin" w:y="21"/>
                  </w:pPr>
                </w:p>
              </w:tc>
              <w:tc>
                <w:tcPr>
                  <w:tcW w:w="0" w:type="auto"/>
                </w:tcPr>
                <w:p w14:paraId="6EB50CB3" w14:textId="77777777" w:rsidR="000923F1" w:rsidRPr="00F21108" w:rsidRDefault="000923F1" w:rsidP="00F07CAD">
                  <w:pPr>
                    <w:pStyle w:val="APVMATableText"/>
                    <w:framePr w:hSpace="180" w:wrap="around" w:vAnchor="text" w:hAnchor="margin" w:y="21"/>
                    <w:jc w:val="center"/>
                  </w:pPr>
                  <w:r w:rsidRPr="00F21108">
                    <w:t>263.7</w:t>
                  </w:r>
                </w:p>
              </w:tc>
              <w:tc>
                <w:tcPr>
                  <w:tcW w:w="0" w:type="auto"/>
                </w:tcPr>
                <w:p w14:paraId="32B52A23" w14:textId="77777777" w:rsidR="000923F1" w:rsidRPr="00F21108" w:rsidRDefault="000923F1" w:rsidP="00F07CAD">
                  <w:pPr>
                    <w:pStyle w:val="APVMATableText"/>
                    <w:framePr w:hSpace="180" w:wrap="around" w:vAnchor="text" w:hAnchor="margin" w:y="21"/>
                    <w:jc w:val="center"/>
                  </w:pPr>
                  <w:r w:rsidRPr="00F21108">
                    <w:t>410</w:t>
                  </w:r>
                </w:p>
              </w:tc>
            </w:tr>
            <w:tr w:rsidR="000A2568" w:rsidRPr="000E75B2" w14:paraId="1AE5FF25" w14:textId="77777777" w:rsidTr="000923F1">
              <w:trPr>
                <w:trHeight w:val="263"/>
              </w:trPr>
              <w:tc>
                <w:tcPr>
                  <w:tcW w:w="0" w:type="auto"/>
                  <w:vMerge w:val="restart"/>
                </w:tcPr>
                <w:p w14:paraId="0348F082" w14:textId="2E302A9F" w:rsidR="000923F1" w:rsidRPr="00F21108" w:rsidRDefault="00DD03C2" w:rsidP="00F07CAD">
                  <w:pPr>
                    <w:pStyle w:val="APVMATableText"/>
                    <w:framePr w:hSpace="180" w:wrap="around" w:vAnchor="text" w:hAnchor="margin" w:y="21"/>
                  </w:pPr>
                  <w:r>
                    <w:t>A</w:t>
                  </w:r>
                  <w:r w:rsidR="000923F1" w:rsidRPr="00F21108">
                    <w:t>cidic solution</w:t>
                  </w:r>
                </w:p>
              </w:tc>
              <w:tc>
                <w:tcPr>
                  <w:tcW w:w="0" w:type="auto"/>
                </w:tcPr>
                <w:p w14:paraId="203F5C02" w14:textId="77777777" w:rsidR="000923F1" w:rsidRPr="00F21108" w:rsidRDefault="000923F1" w:rsidP="00F07CAD">
                  <w:pPr>
                    <w:pStyle w:val="APVMATableText"/>
                    <w:framePr w:hSpace="180" w:wrap="around" w:vAnchor="text" w:hAnchor="margin" w:y="21"/>
                    <w:jc w:val="center"/>
                  </w:pPr>
                  <w:r w:rsidRPr="00F21108">
                    <w:t>217.9</w:t>
                  </w:r>
                </w:p>
              </w:tc>
              <w:tc>
                <w:tcPr>
                  <w:tcW w:w="0" w:type="auto"/>
                </w:tcPr>
                <w:p w14:paraId="39B975B9" w14:textId="6052C305" w:rsidR="000923F1" w:rsidRPr="00F21108" w:rsidRDefault="000923F1" w:rsidP="00F07CAD">
                  <w:pPr>
                    <w:pStyle w:val="APVMATableText"/>
                    <w:framePr w:hSpace="180" w:wrap="around" w:vAnchor="text" w:hAnchor="margin" w:y="21"/>
                    <w:jc w:val="center"/>
                  </w:pPr>
                  <w:r w:rsidRPr="00F21108">
                    <w:t>9</w:t>
                  </w:r>
                  <w:r w:rsidR="00DD03C2">
                    <w:t>,</w:t>
                  </w:r>
                  <w:r w:rsidRPr="00F21108">
                    <w:t>670</w:t>
                  </w:r>
                </w:p>
              </w:tc>
            </w:tr>
            <w:tr w:rsidR="000A2568" w:rsidRPr="000E75B2" w14:paraId="1670C88C" w14:textId="77777777" w:rsidTr="000923F1">
              <w:trPr>
                <w:trHeight w:val="259"/>
              </w:trPr>
              <w:tc>
                <w:tcPr>
                  <w:tcW w:w="0" w:type="auto"/>
                  <w:vMerge/>
                </w:tcPr>
                <w:p w14:paraId="0479E61E" w14:textId="77777777" w:rsidR="000923F1" w:rsidRPr="00F21108" w:rsidRDefault="000923F1" w:rsidP="00F07CAD">
                  <w:pPr>
                    <w:pStyle w:val="APVMATableText"/>
                    <w:framePr w:hSpace="180" w:wrap="around" w:vAnchor="text" w:hAnchor="margin" w:y="21"/>
                  </w:pPr>
                </w:p>
              </w:tc>
              <w:tc>
                <w:tcPr>
                  <w:tcW w:w="0" w:type="auto"/>
                </w:tcPr>
                <w:p w14:paraId="537DBECD" w14:textId="77777777" w:rsidR="000923F1" w:rsidRPr="00F21108" w:rsidRDefault="000923F1" w:rsidP="00F07CAD">
                  <w:pPr>
                    <w:pStyle w:val="APVMATableText"/>
                    <w:framePr w:hSpace="180" w:wrap="around" w:vAnchor="text" w:hAnchor="margin" w:y="21"/>
                    <w:jc w:val="center"/>
                  </w:pPr>
                  <w:r w:rsidRPr="00F21108">
                    <w:t>262.9</w:t>
                  </w:r>
                </w:p>
              </w:tc>
              <w:tc>
                <w:tcPr>
                  <w:tcW w:w="0" w:type="auto"/>
                </w:tcPr>
                <w:p w14:paraId="1A0D9744" w14:textId="77777777" w:rsidR="000923F1" w:rsidRPr="00F21108" w:rsidRDefault="000923F1" w:rsidP="00F07CAD">
                  <w:pPr>
                    <w:pStyle w:val="APVMATableText"/>
                    <w:framePr w:hSpace="180" w:wrap="around" w:vAnchor="text" w:hAnchor="margin" w:y="21"/>
                    <w:jc w:val="center"/>
                  </w:pPr>
                  <w:r w:rsidRPr="00F21108">
                    <w:t>310</w:t>
                  </w:r>
                </w:p>
              </w:tc>
            </w:tr>
            <w:tr w:rsidR="000A2568" w:rsidRPr="000E75B2" w14:paraId="589ACE1E" w14:textId="77777777" w:rsidTr="000923F1">
              <w:trPr>
                <w:trHeight w:val="263"/>
              </w:trPr>
              <w:tc>
                <w:tcPr>
                  <w:tcW w:w="0" w:type="auto"/>
                  <w:vMerge w:val="restart"/>
                </w:tcPr>
                <w:p w14:paraId="7FCA6937" w14:textId="0DCD489A" w:rsidR="000923F1" w:rsidRPr="00F21108" w:rsidRDefault="00DD03C2" w:rsidP="00F07CAD">
                  <w:pPr>
                    <w:pStyle w:val="APVMATableText"/>
                    <w:framePr w:hSpace="180" w:wrap="around" w:vAnchor="text" w:hAnchor="margin" w:y="21"/>
                  </w:pPr>
                  <w:r>
                    <w:t>B</w:t>
                  </w:r>
                  <w:r w:rsidR="000923F1" w:rsidRPr="00F21108">
                    <w:t>asic solution</w:t>
                  </w:r>
                </w:p>
              </w:tc>
              <w:tc>
                <w:tcPr>
                  <w:tcW w:w="0" w:type="auto"/>
                </w:tcPr>
                <w:p w14:paraId="13335254" w14:textId="77777777" w:rsidR="000923F1" w:rsidRPr="00F21108" w:rsidRDefault="000923F1" w:rsidP="00F07CAD">
                  <w:pPr>
                    <w:pStyle w:val="APVMATableText"/>
                    <w:framePr w:hSpace="180" w:wrap="around" w:vAnchor="text" w:hAnchor="margin" w:y="21"/>
                    <w:jc w:val="center"/>
                  </w:pPr>
                  <w:r w:rsidRPr="00F21108">
                    <w:t>219.2</w:t>
                  </w:r>
                </w:p>
              </w:tc>
              <w:tc>
                <w:tcPr>
                  <w:tcW w:w="0" w:type="auto"/>
                </w:tcPr>
                <w:p w14:paraId="32EA10FF" w14:textId="62108FAD" w:rsidR="000923F1" w:rsidRPr="00F21108" w:rsidRDefault="000923F1" w:rsidP="00F07CAD">
                  <w:pPr>
                    <w:pStyle w:val="APVMATableText"/>
                    <w:framePr w:hSpace="180" w:wrap="around" w:vAnchor="text" w:hAnchor="margin" w:y="21"/>
                    <w:jc w:val="center"/>
                  </w:pPr>
                  <w:r w:rsidRPr="00F21108">
                    <w:t>9</w:t>
                  </w:r>
                  <w:r w:rsidR="00DD03C2">
                    <w:t>,</w:t>
                  </w:r>
                  <w:r w:rsidRPr="00F21108">
                    <w:t>440</w:t>
                  </w:r>
                </w:p>
              </w:tc>
            </w:tr>
            <w:tr w:rsidR="000A2568" w:rsidRPr="000E75B2" w14:paraId="2B688AE6" w14:textId="77777777" w:rsidTr="000923F1">
              <w:trPr>
                <w:trHeight w:val="259"/>
              </w:trPr>
              <w:tc>
                <w:tcPr>
                  <w:tcW w:w="0" w:type="auto"/>
                  <w:vMerge/>
                </w:tcPr>
                <w:p w14:paraId="45E239AD" w14:textId="77777777" w:rsidR="000923F1" w:rsidRPr="00F21108" w:rsidRDefault="000923F1" w:rsidP="00F07CAD">
                  <w:pPr>
                    <w:pStyle w:val="APVMATableText"/>
                    <w:framePr w:hSpace="180" w:wrap="around" w:vAnchor="text" w:hAnchor="margin" w:y="21"/>
                  </w:pPr>
                </w:p>
              </w:tc>
              <w:tc>
                <w:tcPr>
                  <w:tcW w:w="0" w:type="auto"/>
                </w:tcPr>
                <w:p w14:paraId="12CB8774" w14:textId="77777777" w:rsidR="000923F1" w:rsidRPr="00F21108" w:rsidRDefault="000923F1" w:rsidP="00F07CAD">
                  <w:pPr>
                    <w:pStyle w:val="APVMATableText"/>
                    <w:framePr w:hSpace="180" w:wrap="around" w:vAnchor="text" w:hAnchor="margin" w:y="21"/>
                    <w:jc w:val="center"/>
                  </w:pPr>
                  <w:r w:rsidRPr="00F21108">
                    <w:t>263.9</w:t>
                  </w:r>
                </w:p>
              </w:tc>
              <w:tc>
                <w:tcPr>
                  <w:tcW w:w="0" w:type="auto"/>
                </w:tcPr>
                <w:p w14:paraId="25182C4F" w14:textId="77777777" w:rsidR="000923F1" w:rsidRPr="00F21108" w:rsidRDefault="000923F1" w:rsidP="00F07CAD">
                  <w:pPr>
                    <w:pStyle w:val="APVMATableText"/>
                    <w:framePr w:hSpace="180" w:wrap="around" w:vAnchor="text" w:hAnchor="margin" w:y="21"/>
                    <w:jc w:val="center"/>
                  </w:pPr>
                  <w:r w:rsidRPr="00F21108">
                    <w:t>250</w:t>
                  </w:r>
                </w:p>
              </w:tc>
            </w:tr>
          </w:tbl>
          <w:p w14:paraId="64A555DF" w14:textId="77777777" w:rsidR="000923F1" w:rsidRPr="00EA7005" w:rsidRDefault="000923F1" w:rsidP="000923F1">
            <w:pPr>
              <w:pStyle w:val="APVMATableText"/>
            </w:pPr>
          </w:p>
        </w:tc>
      </w:tr>
    </w:tbl>
    <w:p w14:paraId="514CAEF2" w14:textId="6C555197" w:rsidR="000923F1" w:rsidRPr="000923F1" w:rsidRDefault="000923F1" w:rsidP="000923F1">
      <w:pPr>
        <w:pStyle w:val="APVMAnormal"/>
      </w:pPr>
      <w:bookmarkStart w:id="46" w:name="_Toc7561225"/>
      <w:bookmarkEnd w:id="42"/>
      <w:bookmarkEnd w:id="43"/>
      <w:bookmarkEnd w:id="44"/>
      <w:r w:rsidRPr="000923F1">
        <w:t>Fenpropidin is a pale</w:t>
      </w:r>
      <w:r w:rsidR="000A2568">
        <w:t>-</w:t>
      </w:r>
      <w:r w:rsidRPr="000923F1">
        <w:t>yellow liquid. Its solubility in water is highly dependent on the pH (130 g/L at pH 6.0, 530 mg/L at pH 7.0</w:t>
      </w:r>
      <w:r w:rsidR="009A33D0">
        <w:t>,</w:t>
      </w:r>
      <w:r w:rsidRPr="000923F1">
        <w:t xml:space="preserve"> and 6.2 mg/L at pH 9.0). There are no explosive, self-ignition, </w:t>
      </w:r>
      <w:r>
        <w:t xml:space="preserve">or corrosive properties </w:t>
      </w:r>
      <w:r w:rsidRPr="000923F1">
        <w:t>of safety concern for fenpropidin.</w:t>
      </w:r>
    </w:p>
    <w:p w14:paraId="589E380B" w14:textId="345D80EB" w:rsidR="000923F1" w:rsidRDefault="000923F1" w:rsidP="000923F1">
      <w:pPr>
        <w:pStyle w:val="APVMAnormal"/>
      </w:pPr>
      <w:r w:rsidRPr="000923F1">
        <w:t>Based on the toxicological assessment and Declaration of Composition provided, the following APVMA Active Constituent Standard is proposed for fenpropidin</w:t>
      </w:r>
      <w:r w:rsidR="00DD03C2">
        <w:t xml:space="preserve"> in Table 3.</w:t>
      </w:r>
    </w:p>
    <w:p w14:paraId="00EC7963" w14:textId="65E50BA8" w:rsidR="000923F1" w:rsidRPr="000923F1" w:rsidRDefault="00DD03C2" w:rsidP="00DD03C2">
      <w:pPr>
        <w:pStyle w:val="Caption"/>
      </w:pPr>
      <w:bookmarkStart w:id="47" w:name="_Toc137198200"/>
      <w:r>
        <w:t xml:space="preserve">Table </w:t>
      </w:r>
      <w:fldSimple w:instr=" SEQ Table \* ARABIC ">
        <w:r>
          <w:rPr>
            <w:noProof/>
          </w:rPr>
          <w:t>3</w:t>
        </w:r>
      </w:fldSimple>
      <w:r w:rsidR="000923F1">
        <w:t>: Proposed APVMA active constituent standard for fenpropidin</w:t>
      </w:r>
      <w:bookmarkEnd w:id="47"/>
    </w:p>
    <w:tbl>
      <w:tblPr>
        <w:tblW w:w="5000" w:type="pct"/>
        <w:tblBorders>
          <w:top w:val="single" w:sz="4" w:space="0" w:color="auto"/>
          <w:bottom w:val="single" w:sz="4" w:space="0" w:color="auto"/>
          <w:insideH w:val="single" w:sz="4" w:space="0" w:color="auto"/>
        </w:tblBorders>
        <w:tblLook w:val="01E0" w:firstRow="1" w:lastRow="1" w:firstColumn="1" w:lastColumn="1" w:noHBand="0" w:noVBand="0"/>
        <w:tblCaption w:val="Nomenclature and structural formula of the active constituent"/>
        <w:tblDescription w:val="Key names and formulas of the active constituent"/>
      </w:tblPr>
      <w:tblGrid>
        <w:gridCol w:w="3046"/>
        <w:gridCol w:w="3296"/>
        <w:gridCol w:w="3296"/>
      </w:tblGrid>
      <w:tr w:rsidR="000923F1" w14:paraId="7E19A4A3" w14:textId="77777777" w:rsidTr="00DD03C2">
        <w:tc>
          <w:tcPr>
            <w:tcW w:w="1580" w:type="pct"/>
            <w:tcBorders>
              <w:bottom w:val="single" w:sz="4" w:space="0" w:color="auto"/>
            </w:tcBorders>
            <w:shd w:val="clear" w:color="auto" w:fill="00747A" w:themeFill="background2"/>
          </w:tcPr>
          <w:p w14:paraId="0D52CBB0" w14:textId="4D7DD8DD" w:rsidR="000923F1" w:rsidRDefault="000923F1" w:rsidP="00CC3DCB">
            <w:pPr>
              <w:pStyle w:val="APVMATableHead"/>
            </w:pPr>
            <w:r>
              <w:t>Constituent</w:t>
            </w:r>
          </w:p>
        </w:tc>
        <w:tc>
          <w:tcPr>
            <w:tcW w:w="1710" w:type="pct"/>
            <w:shd w:val="clear" w:color="auto" w:fill="00747A" w:themeFill="background2"/>
          </w:tcPr>
          <w:p w14:paraId="3C5CDFC0" w14:textId="77777777" w:rsidR="000923F1" w:rsidRDefault="000923F1" w:rsidP="00CC3DCB">
            <w:pPr>
              <w:pStyle w:val="APVMATableHead"/>
            </w:pPr>
            <w:r w:rsidRPr="00807698">
              <w:t>Parameter</w:t>
            </w:r>
          </w:p>
        </w:tc>
        <w:tc>
          <w:tcPr>
            <w:tcW w:w="1710" w:type="pct"/>
            <w:shd w:val="clear" w:color="auto" w:fill="00747A" w:themeFill="background2"/>
          </w:tcPr>
          <w:p w14:paraId="5200A729" w14:textId="77777777" w:rsidR="000923F1" w:rsidRDefault="000923F1" w:rsidP="00CC3DCB">
            <w:pPr>
              <w:pStyle w:val="APVMATableHead"/>
            </w:pPr>
            <w:r w:rsidRPr="00807698">
              <w:t>Level</w:t>
            </w:r>
          </w:p>
        </w:tc>
      </w:tr>
      <w:tr w:rsidR="000923F1" w14:paraId="35E623DF" w14:textId="77777777" w:rsidTr="00DD03C2">
        <w:tc>
          <w:tcPr>
            <w:tcW w:w="1580" w:type="pct"/>
            <w:tcBorders>
              <w:bottom w:val="single" w:sz="4" w:space="0" w:color="auto"/>
            </w:tcBorders>
            <w:shd w:val="clear" w:color="auto" w:fill="auto"/>
          </w:tcPr>
          <w:p w14:paraId="38CDEBC3" w14:textId="4540124B" w:rsidR="000923F1" w:rsidRPr="009D3DD4" w:rsidRDefault="00DD03C2" w:rsidP="00CC3DCB">
            <w:pPr>
              <w:pStyle w:val="APVMATableText"/>
            </w:pPr>
            <w:r>
              <w:t>F</w:t>
            </w:r>
            <w:r w:rsidR="000923F1">
              <w:t>enpropidin</w:t>
            </w:r>
          </w:p>
        </w:tc>
        <w:tc>
          <w:tcPr>
            <w:tcW w:w="1710" w:type="pct"/>
          </w:tcPr>
          <w:p w14:paraId="4EDA7D11" w14:textId="236D7CAA" w:rsidR="000923F1" w:rsidRDefault="00DD03C2" w:rsidP="00CC3DCB">
            <w:pPr>
              <w:pStyle w:val="APVMATableText"/>
            </w:pPr>
            <w:r>
              <w:rPr>
                <w:noProof/>
                <w:kern w:val="22"/>
                <w:szCs w:val="17"/>
              </w:rPr>
              <w:t>P</w:t>
            </w:r>
            <w:r w:rsidR="000923F1">
              <w:rPr>
                <w:noProof/>
                <w:kern w:val="22"/>
                <w:szCs w:val="17"/>
              </w:rPr>
              <w:t>urity</w:t>
            </w:r>
          </w:p>
        </w:tc>
        <w:tc>
          <w:tcPr>
            <w:tcW w:w="1710" w:type="pct"/>
          </w:tcPr>
          <w:p w14:paraId="2EFCDE3A" w14:textId="61C66873" w:rsidR="000923F1" w:rsidRDefault="000923F1" w:rsidP="00CC3DCB">
            <w:pPr>
              <w:pStyle w:val="APVMATableText"/>
            </w:pPr>
            <w:r w:rsidRPr="00807698">
              <w:rPr>
                <w:noProof/>
                <w:kern w:val="22"/>
                <w:szCs w:val="17"/>
              </w:rPr>
              <w:t>9</w:t>
            </w:r>
            <w:r>
              <w:rPr>
                <w:noProof/>
                <w:kern w:val="22"/>
                <w:szCs w:val="17"/>
              </w:rPr>
              <w:t>8</w:t>
            </w:r>
            <w:r w:rsidRPr="00807698">
              <w:rPr>
                <w:noProof/>
                <w:kern w:val="22"/>
                <w:szCs w:val="17"/>
              </w:rPr>
              <w:t>0</w:t>
            </w:r>
            <w:r>
              <w:rPr>
                <w:kern w:val="22"/>
                <w:szCs w:val="17"/>
              </w:rPr>
              <w:t> </w:t>
            </w:r>
            <w:r w:rsidRPr="00807698">
              <w:rPr>
                <w:kern w:val="22"/>
                <w:szCs w:val="17"/>
              </w:rPr>
              <w:t>g/kg minimum</w:t>
            </w:r>
          </w:p>
        </w:tc>
      </w:tr>
    </w:tbl>
    <w:p w14:paraId="7917E5D9" w14:textId="04736E29" w:rsidR="006D36C8" w:rsidRDefault="005A2957" w:rsidP="00032787">
      <w:pPr>
        <w:pStyle w:val="Heading2"/>
      </w:pPr>
      <w:bookmarkStart w:id="48" w:name="_Toc137198155"/>
      <w:r>
        <w:lastRenderedPageBreak/>
        <w:t>Formulated product</w:t>
      </w:r>
      <w:bookmarkEnd w:id="46"/>
      <w:bookmarkEnd w:id="48"/>
    </w:p>
    <w:p w14:paraId="50097EEE" w14:textId="2DD9D600" w:rsidR="005A2957" w:rsidRPr="00DD03C2" w:rsidRDefault="005A2957" w:rsidP="00DD03C2">
      <w:pPr>
        <w:pStyle w:val="APVMAText"/>
      </w:pPr>
      <w:r w:rsidRPr="00DD03C2">
        <w:t xml:space="preserve">The product </w:t>
      </w:r>
      <w:r w:rsidR="00F21108" w:rsidRPr="00DD03C2">
        <w:t xml:space="preserve">SEEKER Duo Fungicide </w:t>
      </w:r>
      <w:r w:rsidR="00CA5B2B" w:rsidRPr="00DD03C2">
        <w:t xml:space="preserve">will be manufactured </w:t>
      </w:r>
      <w:r w:rsidR="00F21108" w:rsidRPr="00DD03C2">
        <w:t>in Australia and overseas</w:t>
      </w:r>
      <w:r w:rsidRPr="00DD03C2">
        <w:t xml:space="preserve">. Tables </w:t>
      </w:r>
      <w:r w:rsidR="000923F1" w:rsidRPr="00DD03C2">
        <w:t>4</w:t>
      </w:r>
      <w:r w:rsidRPr="00DD03C2">
        <w:t xml:space="preserve"> and </w:t>
      </w:r>
      <w:r w:rsidR="000923F1" w:rsidRPr="00DD03C2">
        <w:t>5</w:t>
      </w:r>
      <w:r w:rsidRPr="00DD03C2">
        <w:t xml:space="preserve"> </w:t>
      </w:r>
      <w:r w:rsidR="000923F1" w:rsidRPr="00DD03C2">
        <w:t xml:space="preserve">below </w:t>
      </w:r>
      <w:r w:rsidRPr="00DD03C2">
        <w:t>outline some key aspects of the formulation and physicochemical properties of the product.</w:t>
      </w:r>
    </w:p>
    <w:p w14:paraId="1ABC78C2" w14:textId="29951603" w:rsidR="00F21108" w:rsidRPr="00DD03C2" w:rsidRDefault="00F21108" w:rsidP="00DD03C2">
      <w:pPr>
        <w:pStyle w:val="APVMAText"/>
      </w:pPr>
      <w:r w:rsidRPr="00DD03C2">
        <w:t xml:space="preserve">SEEKER Duo Fungicide will be available in 1 </w:t>
      </w:r>
      <w:r w:rsidR="00DD03C2" w:rsidRPr="00DD03C2">
        <w:t>L to</w:t>
      </w:r>
      <w:r w:rsidRPr="00DD03C2">
        <w:t xml:space="preserve"> 20 L </w:t>
      </w:r>
      <w:r w:rsidR="00DD03C2" w:rsidRPr="00DD03C2">
        <w:t xml:space="preserve">fluorinated high density polyethylene, high density polyethylene/polyamide and co-extruded high-density polyethylene/ethylene vinyl alcohol </w:t>
      </w:r>
      <w:r w:rsidRPr="00DD03C2">
        <w:t>containers.</w:t>
      </w:r>
    </w:p>
    <w:p w14:paraId="0996AB7C" w14:textId="4DC89E15" w:rsidR="006D36C8" w:rsidRPr="00DD03C2" w:rsidRDefault="00DD03C2" w:rsidP="00DD03C2">
      <w:pPr>
        <w:pStyle w:val="Caption"/>
      </w:pPr>
      <w:bookmarkStart w:id="49" w:name="_Toc252955168"/>
      <w:bookmarkStart w:id="50" w:name="_Toc56686267"/>
      <w:bookmarkStart w:id="51" w:name="_Toc56686280"/>
      <w:bookmarkStart w:id="52" w:name="_Toc137198201"/>
      <w:r>
        <w:t xml:space="preserve">Table </w:t>
      </w:r>
      <w:fldSimple w:instr=" SEQ Table \* ARABIC ">
        <w:r>
          <w:rPr>
            <w:noProof/>
          </w:rPr>
          <w:t>4</w:t>
        </w:r>
      </w:fldSimple>
      <w:r w:rsidR="006D36C8" w:rsidRPr="00DD03C2">
        <w:t>:</w:t>
      </w:r>
      <w:bookmarkEnd w:id="49"/>
      <w:r w:rsidR="007B322A" w:rsidRPr="00DD03C2">
        <w:t xml:space="preserve"> </w:t>
      </w:r>
      <w:r w:rsidR="005A2957" w:rsidRPr="00DD03C2">
        <w:t xml:space="preserve">Key aspects of the formulation of the product </w:t>
      </w:r>
      <w:bookmarkStart w:id="53" w:name="_Hlk129006383"/>
      <w:bookmarkEnd w:id="50"/>
      <w:bookmarkEnd w:id="51"/>
      <w:r w:rsidR="00F21108" w:rsidRPr="00DD03C2">
        <w:t>SEEKER Duo Fungicide</w:t>
      </w:r>
      <w:bookmarkEnd w:id="52"/>
    </w:p>
    <w:tbl>
      <w:tblPr>
        <w:tblW w:w="5000" w:type="pct"/>
        <w:tblBorders>
          <w:top w:val="single" w:sz="4" w:space="0" w:color="auto"/>
          <w:bottom w:val="single" w:sz="4" w:space="0" w:color="auto"/>
          <w:insideH w:val="single" w:sz="4" w:space="0" w:color="auto"/>
        </w:tblBorders>
        <w:tblLook w:val="01E0" w:firstRow="1" w:lastRow="1" w:firstColumn="1" w:lastColumn="1" w:noHBand="0" w:noVBand="0"/>
        <w:tblCaption w:val="Key aspects of the formulation of the product"/>
        <w:tblDescription w:val="Details of the product formulation "/>
      </w:tblPr>
      <w:tblGrid>
        <w:gridCol w:w="2901"/>
        <w:gridCol w:w="6737"/>
      </w:tblGrid>
      <w:tr w:rsidR="005C33B9" w14:paraId="3062EE28" w14:textId="77777777" w:rsidTr="0051454B">
        <w:tc>
          <w:tcPr>
            <w:tcW w:w="1505" w:type="pct"/>
            <w:shd w:val="clear" w:color="auto" w:fill="00747A" w:themeFill="background2"/>
          </w:tcPr>
          <w:bookmarkEnd w:id="53"/>
          <w:p w14:paraId="743D7A07" w14:textId="77777777" w:rsidR="005C33B9" w:rsidRPr="00DD03C2" w:rsidRDefault="005C33B9" w:rsidP="00DD03C2">
            <w:pPr>
              <w:pStyle w:val="APVMATableHead"/>
            </w:pPr>
            <w:r w:rsidRPr="00DD03C2">
              <w:t>Distinguishing name:</w:t>
            </w:r>
          </w:p>
        </w:tc>
        <w:tc>
          <w:tcPr>
            <w:tcW w:w="3495" w:type="pct"/>
          </w:tcPr>
          <w:p w14:paraId="757F5168" w14:textId="58F0505D" w:rsidR="005C33B9" w:rsidRPr="00DD03C2" w:rsidRDefault="00F21108" w:rsidP="00DD03C2">
            <w:pPr>
              <w:pStyle w:val="APVMATableText"/>
            </w:pPr>
            <w:r w:rsidRPr="00DD03C2">
              <w:t>SEEKER Duo Fungicide</w:t>
            </w:r>
          </w:p>
        </w:tc>
      </w:tr>
      <w:tr w:rsidR="005C33B9" w14:paraId="418C7C0B" w14:textId="77777777" w:rsidTr="0051454B">
        <w:tc>
          <w:tcPr>
            <w:tcW w:w="1505" w:type="pct"/>
            <w:shd w:val="clear" w:color="auto" w:fill="00747A" w:themeFill="background2"/>
          </w:tcPr>
          <w:p w14:paraId="5E57333F" w14:textId="77777777" w:rsidR="005C33B9" w:rsidRPr="00DD03C2" w:rsidRDefault="005C33B9" w:rsidP="00DD03C2">
            <w:pPr>
              <w:pStyle w:val="APVMATableHead"/>
            </w:pPr>
            <w:r w:rsidRPr="00DD03C2">
              <w:t>Formulation type:</w:t>
            </w:r>
          </w:p>
        </w:tc>
        <w:tc>
          <w:tcPr>
            <w:tcW w:w="3495" w:type="pct"/>
          </w:tcPr>
          <w:p w14:paraId="5255D300" w14:textId="4D2A3A91" w:rsidR="005C33B9" w:rsidRPr="00DD03C2" w:rsidRDefault="00F21108" w:rsidP="00DD03C2">
            <w:pPr>
              <w:pStyle w:val="APVMATableText"/>
            </w:pPr>
            <w:r w:rsidRPr="00DD03C2">
              <w:t xml:space="preserve">Emulsifiable </w:t>
            </w:r>
            <w:r w:rsidR="00DD03C2">
              <w:t>c</w:t>
            </w:r>
            <w:r w:rsidRPr="00DD03C2">
              <w:t>oncentrate (EC)</w:t>
            </w:r>
          </w:p>
        </w:tc>
      </w:tr>
      <w:tr w:rsidR="005C33B9" w14:paraId="54B4AAD2" w14:textId="77777777" w:rsidTr="0051454B">
        <w:tc>
          <w:tcPr>
            <w:tcW w:w="1505" w:type="pct"/>
            <w:shd w:val="clear" w:color="auto" w:fill="00747A" w:themeFill="background2"/>
          </w:tcPr>
          <w:p w14:paraId="457F920E" w14:textId="3CF2D8DC" w:rsidR="005C33B9" w:rsidRPr="00DD03C2" w:rsidRDefault="005C33B9" w:rsidP="00DD03C2">
            <w:pPr>
              <w:pStyle w:val="APVMATableHead"/>
            </w:pPr>
            <w:r w:rsidRPr="00DD03C2">
              <w:t>Active constituent concentrations:</w:t>
            </w:r>
          </w:p>
        </w:tc>
        <w:tc>
          <w:tcPr>
            <w:tcW w:w="3495" w:type="pct"/>
          </w:tcPr>
          <w:p w14:paraId="038382AD" w14:textId="77777777" w:rsidR="00F21108" w:rsidRPr="00DD03C2" w:rsidRDefault="00F21108" w:rsidP="00DD03C2">
            <w:pPr>
              <w:pStyle w:val="APVMATableText"/>
            </w:pPr>
            <w:r w:rsidRPr="00DD03C2">
              <w:t>375 g/L fenpropidin</w:t>
            </w:r>
          </w:p>
          <w:p w14:paraId="4A12F7AE" w14:textId="04CF52C1" w:rsidR="005C33B9" w:rsidRPr="00DD03C2" w:rsidRDefault="00F21108" w:rsidP="00DD03C2">
            <w:pPr>
              <w:pStyle w:val="APVMATableText"/>
            </w:pPr>
            <w:r w:rsidRPr="00DD03C2">
              <w:t>100 g/L difenoconazole</w:t>
            </w:r>
          </w:p>
        </w:tc>
      </w:tr>
    </w:tbl>
    <w:p w14:paraId="36FE98FE" w14:textId="77777777" w:rsidR="00DD03C2" w:rsidRDefault="00DD03C2" w:rsidP="00DD03C2">
      <w:pPr>
        <w:pStyle w:val="Caption"/>
        <w:ind w:left="0" w:firstLine="0"/>
      </w:pPr>
      <w:bookmarkStart w:id="54" w:name="_Toc523995125"/>
      <w:bookmarkStart w:id="55" w:name="_Toc56686268"/>
      <w:bookmarkStart w:id="56" w:name="_Toc56686281"/>
      <w:r>
        <w:br w:type="page"/>
      </w:r>
    </w:p>
    <w:p w14:paraId="320A279C" w14:textId="11E6FFDA" w:rsidR="005C33B9" w:rsidRPr="00DD03C2" w:rsidRDefault="00DD03C2" w:rsidP="00DD03C2">
      <w:pPr>
        <w:pStyle w:val="Caption"/>
      </w:pPr>
      <w:bookmarkStart w:id="57" w:name="_Toc137198202"/>
      <w:r w:rsidRPr="00DD03C2">
        <w:lastRenderedPageBreak/>
        <w:t xml:space="preserve">Table </w:t>
      </w:r>
      <w:fldSimple w:instr=" SEQ Table \* ARABIC ">
        <w:r>
          <w:rPr>
            <w:noProof/>
          </w:rPr>
          <w:t>5</w:t>
        </w:r>
      </w:fldSimple>
      <w:r w:rsidR="005C33B9" w:rsidRPr="00DD03C2">
        <w:t xml:space="preserve">: Physicochemical properties of the product </w:t>
      </w:r>
      <w:bookmarkEnd w:id="54"/>
      <w:bookmarkEnd w:id="55"/>
      <w:bookmarkEnd w:id="56"/>
      <w:r w:rsidR="008D68A4" w:rsidRPr="00DD03C2">
        <w:t>SEEKER Duo Fungicide</w:t>
      </w:r>
      <w:bookmarkEnd w:id="57"/>
    </w:p>
    <w:tbl>
      <w:tblPr>
        <w:tblW w:w="5000" w:type="pct"/>
        <w:tblBorders>
          <w:top w:val="single" w:sz="4" w:space="0" w:color="auto"/>
          <w:bottom w:val="single" w:sz="4" w:space="0" w:color="auto"/>
          <w:insideH w:val="single" w:sz="4" w:space="0" w:color="auto"/>
        </w:tblBorders>
        <w:tblLook w:val="01E0" w:firstRow="1" w:lastRow="1" w:firstColumn="1" w:lastColumn="1" w:noHBand="0" w:noVBand="0"/>
        <w:tblCaption w:val="Physicochemical properties of the product"/>
        <w:tblDescription w:val="Details of the key physicochemical properties of the product"/>
      </w:tblPr>
      <w:tblGrid>
        <w:gridCol w:w="2791"/>
        <w:gridCol w:w="6847"/>
      </w:tblGrid>
      <w:tr w:rsidR="005C33B9" w14:paraId="2CCDDCF7" w14:textId="77777777" w:rsidTr="00DD03C2">
        <w:tc>
          <w:tcPr>
            <w:tcW w:w="1448" w:type="pct"/>
            <w:shd w:val="clear" w:color="auto" w:fill="00747A" w:themeFill="background2"/>
          </w:tcPr>
          <w:p w14:paraId="4A9E6609" w14:textId="77777777" w:rsidR="005C33B9" w:rsidRPr="00DD03C2" w:rsidRDefault="005C33B9" w:rsidP="00DD03C2">
            <w:pPr>
              <w:pStyle w:val="APVMATableHead"/>
            </w:pPr>
            <w:r w:rsidRPr="00DD03C2">
              <w:t>Physical form:</w:t>
            </w:r>
          </w:p>
        </w:tc>
        <w:tc>
          <w:tcPr>
            <w:tcW w:w="3552" w:type="pct"/>
          </w:tcPr>
          <w:p w14:paraId="39BD435B" w14:textId="21BBC677" w:rsidR="005C33B9" w:rsidRPr="00DD03C2" w:rsidRDefault="008D68A4" w:rsidP="00DD03C2">
            <w:pPr>
              <w:pStyle w:val="APVMATableText"/>
            </w:pPr>
            <w:r w:rsidRPr="00DD03C2">
              <w:t xml:space="preserve">Brownish </w:t>
            </w:r>
            <w:r w:rsidR="00DD03C2">
              <w:t>l</w:t>
            </w:r>
            <w:r w:rsidRPr="00DD03C2">
              <w:t>iquid</w:t>
            </w:r>
          </w:p>
        </w:tc>
      </w:tr>
      <w:tr w:rsidR="005C33B9" w14:paraId="0161F7C8" w14:textId="77777777" w:rsidTr="00DD03C2">
        <w:tc>
          <w:tcPr>
            <w:tcW w:w="1448" w:type="pct"/>
            <w:shd w:val="clear" w:color="auto" w:fill="00747A" w:themeFill="background2"/>
          </w:tcPr>
          <w:p w14:paraId="70A2C093" w14:textId="1AF63FF9" w:rsidR="005C33B9" w:rsidRPr="00DD03C2" w:rsidRDefault="008D68A4" w:rsidP="00DD03C2">
            <w:pPr>
              <w:pStyle w:val="APVMATableHead"/>
            </w:pPr>
            <w:r w:rsidRPr="00DD03C2">
              <w:t>p</w:t>
            </w:r>
            <w:r w:rsidR="005C33B9" w:rsidRPr="00DD03C2">
              <w:t>H:</w:t>
            </w:r>
          </w:p>
        </w:tc>
        <w:tc>
          <w:tcPr>
            <w:tcW w:w="3552" w:type="pct"/>
          </w:tcPr>
          <w:p w14:paraId="2EC2C73B" w14:textId="04F84CAA" w:rsidR="005C33B9" w:rsidRPr="00DD03C2" w:rsidRDefault="008D68A4" w:rsidP="00DD03C2">
            <w:pPr>
              <w:pStyle w:val="APVMATableText"/>
            </w:pPr>
            <w:r w:rsidRPr="00DD03C2">
              <w:t>10.0 (1% in deionised water)</w:t>
            </w:r>
          </w:p>
        </w:tc>
      </w:tr>
      <w:tr w:rsidR="005C33B9" w14:paraId="59FD184D" w14:textId="77777777" w:rsidTr="00DD03C2">
        <w:tc>
          <w:tcPr>
            <w:tcW w:w="1448" w:type="pct"/>
            <w:shd w:val="clear" w:color="auto" w:fill="00747A" w:themeFill="background2"/>
          </w:tcPr>
          <w:p w14:paraId="266B62DD" w14:textId="77777777" w:rsidR="005C33B9" w:rsidRPr="00DD03C2" w:rsidRDefault="005C33B9" w:rsidP="00DD03C2">
            <w:pPr>
              <w:pStyle w:val="APVMATableHead"/>
            </w:pPr>
            <w:r w:rsidRPr="00DD03C2">
              <w:t>Specific gravity/density:</w:t>
            </w:r>
          </w:p>
        </w:tc>
        <w:tc>
          <w:tcPr>
            <w:tcW w:w="3552" w:type="pct"/>
          </w:tcPr>
          <w:p w14:paraId="00BC7C66" w14:textId="5D00675D" w:rsidR="005C33B9" w:rsidRPr="00DD03C2" w:rsidRDefault="008D68A4" w:rsidP="00DD03C2">
            <w:pPr>
              <w:pStyle w:val="APVMATableText"/>
            </w:pPr>
            <w:r w:rsidRPr="00DD03C2">
              <w:t xml:space="preserve">0.978 </w:t>
            </w:r>
            <w:r w:rsidR="00DD03C2">
              <w:t>to</w:t>
            </w:r>
            <w:r w:rsidRPr="00DD03C2">
              <w:t xml:space="preserve"> 0.995 g/cm3 at 20°C</w:t>
            </w:r>
          </w:p>
        </w:tc>
      </w:tr>
      <w:tr w:rsidR="005C33B9" w14:paraId="26D9D517" w14:textId="77777777" w:rsidTr="00DD03C2">
        <w:tc>
          <w:tcPr>
            <w:tcW w:w="1448" w:type="pct"/>
            <w:shd w:val="clear" w:color="auto" w:fill="00747A" w:themeFill="background2"/>
          </w:tcPr>
          <w:p w14:paraId="5D9A2FDB" w14:textId="447B4CA9" w:rsidR="005C33B9" w:rsidRPr="00DD03C2" w:rsidRDefault="008D68A4" w:rsidP="00DD03C2">
            <w:pPr>
              <w:pStyle w:val="APVMATableHead"/>
            </w:pPr>
            <w:r w:rsidRPr="00DD03C2">
              <w:t>V</w:t>
            </w:r>
            <w:r w:rsidR="005C33B9" w:rsidRPr="00DD03C2">
              <w:t>iscosity:</w:t>
            </w:r>
          </w:p>
        </w:tc>
        <w:tc>
          <w:tcPr>
            <w:tcW w:w="3552" w:type="pct"/>
          </w:tcPr>
          <w:p w14:paraId="7F2AC523" w14:textId="72E5F8A3" w:rsidR="005C33B9" w:rsidRPr="00DD03C2" w:rsidRDefault="008D68A4" w:rsidP="00DD03C2">
            <w:pPr>
              <w:pStyle w:val="APVMATableText"/>
            </w:pPr>
            <w:r w:rsidRPr="00DD03C2">
              <w:t>Newtonian liquid</w:t>
            </w:r>
          </w:p>
        </w:tc>
      </w:tr>
      <w:tr w:rsidR="005C33B9" w14:paraId="0920812F" w14:textId="77777777" w:rsidTr="00DD03C2">
        <w:tc>
          <w:tcPr>
            <w:tcW w:w="1448" w:type="pct"/>
            <w:shd w:val="clear" w:color="auto" w:fill="00747A" w:themeFill="background2"/>
          </w:tcPr>
          <w:p w14:paraId="0DD0931F" w14:textId="6DB398DB" w:rsidR="005C33B9" w:rsidRPr="00DD03C2" w:rsidRDefault="008D68A4" w:rsidP="00DD03C2">
            <w:pPr>
              <w:pStyle w:val="APVMATableHead"/>
            </w:pPr>
            <w:proofErr w:type="spellStart"/>
            <w:r w:rsidRPr="00DD03C2">
              <w:t>Emulsifiability</w:t>
            </w:r>
            <w:proofErr w:type="spellEnd"/>
            <w:r w:rsidRPr="00DD03C2">
              <w:t>, emulsion stability, re-</w:t>
            </w:r>
            <w:proofErr w:type="spellStart"/>
            <w:r w:rsidRPr="00DD03C2">
              <w:t>emulsifiability</w:t>
            </w:r>
            <w:proofErr w:type="spellEnd"/>
            <w:r w:rsidRPr="00DD03C2">
              <w:t>:</w:t>
            </w:r>
          </w:p>
        </w:tc>
        <w:tc>
          <w:tcPr>
            <w:tcW w:w="3552" w:type="pct"/>
          </w:tcPr>
          <w:p w14:paraId="1260A177" w14:textId="1BA9866A" w:rsidR="00262317" w:rsidRPr="00DD03C2" w:rsidRDefault="00262317" w:rsidP="00DD03C2">
            <w:pPr>
              <w:pStyle w:val="APVMATableText"/>
            </w:pPr>
            <w:r w:rsidRPr="00DD03C2">
              <w:t>0.075% and 1% in CIPAC water A at 30°C 0.075%</w:t>
            </w:r>
            <w:r w:rsidR="000A2568" w:rsidRPr="00DD03C2">
              <w:t>,</w:t>
            </w:r>
            <w:r w:rsidRPr="00DD03C2">
              <w:t xml:space="preserve"> and 1% in CIPAC water D at 30°C</w:t>
            </w:r>
          </w:p>
          <w:p w14:paraId="201F0436" w14:textId="77777777" w:rsidR="00262317" w:rsidRPr="00DD03C2" w:rsidRDefault="00262317" w:rsidP="00DD03C2">
            <w:pPr>
              <w:pStyle w:val="APVMATableText"/>
            </w:pPr>
            <w:proofErr w:type="spellStart"/>
            <w:r w:rsidRPr="00DD03C2">
              <w:t>Emulsifiability</w:t>
            </w:r>
            <w:proofErr w:type="spellEnd"/>
            <w:r w:rsidRPr="00DD03C2">
              <w:t>: spontaneous</w:t>
            </w:r>
          </w:p>
          <w:p w14:paraId="60F14503" w14:textId="77777777" w:rsidR="00262317" w:rsidRPr="00DD03C2" w:rsidRDefault="00262317" w:rsidP="00DD03C2">
            <w:pPr>
              <w:pStyle w:val="APVMATableText"/>
            </w:pPr>
            <w:r w:rsidRPr="00DD03C2">
              <w:t>Emulsion stability:</w:t>
            </w:r>
          </w:p>
          <w:p w14:paraId="22F1632D" w14:textId="77777777" w:rsidR="00262317" w:rsidRPr="00DD03C2" w:rsidRDefault="00262317" w:rsidP="00DD03C2">
            <w:pPr>
              <w:pStyle w:val="APVMATableText"/>
            </w:pPr>
            <w:r w:rsidRPr="00DD03C2">
              <w:t>After 0.5 h: no cream, no oil</w:t>
            </w:r>
          </w:p>
          <w:p w14:paraId="21767C15" w14:textId="77777777" w:rsidR="00262317" w:rsidRPr="00DD03C2" w:rsidRDefault="00262317" w:rsidP="00DD03C2">
            <w:pPr>
              <w:pStyle w:val="APVMATableText"/>
            </w:pPr>
            <w:r w:rsidRPr="00DD03C2">
              <w:t>After 2 h: no cream, no oil</w:t>
            </w:r>
          </w:p>
          <w:p w14:paraId="5982F716" w14:textId="77777777" w:rsidR="00262317" w:rsidRPr="00DD03C2" w:rsidRDefault="00262317" w:rsidP="00DD03C2">
            <w:pPr>
              <w:pStyle w:val="APVMATableText"/>
            </w:pPr>
            <w:r w:rsidRPr="00DD03C2">
              <w:t>After 24 h: no cream, no oil</w:t>
            </w:r>
          </w:p>
          <w:p w14:paraId="104DEF72" w14:textId="77777777" w:rsidR="00262317" w:rsidRPr="00DD03C2" w:rsidRDefault="00262317" w:rsidP="00DD03C2">
            <w:pPr>
              <w:pStyle w:val="APVMATableText"/>
            </w:pPr>
            <w:r w:rsidRPr="00DD03C2">
              <w:t>Re-</w:t>
            </w:r>
            <w:proofErr w:type="spellStart"/>
            <w:r w:rsidRPr="00DD03C2">
              <w:t>emulsifiability</w:t>
            </w:r>
            <w:proofErr w:type="spellEnd"/>
            <w:r w:rsidRPr="00DD03C2">
              <w:t>: complete</w:t>
            </w:r>
          </w:p>
          <w:p w14:paraId="15A8D5D8" w14:textId="18E7A3D6" w:rsidR="005C33B9" w:rsidRPr="00DD03C2" w:rsidRDefault="00262317" w:rsidP="00DD03C2">
            <w:pPr>
              <w:pStyle w:val="APVMATableText"/>
            </w:pPr>
            <w:r w:rsidRPr="00DD03C2">
              <w:t>Emulsion stability: After 0.5 h re-</w:t>
            </w:r>
            <w:proofErr w:type="spellStart"/>
            <w:r w:rsidRPr="00DD03C2">
              <w:t>emulsifiability</w:t>
            </w:r>
            <w:proofErr w:type="spellEnd"/>
            <w:r w:rsidRPr="00DD03C2">
              <w:t>: no cream, no oil</w:t>
            </w:r>
          </w:p>
        </w:tc>
      </w:tr>
      <w:tr w:rsidR="005C33B9" w14:paraId="65B610DA" w14:textId="77777777" w:rsidTr="00DD03C2">
        <w:tc>
          <w:tcPr>
            <w:tcW w:w="1448" w:type="pct"/>
            <w:shd w:val="clear" w:color="auto" w:fill="00747A" w:themeFill="background2"/>
          </w:tcPr>
          <w:p w14:paraId="3F08A704" w14:textId="15361D13" w:rsidR="005C33B9" w:rsidRPr="00DD03C2" w:rsidRDefault="00262317" w:rsidP="00DD03C2">
            <w:pPr>
              <w:pStyle w:val="APVMATableHead"/>
            </w:pPr>
            <w:r w:rsidRPr="00DD03C2">
              <w:t>Persistent Foaming</w:t>
            </w:r>
            <w:r w:rsidR="005C33B9" w:rsidRPr="00DD03C2">
              <w:t>:</w:t>
            </w:r>
          </w:p>
        </w:tc>
        <w:tc>
          <w:tcPr>
            <w:tcW w:w="3552" w:type="pct"/>
          </w:tcPr>
          <w:p w14:paraId="3315F0C5" w14:textId="703B81BC" w:rsidR="00262317" w:rsidRPr="00DD03C2" w:rsidRDefault="00262317" w:rsidP="00DD03C2">
            <w:pPr>
              <w:pStyle w:val="APVMATableText"/>
            </w:pPr>
            <w:r w:rsidRPr="00DD03C2">
              <w:t>1% in CIPAC water D</w:t>
            </w:r>
            <w:r w:rsidR="007A68D6" w:rsidRPr="00DD03C2">
              <w:t>:</w:t>
            </w:r>
          </w:p>
          <w:p w14:paraId="6BC28956" w14:textId="77777777" w:rsidR="00262317" w:rsidRPr="00DD03C2" w:rsidRDefault="00262317" w:rsidP="00DD03C2">
            <w:pPr>
              <w:pStyle w:val="APVMATableText"/>
            </w:pPr>
            <w:r w:rsidRPr="00DD03C2">
              <w:t>after 1 minute: 56 mL</w:t>
            </w:r>
          </w:p>
          <w:p w14:paraId="211B9BEF" w14:textId="77777777" w:rsidR="00262317" w:rsidRPr="00DD03C2" w:rsidRDefault="00262317" w:rsidP="00DD03C2">
            <w:pPr>
              <w:pStyle w:val="APVMATableText"/>
            </w:pPr>
            <w:r w:rsidRPr="00DD03C2">
              <w:t>after 12 minutes: 24 mL</w:t>
            </w:r>
          </w:p>
          <w:p w14:paraId="3B39E4AF" w14:textId="5F398059" w:rsidR="00262317" w:rsidRPr="00DD03C2" w:rsidRDefault="00262317" w:rsidP="00DD03C2">
            <w:pPr>
              <w:pStyle w:val="APVMATableText"/>
            </w:pPr>
            <w:r w:rsidRPr="00DD03C2">
              <w:t>0.075% in CIPAC water D</w:t>
            </w:r>
            <w:r w:rsidR="007A68D6" w:rsidRPr="00DD03C2">
              <w:t>:</w:t>
            </w:r>
          </w:p>
          <w:p w14:paraId="3706E4A4" w14:textId="77777777" w:rsidR="00262317" w:rsidRPr="00DD03C2" w:rsidRDefault="00262317" w:rsidP="00DD03C2">
            <w:pPr>
              <w:pStyle w:val="APVMATableText"/>
            </w:pPr>
            <w:r w:rsidRPr="00DD03C2">
              <w:t>after 1 minute: 26 mL</w:t>
            </w:r>
          </w:p>
          <w:p w14:paraId="49FC0E1B" w14:textId="1E7E43F8" w:rsidR="005C33B9" w:rsidRPr="00DD03C2" w:rsidRDefault="00262317" w:rsidP="00DD03C2">
            <w:pPr>
              <w:pStyle w:val="APVMATableText"/>
            </w:pPr>
            <w:r w:rsidRPr="00DD03C2">
              <w:t>after 12 minutes: 22 mL</w:t>
            </w:r>
          </w:p>
        </w:tc>
      </w:tr>
      <w:tr w:rsidR="00262317" w14:paraId="7A84510E" w14:textId="77777777" w:rsidTr="00DD03C2">
        <w:tc>
          <w:tcPr>
            <w:tcW w:w="1448" w:type="pct"/>
            <w:shd w:val="clear" w:color="auto" w:fill="00747A" w:themeFill="background2"/>
          </w:tcPr>
          <w:p w14:paraId="0DB4A0BA" w14:textId="77777777" w:rsidR="00262317" w:rsidRPr="00DD03C2" w:rsidRDefault="00262317" w:rsidP="00DD03C2">
            <w:pPr>
              <w:pStyle w:val="APVMATableHead"/>
            </w:pPr>
            <w:r w:rsidRPr="00DD03C2">
              <w:t>Safety properties:</w:t>
            </w:r>
          </w:p>
        </w:tc>
        <w:tc>
          <w:tcPr>
            <w:tcW w:w="3552" w:type="pct"/>
          </w:tcPr>
          <w:p w14:paraId="6586AC13" w14:textId="0E822760" w:rsidR="00262317" w:rsidRPr="00DD03C2" w:rsidRDefault="00262317" w:rsidP="00DD03C2">
            <w:pPr>
              <w:pStyle w:val="APVMATableText"/>
            </w:pPr>
            <w:r w:rsidRPr="00DD03C2">
              <w:t>Not classified as a</w:t>
            </w:r>
            <w:r w:rsidR="00B177D3" w:rsidRPr="00DD03C2">
              <w:t>n</w:t>
            </w:r>
            <w:r w:rsidRPr="00DD03C2">
              <w:t xml:space="preserve"> explosive, or a corrosive substance. Classified as a flammable liquid, category 4</w:t>
            </w:r>
            <w:r w:rsidR="00B177D3" w:rsidRPr="00DD03C2">
              <w:t xml:space="preserve"> under the Australian Dangerous Goods Code</w:t>
            </w:r>
          </w:p>
        </w:tc>
      </w:tr>
      <w:tr w:rsidR="00262317" w14:paraId="5468122D" w14:textId="77777777" w:rsidTr="00DD03C2">
        <w:tc>
          <w:tcPr>
            <w:tcW w:w="1448" w:type="pct"/>
            <w:shd w:val="clear" w:color="auto" w:fill="00747A" w:themeFill="background2"/>
          </w:tcPr>
          <w:p w14:paraId="41268577" w14:textId="77777777" w:rsidR="00262317" w:rsidRPr="00DD03C2" w:rsidRDefault="00262317" w:rsidP="00DD03C2">
            <w:pPr>
              <w:pStyle w:val="APVMATableHead"/>
            </w:pPr>
            <w:r w:rsidRPr="00DD03C2">
              <w:t>Storage stability:</w:t>
            </w:r>
          </w:p>
        </w:tc>
        <w:tc>
          <w:tcPr>
            <w:tcW w:w="3552" w:type="pct"/>
          </w:tcPr>
          <w:p w14:paraId="7DDAF7F9" w14:textId="4EE88BBC" w:rsidR="00262317" w:rsidRPr="00DD03C2" w:rsidRDefault="00262317" w:rsidP="00DD03C2">
            <w:pPr>
              <w:pStyle w:val="APVMATableText"/>
            </w:pPr>
            <w:r w:rsidRPr="00DD03C2">
              <w:t>There were sufficient data to conclude that the product is expected to remain within specifications for at least 2 years when stored under normal conditions</w:t>
            </w:r>
          </w:p>
        </w:tc>
      </w:tr>
    </w:tbl>
    <w:p w14:paraId="378E38F7" w14:textId="77777777" w:rsidR="005C33B9" w:rsidRDefault="00783112" w:rsidP="00032787">
      <w:pPr>
        <w:pStyle w:val="Heading2"/>
      </w:pPr>
      <w:bookmarkStart w:id="58" w:name="_Toc7561226"/>
      <w:bookmarkStart w:id="59" w:name="_Toc137198156"/>
      <w:r>
        <w:t>Recommendations</w:t>
      </w:r>
      <w:bookmarkEnd w:id="58"/>
      <w:bookmarkEnd w:id="59"/>
    </w:p>
    <w:p w14:paraId="06604343" w14:textId="6B9DB884" w:rsidR="00DD03C2" w:rsidRDefault="008C0089" w:rsidP="00DD03C2">
      <w:pPr>
        <w:pStyle w:val="APVMAText"/>
      </w:pPr>
      <w:r w:rsidRPr="00DD03C2">
        <w:t xml:space="preserve">The APVMA has evaluated the chemistry </w:t>
      </w:r>
      <w:r w:rsidR="00D73D2B" w:rsidRPr="00DD03C2">
        <w:t xml:space="preserve">and manufacture </w:t>
      </w:r>
      <w:r w:rsidRPr="00DD03C2">
        <w:t xml:space="preserve">of the active constituent </w:t>
      </w:r>
      <w:r w:rsidR="00262317" w:rsidRPr="00DD03C2">
        <w:t xml:space="preserve">fenpropidin </w:t>
      </w:r>
      <w:r w:rsidRPr="00DD03C2">
        <w:t xml:space="preserve">and associated product </w:t>
      </w:r>
      <w:r w:rsidR="00262317" w:rsidRPr="00DD03C2">
        <w:t>SEEKER Duo Fungicide</w:t>
      </w:r>
      <w:r w:rsidRPr="00DD03C2">
        <w:t xml:space="preserve">, including the manufacturing process, quality control procedures, stability, batch analysis results and analytical methods, and found them to be acceptable. The available storage stability data indicate that the formulated product is expected to remain stable for at least </w:t>
      </w:r>
      <w:r w:rsidR="00262317" w:rsidRPr="00DD03C2">
        <w:t>2</w:t>
      </w:r>
      <w:r w:rsidR="00DD03C2">
        <w:t> </w:t>
      </w:r>
      <w:r w:rsidR="00262317" w:rsidRPr="00DD03C2">
        <w:t>years</w:t>
      </w:r>
      <w:r w:rsidRPr="00DD03C2">
        <w:t xml:space="preserve"> when stored under normal conditions.</w:t>
      </w:r>
    </w:p>
    <w:p w14:paraId="4ED8A42E" w14:textId="6EF9F606" w:rsidR="006D36C8" w:rsidRPr="00DD03C2" w:rsidRDefault="008C0089" w:rsidP="00DD03C2">
      <w:pPr>
        <w:pStyle w:val="APVMAText"/>
        <w:sectPr w:rsidR="006D36C8" w:rsidRPr="00DD03C2">
          <w:headerReference w:type="even" r:id="rId33"/>
          <w:pgSz w:w="11906" w:h="16838" w:code="9"/>
          <w:pgMar w:top="2835" w:right="1134" w:bottom="1134" w:left="1134" w:header="1701" w:footer="680" w:gutter="0"/>
          <w:cols w:space="708"/>
          <w:docGrid w:linePitch="360"/>
        </w:sectPr>
      </w:pPr>
      <w:r w:rsidRPr="00DD03C2">
        <w:t xml:space="preserve">Based on a review of the chemistry and manufacturing details, the registration of </w:t>
      </w:r>
      <w:r w:rsidR="00262317" w:rsidRPr="00DD03C2">
        <w:t>SEEKER Duo Fungicide</w:t>
      </w:r>
      <w:r w:rsidRPr="00DD03C2">
        <w:t xml:space="preserve">, and approval of the active constituent </w:t>
      </w:r>
      <w:r w:rsidR="00262317" w:rsidRPr="00DD03C2">
        <w:t>fenpropidin</w:t>
      </w:r>
      <w:r w:rsidRPr="00DD03C2">
        <w:t>, are supported from a chemistry perspective.</w:t>
      </w:r>
    </w:p>
    <w:p w14:paraId="681F480F" w14:textId="3886A71C" w:rsidR="002E20AC" w:rsidRDefault="00CA5B2B" w:rsidP="00032787">
      <w:pPr>
        <w:pStyle w:val="Heading1"/>
      </w:pPr>
      <w:bookmarkStart w:id="60" w:name="_Toc7561227"/>
      <w:bookmarkStart w:id="61" w:name="_Toc137198157"/>
      <w:r>
        <w:lastRenderedPageBreak/>
        <w:t>T</w:t>
      </w:r>
      <w:r w:rsidR="008C0089">
        <w:t>oxicological assessment</w:t>
      </w:r>
      <w:bookmarkEnd w:id="60"/>
      <w:bookmarkEnd w:id="61"/>
    </w:p>
    <w:p w14:paraId="2610A8F0" w14:textId="1CBCA1CE" w:rsidR="00147F78" w:rsidRPr="00C876F1" w:rsidRDefault="000E1916" w:rsidP="00147F78">
      <w:pPr>
        <w:pStyle w:val="APVMAText"/>
      </w:pPr>
      <w:r>
        <w:t xml:space="preserve">The submitted data package </w:t>
      </w:r>
      <w:r w:rsidR="00234089">
        <w:t>was sufficient to assess the toxicity of fenpro</w:t>
      </w:r>
      <w:r w:rsidR="00046EBF">
        <w:t>pi</w:t>
      </w:r>
      <w:r w:rsidR="00234089">
        <w:t>din.</w:t>
      </w:r>
    </w:p>
    <w:p w14:paraId="400F8DE3" w14:textId="77777777" w:rsidR="008C0089" w:rsidRDefault="008C0089" w:rsidP="008C0089">
      <w:pPr>
        <w:pStyle w:val="Heading2"/>
        <w:ind w:left="907" w:hanging="907"/>
      </w:pPr>
      <w:bookmarkStart w:id="62" w:name="_Toc531181076"/>
      <w:bookmarkStart w:id="63" w:name="_Toc7561228"/>
      <w:bookmarkStart w:id="64" w:name="_Toc137198158"/>
      <w:r>
        <w:t>Evaluation of toxicology</w:t>
      </w:r>
      <w:bookmarkEnd w:id="62"/>
      <w:bookmarkEnd w:id="63"/>
      <w:bookmarkEnd w:id="64"/>
    </w:p>
    <w:p w14:paraId="6C47A726" w14:textId="77777777" w:rsidR="008C0089" w:rsidRDefault="008C0089" w:rsidP="008C0089">
      <w:pPr>
        <w:pStyle w:val="Heading3"/>
      </w:pPr>
      <w:bookmarkStart w:id="65" w:name="_Toc7561229"/>
      <w:r>
        <w:t>Chemical class</w:t>
      </w:r>
      <w:bookmarkEnd w:id="65"/>
    </w:p>
    <w:p w14:paraId="13E456A4" w14:textId="1660B35D" w:rsidR="008C0089" w:rsidRPr="00DD03C2" w:rsidRDefault="00FD5811" w:rsidP="00DD03C2">
      <w:pPr>
        <w:pStyle w:val="APVMAText"/>
      </w:pPr>
      <w:r w:rsidRPr="00DD03C2">
        <w:t>Fenpropidin is a piperidine derivative.</w:t>
      </w:r>
      <w:r w:rsidR="00E408D3" w:rsidRPr="00DD03C2">
        <w:t xml:space="preserve"> Its fungicidal mode of action is through</w:t>
      </w:r>
      <w:r w:rsidR="0059767D" w:rsidRPr="00DD03C2">
        <w:t xml:space="preserve"> inhibition of the enzymes </w:t>
      </w:r>
      <w:r w:rsidR="00E408D3" w:rsidRPr="00DD03C2">
        <w:t>Δ</w:t>
      </w:r>
      <w:r w:rsidR="00E408D3" w:rsidRPr="00DD03C2">
        <w:rPr>
          <w:vertAlign w:val="superscript"/>
        </w:rPr>
        <w:t>14</w:t>
      </w:r>
      <w:r w:rsidR="00E408D3" w:rsidRPr="00DD03C2">
        <w:t>-reductase and Δ</w:t>
      </w:r>
      <w:r w:rsidR="00E408D3" w:rsidRPr="00DD03C2">
        <w:rPr>
          <w:vertAlign w:val="superscript"/>
        </w:rPr>
        <w:t>8</w:t>
      </w:r>
      <w:r w:rsidR="00E408D3" w:rsidRPr="00DD03C2">
        <w:t>→Δ</w:t>
      </w:r>
      <w:r w:rsidR="00E408D3" w:rsidRPr="00DD03C2">
        <w:rPr>
          <w:vertAlign w:val="superscript"/>
        </w:rPr>
        <w:t>7</w:t>
      </w:r>
      <w:r w:rsidR="00E408D3" w:rsidRPr="00DD03C2">
        <w:t xml:space="preserve"> isomerase</w:t>
      </w:r>
      <w:r w:rsidR="0059767D" w:rsidRPr="00DD03C2">
        <w:t>,</w:t>
      </w:r>
      <w:r w:rsidR="00E408D3" w:rsidRPr="00DD03C2">
        <w:t xml:space="preserve"> resulting in sterols synthesis disruption.</w:t>
      </w:r>
    </w:p>
    <w:p w14:paraId="1A56508F" w14:textId="0B982D70" w:rsidR="00FD5811" w:rsidRPr="00DD03C2" w:rsidRDefault="00FD5811" w:rsidP="00DD03C2">
      <w:pPr>
        <w:pStyle w:val="APVMAText"/>
      </w:pPr>
      <w:r w:rsidRPr="00DD03C2">
        <w:t>Structurally related chemical classes of fungicides include the morpholines (</w:t>
      </w:r>
      <w:r w:rsidR="003C526C" w:rsidRPr="00DD03C2">
        <w:t xml:space="preserve">e.g. </w:t>
      </w:r>
      <w:r w:rsidRPr="00DD03C2">
        <w:t>fenpropimorph, dimethomorph and amorolfine) and the “amine fungicides”/</w:t>
      </w:r>
      <w:proofErr w:type="spellStart"/>
      <w:r w:rsidRPr="00DD03C2">
        <w:t>spiroketalamines</w:t>
      </w:r>
      <w:proofErr w:type="spellEnd"/>
      <w:r w:rsidRPr="00DD03C2">
        <w:t xml:space="preserve"> (</w:t>
      </w:r>
      <w:r w:rsidR="009A33D0" w:rsidRPr="00DD03C2">
        <w:t>e.g.,</w:t>
      </w:r>
      <w:r w:rsidR="003C526C" w:rsidRPr="00DD03C2">
        <w:t xml:space="preserve"> </w:t>
      </w:r>
      <w:r w:rsidRPr="00DD03C2">
        <w:t>spiroxamine). Spiroxamine and dimethomorph are approved in Australia.</w:t>
      </w:r>
    </w:p>
    <w:p w14:paraId="39DC928B" w14:textId="77777777" w:rsidR="008C0089" w:rsidRDefault="008C0089" w:rsidP="008C0089">
      <w:pPr>
        <w:pStyle w:val="Heading3"/>
      </w:pPr>
      <w:bookmarkStart w:id="66" w:name="_Toc7561230"/>
      <w:r>
        <w:t>Pharmacokinetics</w:t>
      </w:r>
      <w:bookmarkEnd w:id="66"/>
    </w:p>
    <w:p w14:paraId="1C0F9873" w14:textId="6C254BDE" w:rsidR="00FD5811" w:rsidRPr="00921FB8" w:rsidRDefault="00FD5811" w:rsidP="00DD03C2">
      <w:pPr>
        <w:pStyle w:val="APVMAText"/>
      </w:pPr>
      <w:r w:rsidRPr="00921FB8">
        <w:t>In rats, lactating goats</w:t>
      </w:r>
      <w:r w:rsidR="00DD03C2">
        <w:t xml:space="preserve"> </w:t>
      </w:r>
      <w:r w:rsidRPr="00921FB8">
        <w:t>and laying hens, fenpropidin was rapidly and extensively absorbed, metabolised, and excreted. Metabolism primarily consisted in successive oxidations.</w:t>
      </w:r>
    </w:p>
    <w:p w14:paraId="1018A817" w14:textId="6DDC6AAC" w:rsidR="003C526C" w:rsidRDefault="00FD5811" w:rsidP="00DD03C2">
      <w:pPr>
        <w:pStyle w:val="APVMAText"/>
      </w:pPr>
      <w:r>
        <w:t xml:space="preserve">Following single oral </w:t>
      </w:r>
      <w:r w:rsidR="003C526C">
        <w:t>administration of radiolabel</w:t>
      </w:r>
      <w:r w:rsidR="00BD2FCF">
        <w:t>l</w:t>
      </w:r>
      <w:r w:rsidR="003C526C">
        <w:t>ed fenpropidin to rats by gavage</w:t>
      </w:r>
      <w:r>
        <w:t>,</w:t>
      </w:r>
      <w:r w:rsidR="003C526C">
        <w:t xml:space="preserve"> fenpropidin w</w:t>
      </w:r>
      <w:r>
        <w:t>as nearly completely absorbed</w:t>
      </w:r>
      <w:r w:rsidR="003C526C">
        <w:t xml:space="preserve"> in males</w:t>
      </w:r>
      <w:r>
        <w:t xml:space="preserve">. Oral absorption </w:t>
      </w:r>
      <w:r w:rsidR="003C526C">
        <w:t xml:space="preserve">after a single dose </w:t>
      </w:r>
      <w:r>
        <w:t xml:space="preserve">was lower in females at 0.5 mg/kg </w:t>
      </w:r>
      <w:proofErr w:type="spellStart"/>
      <w:r>
        <w:t>bw</w:t>
      </w:r>
      <w:proofErr w:type="spellEnd"/>
      <w:r>
        <w:t xml:space="preserve"> (about 82%) and was reduced to about 59% following dosing at 100</w:t>
      </w:r>
      <w:r w:rsidR="00E408D3">
        <w:t> </w:t>
      </w:r>
      <w:r>
        <w:t>mg/kg</w:t>
      </w:r>
      <w:r w:rsidR="00E408D3">
        <w:t> </w:t>
      </w:r>
      <w:proofErr w:type="spellStart"/>
      <w:r>
        <w:t>bw</w:t>
      </w:r>
      <w:proofErr w:type="spellEnd"/>
      <w:r>
        <w:t xml:space="preserve">. </w:t>
      </w:r>
      <w:r w:rsidR="003C526C">
        <w:t xml:space="preserve">Repeated administration </w:t>
      </w:r>
      <w:r>
        <w:t>resulted in a reduced absorption (about 79% in males and 74% in females).</w:t>
      </w:r>
    </w:p>
    <w:p w14:paraId="41D0FFC4" w14:textId="18E47992" w:rsidR="00FD5811" w:rsidRDefault="00FD5811" w:rsidP="00DD03C2">
      <w:pPr>
        <w:pStyle w:val="APVMAText"/>
      </w:pPr>
      <w:r>
        <w:t xml:space="preserve">Based on increased </w:t>
      </w:r>
      <w:proofErr w:type="spellStart"/>
      <w:r>
        <w:t>T</w:t>
      </w:r>
      <w:r w:rsidRPr="00FD5811">
        <w:rPr>
          <w:vertAlign w:val="subscript"/>
        </w:rPr>
        <w:t>max</w:t>
      </w:r>
      <w:proofErr w:type="spellEnd"/>
      <w:r w:rsidR="00E408D3" w:rsidRPr="00E408D3">
        <w:t>,</w:t>
      </w:r>
      <w:r>
        <w:t xml:space="preserve"> the rate of systemic absorption, particularly in females, decreased with oral dosing over the 0.5 to 100 mg/kg </w:t>
      </w:r>
      <w:proofErr w:type="spellStart"/>
      <w:r>
        <w:t>bw</w:t>
      </w:r>
      <w:proofErr w:type="spellEnd"/>
      <w:r>
        <w:t xml:space="preserve"> dose range. Based on a limited range of tissues, distribution of radioactivity derived from fenpropidin was extensive but sub-dose proportional over the 0.5 to 100 mg/kg </w:t>
      </w:r>
      <w:proofErr w:type="spellStart"/>
      <w:r>
        <w:t>bw</w:t>
      </w:r>
      <w:proofErr w:type="spellEnd"/>
      <w:r>
        <w:t xml:space="preserve"> dose range. Based on tissue </w:t>
      </w:r>
      <w:proofErr w:type="spellStart"/>
      <w:r>
        <w:t>T</w:t>
      </w:r>
      <w:r w:rsidRPr="00FD5811">
        <w:rPr>
          <w:vertAlign w:val="subscript"/>
        </w:rPr>
        <w:t>max</w:t>
      </w:r>
      <w:proofErr w:type="spellEnd"/>
      <w:r w:rsidR="000D0946" w:rsidRPr="000D0946">
        <w:t>,</w:t>
      </w:r>
      <w:r>
        <w:t xml:space="preserve"> peak tissue distribution </w:t>
      </w:r>
      <w:r w:rsidRPr="00FD5811">
        <w:rPr>
          <w:i/>
        </w:rPr>
        <w:t>cf</w:t>
      </w:r>
      <w:r>
        <w:t>. blood was substantially delayed in the liver and kidney (consistent with longer tissue elimination t</w:t>
      </w:r>
      <w:r w:rsidRPr="00FD5811">
        <w:rPr>
          <w:vertAlign w:val="subscript"/>
        </w:rPr>
        <w:t>½</w:t>
      </w:r>
      <w:r>
        <w:t xml:space="preserve"> in these tissues </w:t>
      </w:r>
      <w:r w:rsidRPr="00FD5811">
        <w:rPr>
          <w:i/>
        </w:rPr>
        <w:t>cf</w:t>
      </w:r>
      <w:r>
        <w:t xml:space="preserve">. blood and plasma and the routes of elimination). The </w:t>
      </w:r>
      <w:proofErr w:type="spellStart"/>
      <w:r>
        <w:t>plasma:blood</w:t>
      </w:r>
      <w:proofErr w:type="spellEnd"/>
      <w:r>
        <w:t xml:space="preserve"> ratio was approximately 1.</w:t>
      </w:r>
    </w:p>
    <w:p w14:paraId="5089816E" w14:textId="2120B7CA" w:rsidR="00DD03C2" w:rsidRDefault="00FD5811" w:rsidP="00FD5811">
      <w:pPr>
        <w:pStyle w:val="APVMAText"/>
      </w:pPr>
      <w:r>
        <w:t xml:space="preserve">Fenpropidin was </w:t>
      </w:r>
      <w:r w:rsidR="003C526C">
        <w:t xml:space="preserve">extensively </w:t>
      </w:r>
      <w:r>
        <w:t>metabolised in rats</w:t>
      </w:r>
      <w:r w:rsidR="003C526C">
        <w:t xml:space="preserve"> with over 20 identified metabolites</w:t>
      </w:r>
      <w:r>
        <w:t>. Two concomitant metabolic pathways were proposed. The dominant pathway in females involves oxidation followed by sulphate conjugation of the resultant alcohol group. Sulphate conjugation was more limited in males where further oxidation</w:t>
      </w:r>
      <w:r w:rsidR="00A56EB8">
        <w:t>s</w:t>
      </w:r>
      <w:r>
        <w:t xml:space="preserve"> rather than phase II conjugation were the predominant reactions. The second, quantitatively smaller pathway, involved oxidative cleavage of the piperidine ring followed by downstream oxidative reactions. Two major metabolites, CGA289267 (urine) and 2u (bile/faeces) were identified in rat excreta</w:t>
      </w:r>
      <w:r w:rsidR="003C526C">
        <w:t xml:space="preserve">, but the major </w:t>
      </w:r>
      <w:r>
        <w:t xml:space="preserve">blood/plasma metabolites were not identified. Major food/feed metabolites of human dietary exposure concern were not identified in plants. </w:t>
      </w:r>
      <w:r w:rsidR="00E408D3">
        <w:t>However,</w:t>
      </w:r>
      <w:r>
        <w:t xml:space="preserve"> 6 major food metabolites were identified in animal food commodities. Of these there were 4 major food animal metabolites (including the conjugates) that were either not identified in rats or were identified as minor metabolites in this species.</w:t>
      </w:r>
      <w:r w:rsidR="00DD03C2">
        <w:br w:type="page"/>
      </w:r>
    </w:p>
    <w:p w14:paraId="3E59880E" w14:textId="7E89A098" w:rsidR="00FD5811" w:rsidRPr="00831B5E" w:rsidRDefault="00DD03C2" w:rsidP="00DD03C2">
      <w:pPr>
        <w:pStyle w:val="Figurestyle"/>
      </w:pPr>
      <w:bookmarkStart w:id="67" w:name="_Toc136869429"/>
      <w:bookmarkStart w:id="68" w:name="_Toc137198206"/>
      <w:r>
        <w:lastRenderedPageBreak/>
        <w:t xml:space="preserve">Figure </w:t>
      </w:r>
      <w:fldSimple w:instr=" SEQ Figure \* ARABIC ">
        <w:r>
          <w:rPr>
            <w:noProof/>
          </w:rPr>
          <w:t>1</w:t>
        </w:r>
      </w:fldSimple>
      <w:r w:rsidR="00FF2326" w:rsidRPr="00831B5E">
        <w:t xml:space="preserve">: </w:t>
      </w:r>
      <w:r w:rsidR="00FD5811" w:rsidRPr="00831B5E">
        <w:t xml:space="preserve">Proposed metabolic pathways of fenpropidin in </w:t>
      </w:r>
      <w:bookmarkEnd w:id="67"/>
      <w:r w:rsidR="00AF5845">
        <w:t>the rat</w:t>
      </w:r>
      <w:bookmarkEnd w:id="68"/>
    </w:p>
    <w:p w14:paraId="1D8E1D18" w14:textId="35C11FEB" w:rsidR="00FD5811" w:rsidRDefault="00FD5811" w:rsidP="00FD5811">
      <w:r w:rsidRPr="00FD5811">
        <w:rPr>
          <w:rFonts w:ascii="Times New Roman" w:hAnsi="Times New Roman"/>
          <w:noProof/>
          <w:sz w:val="22"/>
          <w:szCs w:val="22"/>
          <w:lang w:eastAsia="en-AU"/>
        </w:rPr>
        <w:drawing>
          <wp:inline distT="0" distB="0" distL="0" distR="0" wp14:anchorId="4CF254F5" wp14:editId="633C0A67">
            <wp:extent cx="4222800" cy="6066000"/>
            <wp:effectExtent l="0" t="0" r="6350" b="0"/>
            <wp:docPr id="50" name="Picture 50" descr="Figure 1 shows the proposed metabolic pathways of fenpropidin in 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1 shows the proposed metabolic pathways of fenpropidin in ra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2800" cy="6066000"/>
                    </a:xfrm>
                    <a:prstGeom prst="rect">
                      <a:avLst/>
                    </a:prstGeom>
                    <a:noFill/>
                    <a:ln>
                      <a:noFill/>
                    </a:ln>
                  </pic:spPr>
                </pic:pic>
              </a:graphicData>
            </a:graphic>
          </wp:inline>
        </w:drawing>
      </w:r>
    </w:p>
    <w:p w14:paraId="60D45D40" w14:textId="7644594C" w:rsidR="00FD5811" w:rsidRDefault="00FD5811" w:rsidP="00FD5811">
      <w:pPr>
        <w:pStyle w:val="APVMAText"/>
      </w:pPr>
      <w:r>
        <w:t xml:space="preserve">On </w:t>
      </w:r>
      <w:r w:rsidR="000D0946">
        <w:t>an</w:t>
      </w:r>
      <w:r>
        <w:t xml:space="preserve"> AUC and </w:t>
      </w:r>
      <w:proofErr w:type="spellStart"/>
      <w:r>
        <w:t>C</w:t>
      </w:r>
      <w:r w:rsidRPr="00FD5811">
        <w:rPr>
          <w:vertAlign w:val="subscript"/>
        </w:rPr>
        <w:t>max</w:t>
      </w:r>
      <w:proofErr w:type="spellEnd"/>
      <w:r>
        <w:t xml:space="preserve"> basis, systemic exposure to radioactivity derived from fenpropidin was sub-dose proportional (particularly in females) over the 0.5 to 100 mg/kg </w:t>
      </w:r>
      <w:proofErr w:type="spellStart"/>
      <w:r>
        <w:t>bw</w:t>
      </w:r>
      <w:proofErr w:type="spellEnd"/>
      <w:r>
        <w:t xml:space="preserve"> oral dose range and blood radioactivity elimination t</w:t>
      </w:r>
      <w:r w:rsidRPr="00FD5811">
        <w:rPr>
          <w:vertAlign w:val="subscript"/>
        </w:rPr>
        <w:t>½</w:t>
      </w:r>
      <w:r>
        <w:t xml:space="preserve"> increased substantially (≥ 670 minutes), and sub-dose proportionately (by a factor of 15 in males and 13.4 in females over the 0.5 to 100 mg/kg </w:t>
      </w:r>
      <w:proofErr w:type="spellStart"/>
      <w:r>
        <w:t>bw</w:t>
      </w:r>
      <w:proofErr w:type="spellEnd"/>
      <w:r>
        <w:t xml:space="preserve"> dose range), with dose. There were no biologically meaningful sex differences in blood radioactivity elimination t</w:t>
      </w:r>
      <w:r w:rsidRPr="00FD5811">
        <w:rPr>
          <w:vertAlign w:val="subscript"/>
        </w:rPr>
        <w:t>½</w:t>
      </w:r>
      <w:r>
        <w:t xml:space="preserve">. The major route of elimination of radioactivity was in the urine (about 80% of the dose in males and females at 0.5 mg/kg </w:t>
      </w:r>
      <w:proofErr w:type="spellStart"/>
      <w:r>
        <w:t>bw</w:t>
      </w:r>
      <w:proofErr w:type="spellEnd"/>
      <w:r>
        <w:t xml:space="preserve">, and about 90% of the dose in males and 50% of the dose in females at 100 mg/kg </w:t>
      </w:r>
      <w:proofErr w:type="spellStart"/>
      <w:r>
        <w:t>bw</w:t>
      </w:r>
      <w:proofErr w:type="spellEnd"/>
      <w:r>
        <w:t xml:space="preserve">). </w:t>
      </w:r>
      <w:proofErr w:type="spellStart"/>
      <w:r>
        <w:t>Faecobiliary</w:t>
      </w:r>
      <w:proofErr w:type="spellEnd"/>
      <w:r>
        <w:t xml:space="preserve"> excretion was a secondary route of excretion. Irrespective of dose level</w:t>
      </w:r>
      <w:r w:rsidR="00E408D3">
        <w:t>,</w:t>
      </w:r>
      <w:r>
        <w:t xml:space="preserve"> most of the administered radioactivity (&gt; 70%) was eliminated within 24</w:t>
      </w:r>
      <w:r w:rsidR="00DD03C2">
        <w:t> </w:t>
      </w:r>
      <w:r>
        <w:t xml:space="preserve">hours following dosing with elimination following a single oral dose being essentially complete at 7 days </w:t>
      </w:r>
      <w:r>
        <w:lastRenderedPageBreak/>
        <w:t>post-dose. Repeated oral dosing did not result in biologically meaningful changes in the extent or routes of excretion.</w:t>
      </w:r>
    </w:p>
    <w:p w14:paraId="3B71F177" w14:textId="29247558" w:rsidR="00FD5811" w:rsidRPr="0087590C" w:rsidRDefault="0087590C" w:rsidP="00DD03C2">
      <w:pPr>
        <w:pStyle w:val="APVMAText"/>
      </w:pPr>
      <w:r>
        <w:t>Fenpropidin’s d</w:t>
      </w:r>
      <w:r w:rsidR="00FD5811" w:rsidRPr="00DC0D4C">
        <w:t xml:space="preserve">ermal absorption </w:t>
      </w:r>
      <w:r>
        <w:t xml:space="preserve">was </w:t>
      </w:r>
      <w:r w:rsidR="00FD5811" w:rsidRPr="0087590C">
        <w:t xml:space="preserve">≤ 1% </w:t>
      </w:r>
      <w:r>
        <w:t xml:space="preserve">when tested </w:t>
      </w:r>
      <w:r w:rsidR="00FD5811" w:rsidRPr="0087590C">
        <w:t xml:space="preserve">with the neat </w:t>
      </w:r>
      <w:r>
        <w:t xml:space="preserve">EC </w:t>
      </w:r>
      <w:r w:rsidR="00FD5811" w:rsidRPr="0087590C">
        <w:t xml:space="preserve">formulation and ~10% with the </w:t>
      </w:r>
      <w:r>
        <w:t xml:space="preserve">EC </w:t>
      </w:r>
      <w:r w:rsidR="00FD5811" w:rsidRPr="0087590C">
        <w:t>formulation diluted 100</w:t>
      </w:r>
      <w:r w:rsidR="00DD03C2">
        <w:t xml:space="preserve"> to </w:t>
      </w:r>
      <w:r w:rsidR="00FD5811" w:rsidRPr="0087590C">
        <w:t>400 times.</w:t>
      </w:r>
    </w:p>
    <w:p w14:paraId="2728CF30" w14:textId="77777777" w:rsidR="008C0089" w:rsidRDefault="008C0089" w:rsidP="008C0089">
      <w:pPr>
        <w:pStyle w:val="Heading3"/>
      </w:pPr>
      <w:bookmarkStart w:id="69" w:name="_Toc7561231"/>
      <w:r>
        <w:t>Acute toxicity (active constituent)</w:t>
      </w:r>
      <w:bookmarkEnd w:id="69"/>
    </w:p>
    <w:p w14:paraId="77E129E2" w14:textId="6ACF8EDD" w:rsidR="00FD5811" w:rsidRDefault="00FD5811" w:rsidP="00FD5811">
      <w:pPr>
        <w:pStyle w:val="APVMAText"/>
      </w:pPr>
      <w:r>
        <w:t xml:space="preserve">Fenpropidin </w:t>
      </w:r>
      <w:r w:rsidR="00952D4E">
        <w:t xml:space="preserve">has a very low </w:t>
      </w:r>
      <w:r>
        <w:t>acute oral toxicity</w:t>
      </w:r>
      <w:r w:rsidR="00952D4E">
        <w:t>,</w:t>
      </w:r>
      <w:r>
        <w:t xml:space="preserve"> low acute dermal toxicity</w:t>
      </w:r>
      <w:r w:rsidR="00952D4E">
        <w:t xml:space="preserve"> and </w:t>
      </w:r>
      <w:r>
        <w:t>moderate acute inhalation toxicity.</w:t>
      </w:r>
      <w:r w:rsidR="00952D4E">
        <w:t xml:space="preserve"> It is </w:t>
      </w:r>
      <w:r>
        <w:t xml:space="preserve">a pulmonary irritant in rats, a moderate </w:t>
      </w:r>
      <w:r w:rsidR="00952D4E">
        <w:t xml:space="preserve">skin </w:t>
      </w:r>
      <w:r>
        <w:t xml:space="preserve">irritant </w:t>
      </w:r>
      <w:r w:rsidR="00952D4E">
        <w:t>a</w:t>
      </w:r>
      <w:r>
        <w:t>nd a severe</w:t>
      </w:r>
      <w:r w:rsidR="00952D4E">
        <w:t xml:space="preserve"> eye</w:t>
      </w:r>
      <w:r>
        <w:t xml:space="preserve"> irritant. Fenpropidin was a skin sensitiser (GPMT).</w:t>
      </w:r>
    </w:p>
    <w:p w14:paraId="38BCFF8C" w14:textId="77777777" w:rsidR="008C0089" w:rsidRPr="002C36C4" w:rsidRDefault="008C0089" w:rsidP="008C0089">
      <w:pPr>
        <w:pStyle w:val="Heading3"/>
      </w:pPr>
      <w:bookmarkStart w:id="70" w:name="_Toc7561232"/>
      <w:r>
        <w:t>Acute toxicity (product)</w:t>
      </w:r>
      <w:bookmarkEnd w:id="70"/>
    </w:p>
    <w:p w14:paraId="0B66EBE2" w14:textId="5E3E9237" w:rsidR="00FD5811" w:rsidRDefault="00C563CE" w:rsidP="008C0089">
      <w:pPr>
        <w:pStyle w:val="APVMAText"/>
      </w:pPr>
      <w:r>
        <w:t>SEEKER Duo</w:t>
      </w:r>
      <w:r w:rsidR="00B22589">
        <w:t xml:space="preserve"> F</w:t>
      </w:r>
      <w:r w:rsidR="00FD5811" w:rsidRPr="00FD5811">
        <w:t xml:space="preserve">ungicide has low acute </w:t>
      </w:r>
      <w:r w:rsidR="00B22589">
        <w:t xml:space="preserve">oral and dermal </w:t>
      </w:r>
      <w:r w:rsidR="00FD5811" w:rsidRPr="00FD5811">
        <w:t>toxicity</w:t>
      </w:r>
      <w:r w:rsidR="00B22589">
        <w:t xml:space="preserve">, and </w:t>
      </w:r>
      <w:r w:rsidR="00FD5811" w:rsidRPr="00FD5811">
        <w:t>low to moderate acute toxicity by the inhalation route</w:t>
      </w:r>
      <w:r w:rsidR="00B22589">
        <w:t xml:space="preserve">. It has </w:t>
      </w:r>
      <w:r w:rsidR="00FD5811" w:rsidRPr="00FD5811">
        <w:t>moderate to severe skin irritation potential</w:t>
      </w:r>
      <w:r w:rsidR="00B22589">
        <w:t xml:space="preserve"> and </w:t>
      </w:r>
      <w:r w:rsidR="00FD5811" w:rsidRPr="00FD5811">
        <w:t>severe eye irritation potential</w:t>
      </w:r>
      <w:r w:rsidR="00B22589">
        <w:t>. The product is a</w:t>
      </w:r>
      <w:r w:rsidR="00FD5811" w:rsidRPr="00FD5811">
        <w:t xml:space="preserve"> respiratory irritant and a skin sensitiser (GPMT). Furthermore, due to its designated solvent content, the formulated product is considered an aspiration hazard.</w:t>
      </w:r>
    </w:p>
    <w:p w14:paraId="5154826A" w14:textId="77777777" w:rsidR="008C0089" w:rsidRDefault="008C0089" w:rsidP="008C0089">
      <w:pPr>
        <w:pStyle w:val="Heading3"/>
      </w:pPr>
      <w:bookmarkStart w:id="71" w:name="_Toc7561233"/>
      <w:r>
        <w:t>Repeat-dose toxicity</w:t>
      </w:r>
      <w:bookmarkEnd w:id="71"/>
    </w:p>
    <w:p w14:paraId="405D2DC7" w14:textId="579A0A4A" w:rsidR="00147F78" w:rsidRDefault="00147F78" w:rsidP="00147F78">
      <w:pPr>
        <w:pStyle w:val="APVMAText"/>
      </w:pPr>
      <w:r>
        <w:t xml:space="preserve">In repeated daily oral, dermal and inhalation studies in the species evaluated </w:t>
      </w:r>
      <w:r w:rsidR="00E408D3" w:rsidRPr="00E408D3">
        <w:t xml:space="preserve">(mice, rats, rabbits and dogs), </w:t>
      </w:r>
      <w:r>
        <w:t>many of the adverse effects associated with fenpropidin were due to local site of first contact irritancy (skin irritation, gastrointestinal irritation and metaplasia, secondary loss of body weight due to reduced f</w:t>
      </w:r>
      <w:r w:rsidR="00E408D3">
        <w:t>ee</w:t>
      </w:r>
      <w:r>
        <w:t xml:space="preserve">d consumption, occurrence of pulmonary alveolar foam cells, respiratory tract irritation). In dietary exposure studies where skin irritation and pulmonary foam cells (lipid laden alveolar macrophages) were observed it was considered that these effects were mostly likely to have occurred due to local effects rather than systemic toxicological effects. Fenpropidin is volatile (vapour pressure at 20 °C = 17.0 mPa). </w:t>
      </w:r>
      <w:r w:rsidR="00C4727B">
        <w:t>Accordingly,</w:t>
      </w:r>
      <w:r>
        <w:t xml:space="preserve"> exposure to the skin and via inhalation could occur via direct contact or degassing from the prepared diets. The appearance of pulmonary alveolar foam cells was not associated with </w:t>
      </w:r>
      <w:proofErr w:type="spellStart"/>
      <w:r>
        <w:t>dyslipidemia</w:t>
      </w:r>
      <w:proofErr w:type="spellEnd"/>
      <w:r>
        <w:t xml:space="preserve"> (</w:t>
      </w:r>
      <w:r w:rsidR="007C06E1" w:rsidRPr="00C73889">
        <w:t>i.e.</w:t>
      </w:r>
      <w:r>
        <w:t xml:space="preserve"> not caused by hyper beta-</w:t>
      </w:r>
      <w:proofErr w:type="spellStart"/>
      <w:r>
        <w:t>lipoproteinaemia</w:t>
      </w:r>
      <w:proofErr w:type="spellEnd"/>
      <w:r>
        <w:t xml:space="preserve"> or any other evidence of altered systemic lipid handling in any species) or inhalation exposure to other known causes (air pollution, e-cigarettes) or consistent evidence of chronic systemic inflammation. Given the level of local damage to the oesophagus and gastric mucosa, exposure of the lung due to micro-aspiration/eructation and inhalation of irritant materials (an established cause of induction of pulmonary alveolar foam cells as well as the type of lung injuries seen in dogs following repeated oral dosing) is a potential other concurrent cause. Notably there was no progression to pulmonary fibrosis associated with fenpropidin induction of pulmonary alveolar foam cells and other pulmonary injuries.</w:t>
      </w:r>
    </w:p>
    <w:p w14:paraId="1222F73C" w14:textId="7FDEB02D" w:rsidR="00C4727B" w:rsidRDefault="00147F78" w:rsidP="00147F78">
      <w:pPr>
        <w:pStyle w:val="APVMAText"/>
      </w:pPr>
      <w:r>
        <w:t>Adverse systemic effects attributable to fenpropidin following repeated daily dosing of rats (including up to near life-time exposure) included some cases of reduced body weight that were not correlated with reduced f</w:t>
      </w:r>
      <w:r w:rsidR="00E408D3">
        <w:t>ee</w:t>
      </w:r>
      <w:r>
        <w:t xml:space="preserve">d intake, bladder epithelial hyperplasia (likely associated with the irritancy of urinary metabolites), demyelination injury </w:t>
      </w:r>
      <w:r w:rsidR="00C4727B">
        <w:t>(</w:t>
      </w:r>
      <w:r>
        <w:t>in the ventral columns of the lumbar spinal cord, dorsal and ventral spinal and cranial nerve roots and in the peripheral nerves</w:t>
      </w:r>
      <w:r w:rsidR="00C4727B">
        <w:t xml:space="preserve">) associated with </w:t>
      </w:r>
      <w:r w:rsidR="00C4727B" w:rsidRPr="00C4727B">
        <w:t xml:space="preserve">hindlimbs </w:t>
      </w:r>
      <w:r w:rsidR="00C4727B">
        <w:t>paresis,</w:t>
      </w:r>
      <w:r>
        <w:t xml:space="preserve"> </w:t>
      </w:r>
      <w:r w:rsidR="00406A9C" w:rsidRPr="00406A9C">
        <w:t>bilateral eye lenses cataract</w:t>
      </w:r>
      <w:r w:rsidR="00406A9C">
        <w:t>,</w:t>
      </w:r>
      <w:r w:rsidR="00406A9C" w:rsidRPr="00406A9C">
        <w:t xml:space="preserve"> </w:t>
      </w:r>
      <w:r>
        <w:t>and hepatotoxicity. Systemic adverse effects resulting from repeated daily inhalation exposure of rats to fenpropidin included increased mortality, adrenal hyperaemia/haemorrhage, brain hyperaemia, hepatotoxicity and lymphoid degeneration in thymus and spleen.</w:t>
      </w:r>
    </w:p>
    <w:p w14:paraId="77B9BC65" w14:textId="75E49795" w:rsidR="00691619" w:rsidRDefault="00A31572" w:rsidP="00691619">
      <w:pPr>
        <w:pStyle w:val="APVMAText"/>
      </w:pPr>
      <w:r>
        <w:lastRenderedPageBreak/>
        <w:t>In a</w:t>
      </w:r>
      <w:r w:rsidR="00691619">
        <w:t xml:space="preserve"> 28-day dietary toxicity study in rats, the NOAEL was established at 5.4 mg/kg </w:t>
      </w:r>
      <w:proofErr w:type="spellStart"/>
      <w:r w:rsidR="00691619">
        <w:t>bw</w:t>
      </w:r>
      <w:proofErr w:type="spellEnd"/>
      <w:r w:rsidR="00691619">
        <w:t>/d based on increased incidence of oesophagus epithelium hyperkeratosis.</w:t>
      </w:r>
    </w:p>
    <w:p w14:paraId="48F3965C" w14:textId="16B2B89D" w:rsidR="00A31572" w:rsidRDefault="00A31572" w:rsidP="00691619">
      <w:pPr>
        <w:pStyle w:val="APVMAText"/>
      </w:pPr>
      <w:r>
        <w:t>In a 28-day inhalation toxicity study, rats were exposed to atomised fenpropidin. The LOAEC for local effects in the respiratory tract was 20 mg/m</w:t>
      </w:r>
      <w:r w:rsidRPr="00DC0D4C">
        <w:rPr>
          <w:vertAlign w:val="superscript"/>
        </w:rPr>
        <w:t>3</w:t>
      </w:r>
      <w:r>
        <w:t xml:space="preserve"> due to respiratory and skin irritancy at all concentrations tested. </w:t>
      </w:r>
      <w:r w:rsidR="007829B9" w:rsidRPr="007829B9">
        <w:t>The NOAEC for systemic effects was 20 mg/m</w:t>
      </w:r>
      <w:r w:rsidR="007829B9" w:rsidRPr="00DC0D4C">
        <w:rPr>
          <w:vertAlign w:val="superscript"/>
        </w:rPr>
        <w:t>3</w:t>
      </w:r>
      <w:r w:rsidR="007829B9" w:rsidRPr="007829B9">
        <w:t xml:space="preserve"> </w:t>
      </w:r>
      <w:r w:rsidR="007829B9">
        <w:t xml:space="preserve">based </w:t>
      </w:r>
      <w:r w:rsidR="007829B9" w:rsidRPr="007829B9">
        <w:t>on severely decreased bodyweight and feed consumption, adverse effects in the lungs, liver, kidneys, thymus and spleen, and severely increased mortality.</w:t>
      </w:r>
    </w:p>
    <w:p w14:paraId="2B7D5C9D" w14:textId="63CD70F4" w:rsidR="00691619" w:rsidRDefault="00691619" w:rsidP="00691619">
      <w:pPr>
        <w:pStyle w:val="APVMAText"/>
      </w:pPr>
      <w:r>
        <w:t xml:space="preserve">In a 13-week dietary study in mice, the NOAEL was 58 mg/kg </w:t>
      </w:r>
      <w:proofErr w:type="spellStart"/>
      <w:r>
        <w:t>bw</w:t>
      </w:r>
      <w:proofErr w:type="spellEnd"/>
      <w:r>
        <w:t>/d based on increased incidence</w:t>
      </w:r>
      <w:r w:rsidRPr="00691619">
        <w:t xml:space="preserve"> of excitability/irritability and skin irritation.</w:t>
      </w:r>
    </w:p>
    <w:p w14:paraId="0356B87F" w14:textId="2F88D0F7" w:rsidR="00691619" w:rsidRDefault="00691619" w:rsidP="00691619">
      <w:pPr>
        <w:pStyle w:val="APVMAText"/>
      </w:pPr>
      <w:r>
        <w:t xml:space="preserve">In a 3-month dietary study in rats, the LOAEL was 1.1 mg/kg </w:t>
      </w:r>
      <w:proofErr w:type="spellStart"/>
      <w:r>
        <w:t>bw</w:t>
      </w:r>
      <w:proofErr w:type="spellEnd"/>
      <w:r>
        <w:t>/d based on increased incidence of foam cells in the lungs. No NOAEL was established.</w:t>
      </w:r>
    </w:p>
    <w:p w14:paraId="1D418C1C" w14:textId="1E92631B" w:rsidR="00691619" w:rsidRDefault="00691619" w:rsidP="00691619">
      <w:pPr>
        <w:pStyle w:val="APVMAText"/>
      </w:pPr>
      <w:r>
        <w:t>In a 90</w:t>
      </w:r>
      <w:r w:rsidR="00A31572">
        <w:t>-week dietary study in mice, t</w:t>
      </w:r>
      <w:r>
        <w:t xml:space="preserve">he NOAEL </w:t>
      </w:r>
      <w:r w:rsidR="00A31572">
        <w:t xml:space="preserve">was </w:t>
      </w:r>
      <w:r>
        <w:t xml:space="preserve">4 mg/kg </w:t>
      </w:r>
      <w:proofErr w:type="spellStart"/>
      <w:r>
        <w:t>bw</w:t>
      </w:r>
      <w:proofErr w:type="spellEnd"/>
      <w:r>
        <w:t>/d</w:t>
      </w:r>
      <w:r w:rsidR="00A31572">
        <w:t xml:space="preserve"> based on increased incidence of oesophagus hyperkeratosis.</w:t>
      </w:r>
    </w:p>
    <w:p w14:paraId="33E558A0" w14:textId="711E9E01" w:rsidR="00A31572" w:rsidRDefault="00A31572" w:rsidP="00A31572">
      <w:pPr>
        <w:pStyle w:val="APVMAText"/>
      </w:pPr>
      <w:r>
        <w:t>In</w:t>
      </w:r>
      <w:r w:rsidR="00DD03C2">
        <w:t xml:space="preserve"> a</w:t>
      </w:r>
      <w:r>
        <w:t xml:space="preserve"> 94</w:t>
      </w:r>
      <w:r w:rsidR="00DD03C2">
        <w:t xml:space="preserve"> to </w:t>
      </w:r>
      <w:r>
        <w:t>97</w:t>
      </w:r>
      <w:r w:rsidR="00DD03C2">
        <w:t>-</w:t>
      </w:r>
      <w:r>
        <w:t xml:space="preserve">week dietary study in rats, the NOAEL for toxicity was 0.34 mg/kg </w:t>
      </w:r>
      <w:proofErr w:type="spellStart"/>
      <w:r>
        <w:t>bw</w:t>
      </w:r>
      <w:proofErr w:type="spellEnd"/>
      <w:r>
        <w:t xml:space="preserve">/d based on increased incidence of skin irritation and for systemic toxicity 2.27 mg/kg </w:t>
      </w:r>
      <w:proofErr w:type="spellStart"/>
      <w:r>
        <w:t>bw</w:t>
      </w:r>
      <w:proofErr w:type="spellEnd"/>
      <w:r>
        <w:t>/d based on increased incidence of liver lesions (centrilobular fat) and decreased body weight gain in females.</w:t>
      </w:r>
    </w:p>
    <w:p w14:paraId="772DD5D6" w14:textId="77777777" w:rsidR="008C0089" w:rsidRPr="00C876F1" w:rsidRDefault="008C0089" w:rsidP="008C0089">
      <w:pPr>
        <w:pStyle w:val="Heading3"/>
      </w:pPr>
      <w:bookmarkStart w:id="72" w:name="_Toc7561234"/>
      <w:r w:rsidRPr="00C876F1">
        <w:t>Chronic toxicity and carcinogenicity</w:t>
      </w:r>
      <w:bookmarkEnd w:id="72"/>
    </w:p>
    <w:p w14:paraId="10E0B994" w14:textId="129C8159" w:rsidR="00DC0D4C" w:rsidRDefault="00147F78" w:rsidP="00DC0D4C">
      <w:pPr>
        <w:pStyle w:val="APVMAText"/>
      </w:pPr>
      <w:r>
        <w:t xml:space="preserve">Fenpropidin was not carcinogenic in mice or rats following near </w:t>
      </w:r>
      <w:r w:rsidR="00EF5A6C">
        <w:t>lifetime</w:t>
      </w:r>
      <w:r>
        <w:t xml:space="preserve"> daily oral exposure.</w:t>
      </w:r>
      <w:r w:rsidR="00E408D3">
        <w:t xml:space="preserve"> T</w:t>
      </w:r>
      <w:r w:rsidR="00E408D3" w:rsidRPr="00E408D3">
        <w:t>here were no treatment-related neoplastic lesions</w:t>
      </w:r>
      <w:r w:rsidR="00E408D3">
        <w:t xml:space="preserve"> in mice or rats fed fenpropidin in the diet for 80</w:t>
      </w:r>
      <w:r w:rsidR="00A56EB8">
        <w:t xml:space="preserve"> to </w:t>
      </w:r>
      <w:r w:rsidR="00E408D3">
        <w:t>90 or 94</w:t>
      </w:r>
      <w:r w:rsidR="00A56EB8">
        <w:t xml:space="preserve"> to </w:t>
      </w:r>
      <w:r w:rsidR="00E408D3">
        <w:t>97 weeks, respectively, up to the highest dose tested. The</w:t>
      </w:r>
      <w:r w:rsidR="00DC0D4C">
        <w:t xml:space="preserve"> NOAEL</w:t>
      </w:r>
      <w:r w:rsidR="00E408D3">
        <w:t xml:space="preserve"> for carcinogenicity was 144</w:t>
      </w:r>
      <w:r w:rsidR="000E299F">
        <w:t> </w:t>
      </w:r>
      <w:r w:rsidR="00E408D3">
        <w:t xml:space="preserve">mg/kg </w:t>
      </w:r>
      <w:proofErr w:type="spellStart"/>
      <w:r w:rsidR="00E408D3">
        <w:t>bw</w:t>
      </w:r>
      <w:proofErr w:type="spellEnd"/>
      <w:r w:rsidR="00E408D3">
        <w:t xml:space="preserve">/d in mice and 8.53 mg/kg </w:t>
      </w:r>
      <w:proofErr w:type="spellStart"/>
      <w:r w:rsidR="00E408D3">
        <w:t>bw</w:t>
      </w:r>
      <w:proofErr w:type="spellEnd"/>
      <w:r w:rsidR="00E408D3">
        <w:t>/d in rats.</w:t>
      </w:r>
      <w:r w:rsidR="00DC0D4C" w:rsidRPr="00DC0D4C">
        <w:t xml:space="preserve"> </w:t>
      </w:r>
    </w:p>
    <w:p w14:paraId="18B5B50D" w14:textId="77777777" w:rsidR="00DC0D4C" w:rsidRDefault="00DC0D4C" w:rsidP="00DC0D4C">
      <w:pPr>
        <w:pStyle w:val="APVMAText"/>
      </w:pPr>
      <w:r>
        <w:t>In 12-month dietary study in dogs, increased electrocardiographic QT and corrected QT interval, spinal cord demyelination</w:t>
      </w:r>
      <w:r w:rsidRPr="00C4727B">
        <w:t xml:space="preserve"> associated with hindlimbs paresis</w:t>
      </w:r>
      <w:r>
        <w:t xml:space="preserve">, bilateral cataract, minimal hepatotoxicity, and urinary bladder epithelial hyperplasia was observed at 20 mg/kg </w:t>
      </w:r>
      <w:proofErr w:type="spellStart"/>
      <w:r>
        <w:t>bw</w:t>
      </w:r>
      <w:proofErr w:type="spellEnd"/>
      <w:r>
        <w:t xml:space="preserve">/d and the NOAEL was established at 5 mg/kg </w:t>
      </w:r>
      <w:proofErr w:type="spellStart"/>
      <w:r>
        <w:t>bw</w:t>
      </w:r>
      <w:proofErr w:type="spellEnd"/>
      <w:r>
        <w:t>/d.</w:t>
      </w:r>
    </w:p>
    <w:p w14:paraId="4855BE62" w14:textId="06A1682C" w:rsidR="00E408D3" w:rsidRDefault="00E408D3" w:rsidP="00E408D3">
      <w:pPr>
        <w:pStyle w:val="APVMAText"/>
      </w:pPr>
      <w:r>
        <w:t xml:space="preserve">Considering the available carcinogenicity and genotoxicity studies conducted with fenpropidin, no potential for carcinogenicity in humans was demonstrated. </w:t>
      </w:r>
      <w:r w:rsidR="0059767D">
        <w:t>Therefore, f</w:t>
      </w:r>
      <w:r>
        <w:t>enpropidin is unlikely to pose a carcinogenic risk to humans.</w:t>
      </w:r>
    </w:p>
    <w:p w14:paraId="7CCCBCD5" w14:textId="77777777" w:rsidR="008C0089" w:rsidRDefault="008C0089" w:rsidP="008C0089">
      <w:pPr>
        <w:pStyle w:val="Heading3"/>
      </w:pPr>
      <w:bookmarkStart w:id="73" w:name="_Toc7561235"/>
      <w:r>
        <w:t>Reproductive and developmental toxicity</w:t>
      </w:r>
      <w:bookmarkEnd w:id="73"/>
    </w:p>
    <w:p w14:paraId="26F7587E" w14:textId="55A00E1C" w:rsidR="00E408D3" w:rsidRDefault="00E408D3" w:rsidP="00E408D3">
      <w:pPr>
        <w:pStyle w:val="APVMAText"/>
      </w:pPr>
      <w:r w:rsidRPr="00E408D3">
        <w:t xml:space="preserve">Across all fenpropidin </w:t>
      </w:r>
      <w:r>
        <w:t xml:space="preserve">reproductive and </w:t>
      </w:r>
      <w:r w:rsidRPr="00E408D3">
        <w:t xml:space="preserve">developmental toxicity studies available, </w:t>
      </w:r>
      <w:r>
        <w:t>reproductive toxicity and/or treatment related effects</w:t>
      </w:r>
      <w:r w:rsidRPr="00E408D3">
        <w:t xml:space="preserve"> </w:t>
      </w:r>
      <w:r>
        <w:t xml:space="preserve">on </w:t>
      </w:r>
      <w:r w:rsidRPr="00E408D3">
        <w:t xml:space="preserve">foetal </w:t>
      </w:r>
      <w:r>
        <w:t xml:space="preserve">development, </w:t>
      </w:r>
      <w:r w:rsidRPr="00E408D3">
        <w:t xml:space="preserve">were never seen in the absence of maternal toxicity. </w:t>
      </w:r>
      <w:r w:rsidR="0059767D">
        <w:t xml:space="preserve">On this basis, </w:t>
      </w:r>
      <w:r w:rsidRPr="00E408D3">
        <w:t>fenpropidin was not a reproductive toxin and was not teratogen.</w:t>
      </w:r>
    </w:p>
    <w:p w14:paraId="52BD1423" w14:textId="1AF9F290" w:rsidR="0059767D" w:rsidRDefault="00147F78" w:rsidP="008C0089">
      <w:pPr>
        <w:pStyle w:val="APVMAText"/>
      </w:pPr>
      <w:r w:rsidRPr="00147F78">
        <w:t>In a multigenerational study in rats the key effects of dietary fenpropidin exposure in parental and developing animals were reduction in body weight and delayed development. Reproductive toxicity manifest</w:t>
      </w:r>
      <w:r w:rsidR="00E408D3">
        <w:t>ed</w:t>
      </w:r>
      <w:r w:rsidRPr="00147F78">
        <w:t xml:space="preserve"> as reduction in the number of implantations and, </w:t>
      </w:r>
      <w:r w:rsidR="00EF5A6C" w:rsidRPr="00147F78">
        <w:t>consequently</w:t>
      </w:r>
      <w:r w:rsidRPr="00147F78">
        <w:t xml:space="preserve">, reduced litter size. Oral dosing with fenpropidin was associated with an increased incidence of hydrocephalus and non-adverse skeletal developmental </w:t>
      </w:r>
      <w:r w:rsidRPr="00147F78">
        <w:lastRenderedPageBreak/>
        <w:t xml:space="preserve">delay in the presence of substantial </w:t>
      </w:r>
      <w:proofErr w:type="spellStart"/>
      <w:r w:rsidRPr="00147F78">
        <w:t>maternotoxicity</w:t>
      </w:r>
      <w:proofErr w:type="spellEnd"/>
      <w:r w:rsidRPr="00147F78">
        <w:t xml:space="preserve"> manifesting as reduced body weight in a prenatal developmental toxicity study in rats. In a rabbit prenatal developmental toxicity study</w:t>
      </w:r>
      <w:r w:rsidR="00E408D3">
        <w:t>,</w:t>
      </w:r>
      <w:r w:rsidRPr="00147F78">
        <w:t xml:space="preserve"> oral dosing with fenpropidin was associated with an increased incidence of decreased male body weight, visceral (persistent truncus arteriosus) and skeletal (severely </w:t>
      </w:r>
      <w:proofErr w:type="spellStart"/>
      <w:r w:rsidRPr="00147F78">
        <w:t>malaligned</w:t>
      </w:r>
      <w:proofErr w:type="spellEnd"/>
      <w:r w:rsidRPr="00147F78">
        <w:t xml:space="preserve"> </w:t>
      </w:r>
      <w:proofErr w:type="spellStart"/>
      <w:r w:rsidRPr="00147F78">
        <w:t>sternebrae</w:t>
      </w:r>
      <w:proofErr w:type="spellEnd"/>
      <w:r w:rsidRPr="00147F78">
        <w:t xml:space="preserve">) malformations in the presence of substantial </w:t>
      </w:r>
      <w:proofErr w:type="spellStart"/>
      <w:r w:rsidRPr="00147F78">
        <w:t>maternotoxicity</w:t>
      </w:r>
      <w:proofErr w:type="spellEnd"/>
      <w:r w:rsidRPr="00147F78">
        <w:t xml:space="preserve"> manifesting as reduced body weight.</w:t>
      </w:r>
    </w:p>
    <w:p w14:paraId="5090F208" w14:textId="392F9A43" w:rsidR="00147F78" w:rsidRDefault="00147F78" w:rsidP="008C0089">
      <w:pPr>
        <w:pStyle w:val="APVMAText"/>
      </w:pPr>
      <w:r w:rsidRPr="00147F78">
        <w:t xml:space="preserve">Reduction in </w:t>
      </w:r>
      <w:r w:rsidR="0059767D">
        <w:t>female pups’ b</w:t>
      </w:r>
      <w:r w:rsidRPr="00147F78">
        <w:t xml:space="preserve">rain weight on </w:t>
      </w:r>
      <w:r w:rsidR="000E299F">
        <w:t xml:space="preserve">post-natal day 72 </w:t>
      </w:r>
      <w:r w:rsidR="0059767D">
        <w:t>(</w:t>
      </w:r>
      <w:r w:rsidR="000E299F" w:rsidRPr="00147F78">
        <w:t>PND72</w:t>
      </w:r>
      <w:r w:rsidR="0059767D">
        <w:t xml:space="preserve">) </w:t>
      </w:r>
      <w:r w:rsidRPr="00147F78">
        <w:t>was noted in a rat developmental neurotoxicity study.</w:t>
      </w:r>
    </w:p>
    <w:p w14:paraId="153A66A4" w14:textId="0F28DF20" w:rsidR="00E408D3" w:rsidRDefault="00DC0D4C" w:rsidP="008C0089">
      <w:pPr>
        <w:pStyle w:val="APVMAText"/>
      </w:pPr>
      <w:r>
        <w:t>In the 2-generation reproduction toxicity study in rats, t</w:t>
      </w:r>
      <w:r w:rsidR="00E408D3">
        <w:t xml:space="preserve">he NOAEL for </w:t>
      </w:r>
      <w:r>
        <w:t xml:space="preserve">parental and </w:t>
      </w:r>
      <w:r w:rsidR="00E408D3">
        <w:t xml:space="preserve">reproductive toxicity was 42 mg/kg </w:t>
      </w:r>
      <w:proofErr w:type="spellStart"/>
      <w:r w:rsidR="00E408D3">
        <w:t>bw</w:t>
      </w:r>
      <w:proofErr w:type="spellEnd"/>
      <w:r w:rsidR="00E408D3">
        <w:t xml:space="preserve">/d </w:t>
      </w:r>
      <w:r>
        <w:t>while for developmental/offspring toxicity, the NOAEL was 8</w:t>
      </w:r>
      <w:r w:rsidR="00E408D3" w:rsidRPr="00E408D3">
        <w:t xml:space="preserve"> mg/kg </w:t>
      </w:r>
      <w:proofErr w:type="spellStart"/>
      <w:r w:rsidR="00E408D3" w:rsidRPr="00E408D3">
        <w:t>bw</w:t>
      </w:r>
      <w:proofErr w:type="spellEnd"/>
      <w:r w:rsidR="00E408D3" w:rsidRPr="00E408D3">
        <w:t>/d</w:t>
      </w:r>
      <w:r w:rsidR="00E408D3">
        <w:t>.</w:t>
      </w:r>
    </w:p>
    <w:p w14:paraId="2E048E9D" w14:textId="258E36BC" w:rsidR="00DC0D4C" w:rsidRDefault="00DC0D4C" w:rsidP="008C0089">
      <w:pPr>
        <w:pStyle w:val="APVMAText"/>
      </w:pPr>
      <w:r>
        <w:t>In the developmental toxicity study in rats, the NOAEL for maternal toxicity was</w:t>
      </w:r>
      <w:r w:rsidR="00EF5A6C">
        <w:t xml:space="preserve"> gestational day</w:t>
      </w:r>
      <w:r>
        <w:t xml:space="preserve"> </w:t>
      </w:r>
      <w:r w:rsidR="00EF5A6C">
        <w:t>(</w:t>
      </w:r>
      <w:r w:rsidRPr="00F7153D">
        <w:rPr>
          <w:rFonts w:cs="Times New Roman"/>
          <w:lang w:val="en-US"/>
        </w:rPr>
        <w:t>GD</w:t>
      </w:r>
      <w:r w:rsidR="00EF5A6C">
        <w:rPr>
          <w:rFonts w:cs="Times New Roman"/>
          <w:lang w:val="en-US"/>
        </w:rPr>
        <w:t>)</w:t>
      </w:r>
      <w:r w:rsidRPr="00F7153D">
        <w:rPr>
          <w:rFonts w:cs="Times New Roman"/>
          <w:lang w:val="en-US"/>
        </w:rPr>
        <w:t xml:space="preserve"> 7</w:t>
      </w:r>
      <w:r w:rsidR="00DD03C2">
        <w:rPr>
          <w:rFonts w:cs="Times New Roman"/>
          <w:lang w:val="en-US"/>
        </w:rPr>
        <w:t>–</w:t>
      </w:r>
      <w:r w:rsidRPr="00F7153D">
        <w:rPr>
          <w:rFonts w:cs="Times New Roman"/>
          <w:lang w:val="en-US"/>
        </w:rPr>
        <w:t xml:space="preserve">16 was ~20 </w:t>
      </w:r>
      <w:r w:rsidRPr="00F7153D">
        <w:rPr>
          <w:rFonts w:cs="Times New Roman"/>
        </w:rPr>
        <w:t xml:space="preserve">mg/kg </w:t>
      </w:r>
      <w:proofErr w:type="spellStart"/>
      <w:r w:rsidRPr="00F7153D">
        <w:rPr>
          <w:rFonts w:cs="Times New Roman"/>
        </w:rPr>
        <w:t>bw</w:t>
      </w:r>
      <w:proofErr w:type="spellEnd"/>
      <w:r w:rsidRPr="00F7153D">
        <w:rPr>
          <w:rFonts w:cs="Times New Roman"/>
        </w:rPr>
        <w:t xml:space="preserve">/d </w:t>
      </w:r>
      <w:r>
        <w:t>and for foetal developmental toxicity during GD 7</w:t>
      </w:r>
      <w:r w:rsidR="00DD03C2">
        <w:t>–</w:t>
      </w:r>
      <w:r>
        <w:t xml:space="preserve">16 </w:t>
      </w:r>
      <w:r w:rsidRPr="00F7153D">
        <w:rPr>
          <w:rFonts w:cs="Times New Roman"/>
        </w:rPr>
        <w:t xml:space="preserve">~44-50 mg/kg </w:t>
      </w:r>
      <w:proofErr w:type="spellStart"/>
      <w:r w:rsidRPr="00F7153D">
        <w:rPr>
          <w:rFonts w:cs="Times New Roman"/>
        </w:rPr>
        <w:t>bw</w:t>
      </w:r>
      <w:proofErr w:type="spellEnd"/>
      <w:r w:rsidRPr="00F7153D">
        <w:rPr>
          <w:rFonts w:cs="Times New Roman"/>
        </w:rPr>
        <w:t>/d</w:t>
      </w:r>
      <w:r>
        <w:rPr>
          <w:rFonts w:cs="Times New Roman"/>
        </w:rPr>
        <w:t>.</w:t>
      </w:r>
      <w:r>
        <w:t xml:space="preserve"> </w:t>
      </w:r>
    </w:p>
    <w:p w14:paraId="601C88B1" w14:textId="4FCBF948" w:rsidR="00D53502" w:rsidRDefault="00D53502" w:rsidP="008C0089">
      <w:pPr>
        <w:pStyle w:val="APVMAText"/>
      </w:pPr>
      <w:r>
        <w:t xml:space="preserve">In rat teratogenicity study, the NOAEL for </w:t>
      </w:r>
      <w:proofErr w:type="spellStart"/>
      <w:r>
        <w:t>maternotoxicity</w:t>
      </w:r>
      <w:proofErr w:type="spellEnd"/>
      <w:r>
        <w:t xml:space="preserve"> was 60 mg/kg </w:t>
      </w:r>
      <w:proofErr w:type="spellStart"/>
      <w:r>
        <w:t>bw</w:t>
      </w:r>
      <w:proofErr w:type="spellEnd"/>
      <w:r>
        <w:t xml:space="preserve">/d and for foetal development </w:t>
      </w:r>
      <w:proofErr w:type="gramStart"/>
      <w:r>
        <w:t>9</w:t>
      </w:r>
      <w:r w:rsidR="00DD03C2">
        <w:t> </w:t>
      </w:r>
      <w:r>
        <w:t xml:space="preserve"> mg</w:t>
      </w:r>
      <w:proofErr w:type="gramEnd"/>
      <w:r>
        <w:t xml:space="preserve">/kg </w:t>
      </w:r>
      <w:proofErr w:type="spellStart"/>
      <w:r>
        <w:t>bw</w:t>
      </w:r>
      <w:proofErr w:type="spellEnd"/>
      <w:r>
        <w:t>/d.</w:t>
      </w:r>
    </w:p>
    <w:p w14:paraId="39FA37AF" w14:textId="5F271612" w:rsidR="00D53502" w:rsidRDefault="00D53502" w:rsidP="008C0089">
      <w:pPr>
        <w:pStyle w:val="APVMAText"/>
      </w:pPr>
      <w:r>
        <w:t xml:space="preserve">In rabbit embryotoxicity study, the NOAEL for </w:t>
      </w:r>
      <w:proofErr w:type="spellStart"/>
      <w:r>
        <w:t>maternotoxicity</w:t>
      </w:r>
      <w:proofErr w:type="spellEnd"/>
      <w:r>
        <w:t xml:space="preserve"> was 12 mg/kg </w:t>
      </w:r>
      <w:proofErr w:type="spellStart"/>
      <w:r>
        <w:t>bw</w:t>
      </w:r>
      <w:proofErr w:type="spellEnd"/>
      <w:r>
        <w:t xml:space="preserve">/d and for foetal developmental toxicity 30 mg/kg </w:t>
      </w:r>
      <w:proofErr w:type="spellStart"/>
      <w:r>
        <w:t>bw</w:t>
      </w:r>
      <w:proofErr w:type="spellEnd"/>
      <w:r>
        <w:t>/d.</w:t>
      </w:r>
    </w:p>
    <w:p w14:paraId="5E75E0D8" w14:textId="1E9D1896" w:rsidR="00CA1DAE" w:rsidRDefault="00CA1DAE" w:rsidP="008C0089">
      <w:pPr>
        <w:pStyle w:val="APVMAText"/>
      </w:pPr>
      <w:r>
        <w:t xml:space="preserve">In the prenatal developmental toxicity study in rabbits, the NOAEL for </w:t>
      </w:r>
      <w:proofErr w:type="spellStart"/>
      <w:r>
        <w:t>maternotoxicity</w:t>
      </w:r>
      <w:proofErr w:type="spellEnd"/>
      <w:r>
        <w:t xml:space="preserve"> was 5 mg/kg </w:t>
      </w:r>
      <w:proofErr w:type="spellStart"/>
      <w:r>
        <w:t>bw</w:t>
      </w:r>
      <w:proofErr w:type="spellEnd"/>
      <w:r>
        <w:t xml:space="preserve">/d and for foetal developmental toxicity 10 mg/kg </w:t>
      </w:r>
      <w:proofErr w:type="spellStart"/>
      <w:r>
        <w:t>bw</w:t>
      </w:r>
      <w:proofErr w:type="spellEnd"/>
      <w:r>
        <w:t>/d.</w:t>
      </w:r>
    </w:p>
    <w:p w14:paraId="0A21E0A4" w14:textId="77777777" w:rsidR="008C0089" w:rsidRDefault="008C0089" w:rsidP="008C0089">
      <w:pPr>
        <w:pStyle w:val="Heading3"/>
      </w:pPr>
      <w:bookmarkStart w:id="74" w:name="_Toc7561236"/>
      <w:r>
        <w:t>Genotoxicity</w:t>
      </w:r>
      <w:bookmarkEnd w:id="74"/>
    </w:p>
    <w:p w14:paraId="664FA492" w14:textId="77777777" w:rsidR="00147F78" w:rsidRPr="005D44F2" w:rsidRDefault="00147F78" w:rsidP="00147F78">
      <w:pPr>
        <w:widowControl w:val="0"/>
        <w:suppressAutoHyphens/>
        <w:spacing w:before="120" w:after="120" w:line="240" w:lineRule="auto"/>
        <w:jc w:val="both"/>
      </w:pPr>
      <w:r>
        <w:t>Fenpropidin</w:t>
      </w:r>
      <w:r w:rsidRPr="005D44F2">
        <w:t xml:space="preserve"> was not genotoxic either </w:t>
      </w:r>
      <w:r w:rsidRPr="005D44F2">
        <w:rPr>
          <w:i/>
        </w:rPr>
        <w:t xml:space="preserve">in vitro </w:t>
      </w:r>
      <w:r w:rsidRPr="005D44F2">
        <w:t xml:space="preserve">or </w:t>
      </w:r>
      <w:r w:rsidRPr="005D44F2">
        <w:rPr>
          <w:i/>
        </w:rPr>
        <w:t xml:space="preserve">in vivo </w:t>
      </w:r>
      <w:r w:rsidRPr="005D44F2">
        <w:t>in an appropriately validated test battery.</w:t>
      </w:r>
    </w:p>
    <w:p w14:paraId="1536CB9E" w14:textId="6B0D4ACE" w:rsidR="008C0089" w:rsidRDefault="008C0089" w:rsidP="008C0089">
      <w:pPr>
        <w:pStyle w:val="Heading3"/>
      </w:pPr>
      <w:bookmarkStart w:id="75" w:name="_Toc7561237"/>
      <w:r>
        <w:t>Neurotoxicity</w:t>
      </w:r>
      <w:bookmarkEnd w:id="75"/>
    </w:p>
    <w:p w14:paraId="76FBB5D3" w14:textId="77777777" w:rsidR="00DD03C2" w:rsidRPr="00DD03C2" w:rsidRDefault="0059767D" w:rsidP="00DD03C2">
      <w:pPr>
        <w:pStyle w:val="Heading4"/>
      </w:pPr>
      <w:r w:rsidRPr="00DD03C2">
        <w:t>Acute neurotoxicity</w:t>
      </w:r>
    </w:p>
    <w:p w14:paraId="621847D3" w14:textId="4288E159" w:rsidR="0059767D" w:rsidRDefault="0059767D" w:rsidP="0059767D">
      <w:pPr>
        <w:pStyle w:val="APVMAText"/>
      </w:pPr>
      <w:r>
        <w:t>The NOAEL for acute neurotoxicity was established in a</w:t>
      </w:r>
      <w:r w:rsidR="00CA1DAE">
        <w:t xml:space="preserve"> developmental neurotoxicity study in rats at</w:t>
      </w:r>
      <w:r w:rsidRPr="000A00BA">
        <w:t xml:space="preserve"> 7</w:t>
      </w:r>
      <w:r w:rsidR="00DD03C2">
        <w:t> </w:t>
      </w:r>
      <w:r w:rsidRPr="000A00BA">
        <w:t xml:space="preserve">mg/kg </w:t>
      </w:r>
      <w:proofErr w:type="spellStart"/>
      <w:r w:rsidRPr="000A00BA">
        <w:t>bw</w:t>
      </w:r>
      <w:proofErr w:type="spellEnd"/>
      <w:r w:rsidRPr="000A00BA">
        <w:t>/d</w:t>
      </w:r>
      <w:r>
        <w:t xml:space="preserve"> </w:t>
      </w:r>
      <w:r w:rsidR="00CA1DAE">
        <w:t xml:space="preserve">based on </w:t>
      </w:r>
      <w:r>
        <w:t xml:space="preserve">decreased </w:t>
      </w:r>
      <w:r w:rsidRPr="0059767D">
        <w:t>female brain weight on PND72</w:t>
      </w:r>
      <w:r>
        <w:t>.</w:t>
      </w:r>
    </w:p>
    <w:p w14:paraId="56610AAE" w14:textId="77777777" w:rsidR="00DD03C2" w:rsidRDefault="0059767D" w:rsidP="00DD03C2">
      <w:pPr>
        <w:pStyle w:val="Heading4"/>
      </w:pPr>
      <w:proofErr w:type="spellStart"/>
      <w:r w:rsidRPr="0059767D">
        <w:t>Subchronic</w:t>
      </w:r>
      <w:proofErr w:type="spellEnd"/>
      <w:r w:rsidRPr="0059767D">
        <w:t xml:space="preserve"> neurotoxicity</w:t>
      </w:r>
    </w:p>
    <w:p w14:paraId="0CD8F7BC" w14:textId="50EAAFA4" w:rsidR="0059767D" w:rsidRDefault="0059767D" w:rsidP="008C0089">
      <w:pPr>
        <w:pStyle w:val="APVMAText"/>
      </w:pPr>
      <w:r>
        <w:t xml:space="preserve">The </w:t>
      </w:r>
      <w:r w:rsidRPr="0059767D">
        <w:t>NOAEL</w:t>
      </w:r>
      <w:r>
        <w:t>s for p</w:t>
      </w:r>
      <w:r w:rsidRPr="0059767D">
        <w:t>eripheral nerves (spinal cord) demyelination</w:t>
      </w:r>
      <w:r>
        <w:t xml:space="preserve"> were </w:t>
      </w:r>
      <w:r w:rsidRPr="0059767D">
        <w:t>5</w:t>
      </w:r>
      <w:r>
        <w:t> </w:t>
      </w:r>
      <w:r w:rsidRPr="0059767D">
        <w:t xml:space="preserve">mg/kg </w:t>
      </w:r>
      <w:proofErr w:type="spellStart"/>
      <w:r w:rsidRPr="0059767D">
        <w:t>bw</w:t>
      </w:r>
      <w:proofErr w:type="spellEnd"/>
      <w:r w:rsidRPr="0059767D">
        <w:t xml:space="preserve">/d in dogs and 27 mg/kg </w:t>
      </w:r>
      <w:proofErr w:type="spellStart"/>
      <w:r w:rsidRPr="0059767D">
        <w:t>bw</w:t>
      </w:r>
      <w:proofErr w:type="spellEnd"/>
      <w:r w:rsidRPr="0059767D">
        <w:t>/d in rats.</w:t>
      </w:r>
    </w:p>
    <w:p w14:paraId="4595996C" w14:textId="69A7B155" w:rsidR="0059767D" w:rsidRDefault="0059767D" w:rsidP="0059767D">
      <w:pPr>
        <w:pStyle w:val="APVMAText"/>
      </w:pPr>
      <w:r>
        <w:t>Demyelination of peripheral nerves, particularly the spinal cord, was observed in a single female rat fed 1</w:t>
      </w:r>
      <w:r w:rsidR="00DD03C2">
        <w:t>,</w:t>
      </w:r>
      <w:r>
        <w:t>500</w:t>
      </w:r>
      <w:r w:rsidR="00DD03C2">
        <w:t> </w:t>
      </w:r>
      <w:r>
        <w:t xml:space="preserve">ppm fenpropidin in the diet (equal to a mean group intake of ~97 mg/kg </w:t>
      </w:r>
      <w:proofErr w:type="spellStart"/>
      <w:r>
        <w:t>bw</w:t>
      </w:r>
      <w:proofErr w:type="spellEnd"/>
      <w:r>
        <w:t>/d), with associated paresis first diagnosed after 76 days of treatment. Functional observational battery (FOB) and motor activity (MA) tests conducted in the same study revealed no other treatment related signs of neurotoxicity.</w:t>
      </w:r>
    </w:p>
    <w:p w14:paraId="172B9F46" w14:textId="7BC7C323" w:rsidR="0059767D" w:rsidRDefault="0059767D" w:rsidP="0059767D">
      <w:pPr>
        <w:pStyle w:val="APVMAText"/>
      </w:pPr>
      <w:r>
        <w:t xml:space="preserve">In dogs, demyelination was observed in 3 out of 4 high dose males capsule fed fenpropidin at 20 mg/kg </w:t>
      </w:r>
      <w:proofErr w:type="spellStart"/>
      <w:r>
        <w:t>bw</w:t>
      </w:r>
      <w:proofErr w:type="spellEnd"/>
      <w:r>
        <w:t xml:space="preserve">/d for 12 months, with hindlimbs paresis diagnosed in one of them after 30 weeks treatment. Limited </w:t>
      </w:r>
      <w:r>
        <w:lastRenderedPageBreak/>
        <w:t>neurological examinations (sensorimotor reflexes) conducted in control and high dose animals of the same study revealed no additional signs of neurotoxicity.</w:t>
      </w:r>
    </w:p>
    <w:p w14:paraId="38DD24B6" w14:textId="29D4568B" w:rsidR="0059767D" w:rsidRDefault="0059767D" w:rsidP="0059767D">
      <w:pPr>
        <w:pStyle w:val="APVMAText"/>
      </w:pPr>
      <w:r>
        <w:t xml:space="preserve">Health-based guidance values for fenpropidin </w:t>
      </w:r>
      <w:r w:rsidRPr="00E408D3">
        <w:t>are protective</w:t>
      </w:r>
      <w:r>
        <w:t xml:space="preserve"> of all known neurotoxicological effects.</w:t>
      </w:r>
    </w:p>
    <w:p w14:paraId="77FBA576" w14:textId="20BBCFF1" w:rsidR="00CA1DAE" w:rsidRDefault="00CA1DAE" w:rsidP="00CA1DAE">
      <w:pPr>
        <w:pStyle w:val="Heading3"/>
      </w:pPr>
      <w:r>
        <w:t>Immunotoxicity</w:t>
      </w:r>
    </w:p>
    <w:p w14:paraId="591BFC76" w14:textId="1B4CC9EF" w:rsidR="0059767D" w:rsidRDefault="0059767D" w:rsidP="0059767D">
      <w:pPr>
        <w:pStyle w:val="APVMAText"/>
      </w:pPr>
      <w:r>
        <w:t xml:space="preserve">Based on the weight of evidence, fenpropidin was not </w:t>
      </w:r>
      <w:proofErr w:type="spellStart"/>
      <w:r>
        <w:t>immunotoxic</w:t>
      </w:r>
      <w:proofErr w:type="spellEnd"/>
      <w:r>
        <w:t>.</w:t>
      </w:r>
    </w:p>
    <w:p w14:paraId="0FD5F7A0" w14:textId="39EF8178" w:rsidR="0059767D" w:rsidRPr="008D75F3" w:rsidRDefault="0059767D" w:rsidP="00CA1DAE">
      <w:pPr>
        <w:pStyle w:val="APVMAText"/>
        <w:spacing w:line="276" w:lineRule="auto"/>
      </w:pPr>
      <w:r>
        <w:t>No immunotoxicity studies conducted with fenpropidin were available. Observed effects on the immune system were considered secondary to other effects (stress and/or reduced bodyweight). In the repeat rat inhalation study, mid-dose and high dose animals were highly stressed and died early. They had reduced spleens, atrophic thymus with lymphocyte cells degeneration, reduced white blood cells, especially lymphocytes and neutrophils. In the two generations rat study, high dose second generation female parents had reduced thymus weight, while high dose pups had decreased absolute thymus weight, thymus atrophy and increased phagocytic cells. These effects observed in the two generations study were considered secondary to decreased bodyweight.</w:t>
      </w:r>
    </w:p>
    <w:p w14:paraId="6F5B7C9A" w14:textId="77777777" w:rsidR="008C0089" w:rsidRPr="00162654" w:rsidRDefault="008C0089" w:rsidP="008C0089">
      <w:pPr>
        <w:pStyle w:val="Heading3"/>
      </w:pPr>
      <w:bookmarkStart w:id="76" w:name="_Toc7561238"/>
      <w:r>
        <w:t>Mode of action (toxicology)</w:t>
      </w:r>
      <w:bookmarkEnd w:id="76"/>
    </w:p>
    <w:p w14:paraId="1F7358E6" w14:textId="14B0A991" w:rsidR="00406A9C" w:rsidRPr="00406A9C" w:rsidRDefault="00406A9C" w:rsidP="00CA1DAE">
      <w:pPr>
        <w:spacing w:before="120" w:after="120" w:line="276" w:lineRule="auto"/>
        <w:jc w:val="both"/>
        <w:rPr>
          <w:rFonts w:eastAsiaTheme="majorEastAsia"/>
          <w:bCs/>
        </w:rPr>
      </w:pPr>
      <w:r w:rsidRPr="00406A9C">
        <w:rPr>
          <w:rFonts w:eastAsiaTheme="majorEastAsia"/>
          <w:bCs/>
        </w:rPr>
        <w:t xml:space="preserve">No mode of action studies </w:t>
      </w:r>
      <w:proofErr w:type="gramStart"/>
      <w:r w:rsidRPr="00406A9C">
        <w:rPr>
          <w:rFonts w:eastAsiaTheme="majorEastAsia"/>
          <w:bCs/>
        </w:rPr>
        <w:t>were</w:t>
      </w:r>
      <w:proofErr w:type="gramEnd"/>
      <w:r w:rsidRPr="00406A9C">
        <w:rPr>
          <w:rFonts w:eastAsiaTheme="majorEastAsia"/>
          <w:bCs/>
        </w:rPr>
        <w:t xml:space="preserve"> submitted. Nevertheless, a</w:t>
      </w:r>
      <w:r w:rsidRPr="00406A9C">
        <w:t xml:space="preserve"> plausible </w:t>
      </w:r>
      <w:r w:rsidR="00754F66">
        <w:t xml:space="preserve">mammalian toxicity </w:t>
      </w:r>
      <w:r w:rsidRPr="00406A9C">
        <w:t xml:space="preserve">mode of action based on fenpropidin’s fungicidal mode of action was proposed, which may explain eye lens cataract and peripheral nerves demyelination observed in </w:t>
      </w:r>
      <w:r w:rsidR="00754F66">
        <w:t xml:space="preserve">laboratory animals exposed to </w:t>
      </w:r>
      <w:r w:rsidRPr="00406A9C">
        <w:t>fenpropidin.</w:t>
      </w:r>
    </w:p>
    <w:p w14:paraId="523588FC" w14:textId="315A7706" w:rsidR="00406A9C" w:rsidRPr="00406A9C" w:rsidRDefault="00406A9C" w:rsidP="00CA1DAE">
      <w:pPr>
        <w:pStyle w:val="APVMAText"/>
        <w:spacing w:line="276" w:lineRule="auto"/>
      </w:pPr>
      <w:r w:rsidRPr="00406A9C">
        <w:t xml:space="preserve">In rats, cataract and demyelination were observed in a single female (~97 mg/kg </w:t>
      </w:r>
      <w:proofErr w:type="spellStart"/>
      <w:r w:rsidRPr="00406A9C">
        <w:t>bw</w:t>
      </w:r>
      <w:proofErr w:type="spellEnd"/>
      <w:r w:rsidRPr="00406A9C">
        <w:t xml:space="preserve">/d), with bilateral cataract and bilateral </w:t>
      </w:r>
      <w:r w:rsidR="00CC274A">
        <w:t>paresis</w:t>
      </w:r>
      <w:r w:rsidRPr="00406A9C">
        <w:t xml:space="preserve"> of the hindlimbs first diagnosed after 56 and 76 days of treatment, respectively. In dogs, demyelination was observed in 3 out of 4 males capsule fed fenpropidin at 20 mg/kg </w:t>
      </w:r>
      <w:proofErr w:type="spellStart"/>
      <w:r w:rsidRPr="00406A9C">
        <w:t>bw</w:t>
      </w:r>
      <w:proofErr w:type="spellEnd"/>
      <w:r w:rsidRPr="00406A9C">
        <w:t xml:space="preserve">/d for 12 months, with hindlimbs paresis diagnosed in one of them after 30 weeks treatment. Bilateral clouding of the eye lenses was observed in </w:t>
      </w:r>
      <w:r w:rsidR="00734315">
        <w:t>one female</w:t>
      </w:r>
      <w:r w:rsidRPr="00406A9C">
        <w:t xml:space="preserve"> capsule fed fenpropidin at 12 mg/kg </w:t>
      </w:r>
      <w:proofErr w:type="spellStart"/>
      <w:r w:rsidRPr="00406A9C">
        <w:t>bw</w:t>
      </w:r>
      <w:proofErr w:type="spellEnd"/>
      <w:r w:rsidRPr="00406A9C">
        <w:t xml:space="preserve">/d </w:t>
      </w:r>
      <w:r w:rsidR="00EF5A6C" w:rsidRPr="00406A9C">
        <w:t>for</w:t>
      </w:r>
      <w:r w:rsidRPr="00406A9C">
        <w:t xml:space="preserve"> 26 weeks, while bilateral cataract was observed in all dogs (four males and four females) capsule fed fenpropidin at 20 mg/kg </w:t>
      </w:r>
      <w:proofErr w:type="spellStart"/>
      <w:r w:rsidRPr="00406A9C">
        <w:t>bw</w:t>
      </w:r>
      <w:proofErr w:type="spellEnd"/>
      <w:r w:rsidRPr="00406A9C">
        <w:t>/d for 12 months.</w:t>
      </w:r>
    </w:p>
    <w:p w14:paraId="464E7256" w14:textId="614B0A61" w:rsidR="0059767D" w:rsidRDefault="00754F66" w:rsidP="00DD03C2">
      <w:pPr>
        <w:pStyle w:val="APVMAText"/>
        <w:rPr>
          <w:rFonts w:eastAsiaTheme="majorEastAsia"/>
        </w:rPr>
      </w:pPr>
      <w:r>
        <w:rPr>
          <w:rFonts w:eastAsiaTheme="majorEastAsia"/>
        </w:rPr>
        <w:t>F</w:t>
      </w:r>
      <w:r w:rsidR="0059767D" w:rsidRPr="008D0EF4">
        <w:rPr>
          <w:rFonts w:eastAsiaTheme="majorEastAsia"/>
        </w:rPr>
        <w:t>enpropidin’s fungicidal mode of action</w:t>
      </w:r>
      <w:r w:rsidR="0059767D">
        <w:rPr>
          <w:rFonts w:eastAsiaTheme="majorEastAsia"/>
        </w:rPr>
        <w:t xml:space="preserve"> is based on disruption of sterols metabolism</w:t>
      </w:r>
      <w:r>
        <w:rPr>
          <w:rFonts w:eastAsiaTheme="majorEastAsia"/>
        </w:rPr>
        <w:t>.</w:t>
      </w:r>
      <w:r w:rsidRPr="00754F66">
        <w:rPr>
          <w:rFonts w:eastAsiaTheme="majorEastAsia"/>
        </w:rPr>
        <w:t xml:space="preserve"> </w:t>
      </w:r>
      <w:r>
        <w:rPr>
          <w:rFonts w:eastAsiaTheme="majorEastAsia"/>
        </w:rPr>
        <w:t xml:space="preserve">Fenpropidin may similarly disrupt </w:t>
      </w:r>
      <w:r w:rsidRPr="00754F66">
        <w:rPr>
          <w:rFonts w:eastAsiaTheme="majorEastAsia"/>
        </w:rPr>
        <w:t>sterols metabolism</w:t>
      </w:r>
      <w:r>
        <w:rPr>
          <w:rFonts w:eastAsiaTheme="majorEastAsia"/>
        </w:rPr>
        <w:t xml:space="preserve"> in eye</w:t>
      </w:r>
      <w:r w:rsidR="000E299F">
        <w:rPr>
          <w:rFonts w:eastAsiaTheme="majorEastAsia"/>
        </w:rPr>
        <w:t xml:space="preserve"> lenses</w:t>
      </w:r>
      <w:r>
        <w:rPr>
          <w:rFonts w:eastAsiaTheme="majorEastAsia"/>
        </w:rPr>
        <w:t xml:space="preserve"> </w:t>
      </w:r>
      <w:r w:rsidRPr="00406A9C">
        <w:rPr>
          <w:rFonts w:eastAsiaTheme="majorEastAsia"/>
        </w:rPr>
        <w:t>and</w:t>
      </w:r>
      <w:r w:rsidRPr="008D0EF4">
        <w:rPr>
          <w:rFonts w:eastAsiaTheme="majorEastAsia"/>
        </w:rPr>
        <w:t xml:space="preserve"> in Schwann cells</w:t>
      </w:r>
      <w:r>
        <w:rPr>
          <w:rFonts w:eastAsiaTheme="majorEastAsia"/>
        </w:rPr>
        <w:t xml:space="preserve">. Such disruptions are known </w:t>
      </w:r>
      <w:r w:rsidRPr="00754F66">
        <w:rPr>
          <w:rFonts w:eastAsiaTheme="majorEastAsia"/>
        </w:rPr>
        <w:t>cause</w:t>
      </w:r>
      <w:r>
        <w:rPr>
          <w:rFonts w:eastAsiaTheme="majorEastAsia"/>
        </w:rPr>
        <w:t xml:space="preserve">s of </w:t>
      </w:r>
      <w:r w:rsidRPr="00754F66">
        <w:rPr>
          <w:rFonts w:eastAsiaTheme="majorEastAsia"/>
        </w:rPr>
        <w:t>cataract</w:t>
      </w:r>
      <w:r>
        <w:rPr>
          <w:rFonts w:eastAsiaTheme="majorEastAsia"/>
        </w:rPr>
        <w:t xml:space="preserve"> and peripheral nerves </w:t>
      </w:r>
      <w:r w:rsidRPr="008D0EF4">
        <w:rPr>
          <w:rFonts w:eastAsiaTheme="majorEastAsia"/>
        </w:rPr>
        <w:t>demyelination</w:t>
      </w:r>
      <w:r w:rsidR="00E7271B">
        <w:rPr>
          <w:rFonts w:eastAsiaTheme="majorEastAsia"/>
        </w:rPr>
        <w:t xml:space="preserve"> in mammals</w:t>
      </w:r>
      <w:r>
        <w:rPr>
          <w:rFonts w:eastAsiaTheme="majorEastAsia"/>
        </w:rPr>
        <w:t xml:space="preserve">. </w:t>
      </w:r>
      <w:r w:rsidR="0059767D">
        <w:rPr>
          <w:rFonts w:eastAsiaTheme="majorEastAsia"/>
        </w:rPr>
        <w:t>Further</w:t>
      </w:r>
      <w:r>
        <w:rPr>
          <w:rFonts w:eastAsiaTheme="majorEastAsia"/>
        </w:rPr>
        <w:t>more,</w:t>
      </w:r>
      <w:r w:rsidR="0059767D">
        <w:rPr>
          <w:rFonts w:eastAsiaTheme="majorEastAsia"/>
        </w:rPr>
        <w:t xml:space="preserve"> cataractous effects have also been reported following prolonged high dose exposure to other compounds (</w:t>
      </w:r>
      <w:r w:rsidR="00792913" w:rsidRPr="00C73889">
        <w:rPr>
          <w:rFonts w:eastAsiaTheme="majorEastAsia"/>
        </w:rPr>
        <w:t>e.g.</w:t>
      </w:r>
      <w:r w:rsidR="0059767D" w:rsidRPr="00802F1D">
        <w:rPr>
          <w:rFonts w:eastAsiaTheme="majorEastAsia"/>
          <w:i/>
          <w:iCs/>
        </w:rPr>
        <w:t xml:space="preserve"> </w:t>
      </w:r>
      <w:r w:rsidR="0059767D">
        <w:rPr>
          <w:rFonts w:eastAsiaTheme="majorEastAsia"/>
        </w:rPr>
        <w:t>dife</w:t>
      </w:r>
      <w:r w:rsidR="000E299F">
        <w:rPr>
          <w:rFonts w:eastAsiaTheme="majorEastAsia"/>
        </w:rPr>
        <w:t>no</w:t>
      </w:r>
      <w:r w:rsidR="0059767D">
        <w:rPr>
          <w:rFonts w:eastAsiaTheme="majorEastAsia"/>
        </w:rPr>
        <w:t xml:space="preserve">conazole, </w:t>
      </w:r>
      <w:r w:rsidR="0059767D">
        <w:rPr>
          <w:iCs/>
        </w:rPr>
        <w:t>s</w:t>
      </w:r>
      <w:r w:rsidR="0059767D" w:rsidRPr="00C04A27">
        <w:rPr>
          <w:iCs/>
        </w:rPr>
        <w:t>piroxamine</w:t>
      </w:r>
      <w:r w:rsidR="0059767D">
        <w:rPr>
          <w:rFonts w:eastAsiaTheme="majorEastAsia"/>
        </w:rPr>
        <w:t xml:space="preserve">) which fungicidal mode of action </w:t>
      </w:r>
      <w:r>
        <w:rPr>
          <w:rFonts w:eastAsiaTheme="majorEastAsia"/>
        </w:rPr>
        <w:t xml:space="preserve">also </w:t>
      </w:r>
      <w:r w:rsidR="0059767D">
        <w:rPr>
          <w:rFonts w:eastAsiaTheme="majorEastAsia"/>
        </w:rPr>
        <w:t xml:space="preserve">consists in disruption </w:t>
      </w:r>
      <w:r>
        <w:rPr>
          <w:rFonts w:eastAsiaTheme="majorEastAsia"/>
        </w:rPr>
        <w:t xml:space="preserve">of </w:t>
      </w:r>
      <w:r w:rsidR="0059767D">
        <w:rPr>
          <w:rFonts w:eastAsiaTheme="majorEastAsia"/>
        </w:rPr>
        <w:t>sterols metabolism.</w:t>
      </w:r>
    </w:p>
    <w:p w14:paraId="4DDDF210" w14:textId="17561E43" w:rsidR="0059767D" w:rsidRDefault="00406A9C" w:rsidP="00CA1DAE">
      <w:pPr>
        <w:pStyle w:val="APVMAText"/>
        <w:spacing w:line="276" w:lineRule="auto"/>
      </w:pPr>
      <w:r>
        <w:t>Health</w:t>
      </w:r>
      <w:r w:rsidR="006316A3">
        <w:t>-</w:t>
      </w:r>
      <w:r>
        <w:t>based guidance values for fenpropidin are protective of peripheral nerves demyelination and eye lenses effects (clouding and cataract).</w:t>
      </w:r>
    </w:p>
    <w:p w14:paraId="506099B9" w14:textId="77777777" w:rsidR="008C0089" w:rsidRDefault="008C0089" w:rsidP="008C0089">
      <w:pPr>
        <w:pStyle w:val="Heading3"/>
      </w:pPr>
      <w:bookmarkStart w:id="77" w:name="_Toc7561239"/>
      <w:r>
        <w:t>Toxicity of metabolites and/or impurities</w:t>
      </w:r>
      <w:bookmarkEnd w:id="77"/>
    </w:p>
    <w:p w14:paraId="482816BB" w14:textId="77777777" w:rsidR="00DD03C2" w:rsidRDefault="00F469F6" w:rsidP="00DD03C2">
      <w:pPr>
        <w:pStyle w:val="Heading4"/>
      </w:pPr>
      <w:r w:rsidRPr="0059767D">
        <w:t>Im</w:t>
      </w:r>
      <w:r>
        <w:t>purities</w:t>
      </w:r>
    </w:p>
    <w:p w14:paraId="45DF3808" w14:textId="3F33FAC4" w:rsidR="00476479" w:rsidRDefault="00F469F6" w:rsidP="00476479">
      <w:pPr>
        <w:pStyle w:val="APVMAText"/>
      </w:pPr>
      <w:r w:rsidRPr="00F469F6">
        <w:t xml:space="preserve">The technical grade active constituent proposed for use in Australia is ≥ 98% pure </w:t>
      </w:r>
      <w:r>
        <w:t xml:space="preserve">and contains no </w:t>
      </w:r>
      <w:r w:rsidR="00476479" w:rsidRPr="00CB310D">
        <w:t>impurities of toxicological concern.</w:t>
      </w:r>
    </w:p>
    <w:p w14:paraId="2EB3DD9A" w14:textId="77777777" w:rsidR="00DD03C2" w:rsidRDefault="00F469F6" w:rsidP="00DD03C2">
      <w:pPr>
        <w:pStyle w:val="Heading4"/>
      </w:pPr>
      <w:r>
        <w:lastRenderedPageBreak/>
        <w:t>Metabolites</w:t>
      </w:r>
    </w:p>
    <w:p w14:paraId="1113249A" w14:textId="32D84AA1" w:rsidR="003D2122" w:rsidRDefault="003D2122" w:rsidP="003D2122">
      <w:pPr>
        <w:pStyle w:val="APVMAText"/>
      </w:pPr>
      <w:r>
        <w:t>Absorption, distribution, metabolism, and elimination of fenpropidin radiolabels, and therefore of fenpropidin metabolites, were documented in rats, lactating goats</w:t>
      </w:r>
      <w:r w:rsidR="006316A3">
        <w:t>,</w:t>
      </w:r>
      <w:r>
        <w:t xml:space="preserve"> and poultry, following single or repeated oral administration. An adequate package of fenpropidin toxicity studies conducted on laboratory animals has been assessed where the effects associated with treatment are attributable to fenpropidin and/or its metabolites. Besides, a limited range of </w:t>
      </w:r>
      <w:r w:rsidRPr="003D2122">
        <w:rPr>
          <w:i/>
          <w:iCs/>
        </w:rPr>
        <w:t>in vitro</w:t>
      </w:r>
      <w:r w:rsidRPr="003D2122">
        <w:t xml:space="preserve"> genotoxicity studies conducted with CGA289267, </w:t>
      </w:r>
      <w:r>
        <w:t>the main fenpropidin metabolite identified in rats, goats and hens, indicated no potential for genotoxicity. Overall, the toxicity of fenpropidin metabolites and/or</w:t>
      </w:r>
      <w:r w:rsidR="00743AFF">
        <w:t xml:space="preserve"> it</w:t>
      </w:r>
      <w:r w:rsidR="00743AFF" w:rsidRPr="00734315">
        <w:t>s</w:t>
      </w:r>
      <w:r w:rsidRPr="00734315">
        <w:t xml:space="preserve"> </w:t>
      </w:r>
      <w:proofErr w:type="spellStart"/>
      <w:r w:rsidRPr="00EF5A6C">
        <w:t>degradates</w:t>
      </w:r>
      <w:proofErr w:type="spellEnd"/>
      <w:r>
        <w:t xml:space="preserve"> raised no additional concerns to the toxicological evaluation of fenpropidin.</w:t>
      </w:r>
    </w:p>
    <w:p w14:paraId="1273C5A5" w14:textId="3652750A" w:rsidR="008C0089" w:rsidRDefault="008C0089" w:rsidP="008C0089">
      <w:pPr>
        <w:pStyle w:val="Heading3"/>
      </w:pPr>
      <w:bookmarkStart w:id="78" w:name="_Toc7561240"/>
      <w:r w:rsidRPr="0059767D">
        <w:t>Reports related to human toxicity</w:t>
      </w:r>
      <w:bookmarkEnd w:id="78"/>
    </w:p>
    <w:p w14:paraId="70759038" w14:textId="470C5ADA" w:rsidR="00CB310D" w:rsidRPr="00EF5A6C" w:rsidRDefault="00CB310D" w:rsidP="0059767D">
      <w:pPr>
        <w:pStyle w:val="NormalText"/>
        <w:rPr>
          <w:sz w:val="20"/>
          <w:szCs w:val="20"/>
        </w:rPr>
      </w:pPr>
      <w:r w:rsidRPr="00EF5A6C">
        <w:rPr>
          <w:sz w:val="20"/>
          <w:szCs w:val="20"/>
        </w:rPr>
        <w:t>The applicant indicated that fenpropidin has “registered uses worldwide (including in grapes in Switzerland) for foliar use in broadacre and horticultural crops”</w:t>
      </w:r>
      <w:r w:rsidR="00734315">
        <w:rPr>
          <w:sz w:val="20"/>
          <w:szCs w:val="20"/>
        </w:rPr>
        <w:t>.</w:t>
      </w:r>
      <w:r w:rsidRPr="00EF5A6C">
        <w:rPr>
          <w:sz w:val="20"/>
          <w:szCs w:val="20"/>
        </w:rPr>
        <w:t xml:space="preserve"> </w:t>
      </w:r>
      <w:r w:rsidR="00734315">
        <w:rPr>
          <w:sz w:val="20"/>
          <w:szCs w:val="20"/>
        </w:rPr>
        <w:t>N</w:t>
      </w:r>
      <w:r w:rsidRPr="00EF5A6C">
        <w:rPr>
          <w:sz w:val="20"/>
          <w:szCs w:val="20"/>
        </w:rPr>
        <w:t>o reports of poisoning or adverse human health effects related to handling of fenpropidin</w:t>
      </w:r>
      <w:r w:rsidR="00734315">
        <w:rPr>
          <w:sz w:val="20"/>
          <w:szCs w:val="20"/>
        </w:rPr>
        <w:t xml:space="preserve"> or </w:t>
      </w:r>
      <w:r w:rsidR="00C563CE">
        <w:rPr>
          <w:sz w:val="20"/>
          <w:szCs w:val="20"/>
        </w:rPr>
        <w:t>SEEKER Duo</w:t>
      </w:r>
      <w:r w:rsidRPr="00EF5A6C">
        <w:rPr>
          <w:sz w:val="20"/>
          <w:szCs w:val="20"/>
        </w:rPr>
        <w:t xml:space="preserve"> Fungicide; or consumption of crops treated with fenpropidin/ </w:t>
      </w:r>
      <w:r w:rsidR="00C563CE">
        <w:rPr>
          <w:sz w:val="20"/>
          <w:szCs w:val="20"/>
        </w:rPr>
        <w:t>SEEKER Duo</w:t>
      </w:r>
      <w:r w:rsidRPr="00EF5A6C">
        <w:rPr>
          <w:sz w:val="20"/>
          <w:szCs w:val="20"/>
        </w:rPr>
        <w:t xml:space="preserve"> Fungicide</w:t>
      </w:r>
      <w:r w:rsidR="00734315">
        <w:rPr>
          <w:sz w:val="20"/>
          <w:szCs w:val="20"/>
        </w:rPr>
        <w:t xml:space="preserve"> </w:t>
      </w:r>
      <w:r w:rsidR="00C563CE">
        <w:rPr>
          <w:sz w:val="20"/>
          <w:szCs w:val="20"/>
        </w:rPr>
        <w:t>were provided</w:t>
      </w:r>
      <w:r w:rsidRPr="00EF5A6C">
        <w:rPr>
          <w:sz w:val="20"/>
          <w:szCs w:val="20"/>
        </w:rPr>
        <w:t>. Literature searches conducted by APVMA returned no references relevant to potential allergy, hypersensitivity</w:t>
      </w:r>
      <w:r w:rsidR="006316A3">
        <w:rPr>
          <w:sz w:val="20"/>
          <w:szCs w:val="20"/>
        </w:rPr>
        <w:t>,</w:t>
      </w:r>
      <w:r w:rsidRPr="00EF5A6C">
        <w:rPr>
          <w:sz w:val="20"/>
          <w:szCs w:val="20"/>
        </w:rPr>
        <w:t xml:space="preserve"> or asthma effects in humans.</w:t>
      </w:r>
    </w:p>
    <w:p w14:paraId="66C25604" w14:textId="77777777" w:rsidR="008C0089" w:rsidRDefault="008C0089" w:rsidP="008C0089">
      <w:pPr>
        <w:pStyle w:val="Heading2"/>
        <w:ind w:left="907" w:hanging="907"/>
      </w:pPr>
      <w:bookmarkStart w:id="79" w:name="_Toc531181077"/>
      <w:bookmarkStart w:id="80" w:name="_Toc7561244"/>
      <w:bookmarkStart w:id="81" w:name="_Toc137198159"/>
      <w:r>
        <w:t>Health-based guidance values and poisons scheduling</w:t>
      </w:r>
      <w:bookmarkEnd w:id="79"/>
      <w:bookmarkEnd w:id="80"/>
      <w:bookmarkEnd w:id="81"/>
    </w:p>
    <w:p w14:paraId="729B8271" w14:textId="77777777" w:rsidR="00FD5811" w:rsidRDefault="00CA5B2B" w:rsidP="00FD5811">
      <w:pPr>
        <w:pStyle w:val="Heading3"/>
      </w:pPr>
      <w:bookmarkStart w:id="82" w:name="_Toc7561245"/>
      <w:r>
        <w:t>Poisons S</w:t>
      </w:r>
      <w:r w:rsidR="008C0089">
        <w:t>tandard</w:t>
      </w:r>
      <w:bookmarkStart w:id="83" w:name="_Toc7561246"/>
      <w:bookmarkEnd w:id="82"/>
    </w:p>
    <w:p w14:paraId="3E9765B7" w14:textId="0D337820" w:rsidR="00FD5811" w:rsidRPr="00FD5811" w:rsidRDefault="00BC5D00" w:rsidP="00FD5811">
      <w:pPr>
        <w:pStyle w:val="APVMAText"/>
      </w:pPr>
      <w:r>
        <w:t xml:space="preserve">Fenpropidin is included </w:t>
      </w:r>
      <w:r w:rsidR="00FD5811" w:rsidRPr="00FD5811">
        <w:t xml:space="preserve">in Schedule 6 of the </w:t>
      </w:r>
      <w:r w:rsidR="000E299F" w:rsidRPr="00FD5811">
        <w:t xml:space="preserve">Standard for the </w:t>
      </w:r>
      <w:r w:rsidR="00734315">
        <w:t>Poisons Standard</w:t>
      </w:r>
      <w:r w:rsidR="00FD5811" w:rsidRPr="00FD5811">
        <w:t xml:space="preserve"> with no exemptions.</w:t>
      </w:r>
    </w:p>
    <w:p w14:paraId="260ADD5A" w14:textId="4B0C95D2" w:rsidR="008C0089" w:rsidRDefault="008C0089" w:rsidP="00FD5811">
      <w:pPr>
        <w:pStyle w:val="Heading3"/>
      </w:pPr>
      <w:r>
        <w:t>Health-based guidance values</w:t>
      </w:r>
      <w:bookmarkEnd w:id="83"/>
    </w:p>
    <w:p w14:paraId="37154767" w14:textId="2299C8AF" w:rsidR="00FD5811" w:rsidRPr="00147F78" w:rsidRDefault="00FD5811" w:rsidP="00FD5811">
      <w:pPr>
        <w:pStyle w:val="NormalText"/>
        <w:rPr>
          <w:sz w:val="20"/>
          <w:szCs w:val="20"/>
        </w:rPr>
      </w:pPr>
      <w:r w:rsidRPr="00147F78">
        <w:rPr>
          <w:sz w:val="20"/>
          <w:szCs w:val="20"/>
        </w:rPr>
        <w:t xml:space="preserve">Australian </w:t>
      </w:r>
      <w:r w:rsidR="00DD03C2">
        <w:rPr>
          <w:rFonts w:cs="Times New Roman"/>
        </w:rPr>
        <w:t xml:space="preserve">Acceptable Daily Intake (ADI) </w:t>
      </w:r>
      <w:r w:rsidRPr="00147F78">
        <w:rPr>
          <w:sz w:val="20"/>
          <w:szCs w:val="20"/>
        </w:rPr>
        <w:t xml:space="preserve">and </w:t>
      </w:r>
      <w:r w:rsidR="00DD03C2" w:rsidRPr="00EA3B21">
        <w:rPr>
          <w:rFonts w:cs="Times New Roman"/>
        </w:rPr>
        <w:t>Acute Reference Dose (</w:t>
      </w:r>
      <w:proofErr w:type="spellStart"/>
      <w:r w:rsidR="00DD03C2" w:rsidRPr="00EA3B21">
        <w:rPr>
          <w:rFonts w:cs="Times New Roman"/>
        </w:rPr>
        <w:t>ARfD</w:t>
      </w:r>
      <w:proofErr w:type="spellEnd"/>
      <w:r w:rsidR="00DD03C2" w:rsidRPr="00EA3B21">
        <w:rPr>
          <w:rFonts w:cs="Times New Roman"/>
        </w:rPr>
        <w:t>)</w:t>
      </w:r>
      <w:r w:rsidRPr="00147F78">
        <w:rPr>
          <w:sz w:val="20"/>
          <w:szCs w:val="20"/>
        </w:rPr>
        <w:t xml:space="preserve"> for fenpropidin were established based on systemic toxicological effects assessed in APVMA’s human health risk assessment technical report conducted following Syngenta Australia Pty </w:t>
      </w:r>
      <w:r w:rsidR="00DD03C2" w:rsidRPr="00147F78">
        <w:rPr>
          <w:sz w:val="20"/>
          <w:szCs w:val="20"/>
        </w:rPr>
        <w:t>Ltd</w:t>
      </w:r>
      <w:r w:rsidR="00DD03C2">
        <w:rPr>
          <w:sz w:val="20"/>
          <w:szCs w:val="20"/>
        </w:rPr>
        <w:t>.’s</w:t>
      </w:r>
      <w:r w:rsidRPr="00147F78">
        <w:rPr>
          <w:sz w:val="20"/>
          <w:szCs w:val="20"/>
        </w:rPr>
        <w:t xml:space="preserve"> application for approval of the new technical grade active constituent fenpropidin</w:t>
      </w:r>
      <w:r w:rsidR="00734315">
        <w:rPr>
          <w:sz w:val="20"/>
          <w:szCs w:val="20"/>
        </w:rPr>
        <w:t>,</w:t>
      </w:r>
      <w:r w:rsidRPr="00147F78">
        <w:rPr>
          <w:sz w:val="20"/>
          <w:szCs w:val="20"/>
        </w:rPr>
        <w:t xml:space="preserve"> and registration of the associated product </w:t>
      </w:r>
      <w:r w:rsidR="00C563CE">
        <w:rPr>
          <w:sz w:val="20"/>
          <w:szCs w:val="20"/>
        </w:rPr>
        <w:t>SEEKER Duo</w:t>
      </w:r>
      <w:r w:rsidRPr="00147F78">
        <w:rPr>
          <w:sz w:val="20"/>
          <w:szCs w:val="20"/>
        </w:rPr>
        <w:t xml:space="preserve"> Fungicide.</w:t>
      </w:r>
    </w:p>
    <w:p w14:paraId="09DA9D97" w14:textId="73F08FF7" w:rsidR="008C0089" w:rsidRDefault="008C0089" w:rsidP="008C0089">
      <w:pPr>
        <w:pStyle w:val="Heading4"/>
      </w:pPr>
      <w:r>
        <w:t xml:space="preserve">Acceptable </w:t>
      </w:r>
      <w:r w:rsidR="007F6D92">
        <w:t>daily intake</w:t>
      </w:r>
    </w:p>
    <w:p w14:paraId="3986547D" w14:textId="2EE01631" w:rsidR="00DE30AB" w:rsidRPr="00DD03C2" w:rsidRDefault="00DE30AB" w:rsidP="00DD03C2">
      <w:pPr>
        <w:pStyle w:val="APVMAText"/>
      </w:pPr>
      <w:r w:rsidRPr="00DD03C2">
        <w:t xml:space="preserve">An ADI for fenpropidin was established at 0.023 mg/kg </w:t>
      </w:r>
      <w:proofErr w:type="spellStart"/>
      <w:r w:rsidRPr="00DD03C2">
        <w:t>bw</w:t>
      </w:r>
      <w:proofErr w:type="spellEnd"/>
      <w:r w:rsidRPr="00DD03C2">
        <w:t xml:space="preserve">/d, based on the NOAEL of 2.3 mg/kg </w:t>
      </w:r>
      <w:proofErr w:type="spellStart"/>
      <w:r w:rsidRPr="00DD03C2">
        <w:t>bw</w:t>
      </w:r>
      <w:proofErr w:type="spellEnd"/>
      <w:r w:rsidRPr="00DD03C2">
        <w:t xml:space="preserve">/d due to decreased body weight parameters and hepatotoxicity in females at the next highest dose of 11.8 mg/kg </w:t>
      </w:r>
      <w:proofErr w:type="spellStart"/>
      <w:r w:rsidRPr="00DD03C2">
        <w:t>bw</w:t>
      </w:r>
      <w:proofErr w:type="spellEnd"/>
      <w:r w:rsidRPr="00DD03C2">
        <w:t xml:space="preserve">/d (LOAEL) in a chronic, near </w:t>
      </w:r>
      <w:r w:rsidR="00EF5A6C" w:rsidRPr="00DD03C2">
        <w:t>lifetime</w:t>
      </w:r>
      <w:r w:rsidRPr="00DD03C2">
        <w:t xml:space="preserve"> repeat daily oral dosing study in rats.</w:t>
      </w:r>
    </w:p>
    <w:p w14:paraId="7B543348" w14:textId="4D0D0055" w:rsidR="008C0089" w:rsidRDefault="008C0089" w:rsidP="008C0089">
      <w:pPr>
        <w:pStyle w:val="Heading4"/>
      </w:pPr>
      <w:r>
        <w:t xml:space="preserve">Acute </w:t>
      </w:r>
      <w:r w:rsidR="007F6D92">
        <w:t>reference dose</w:t>
      </w:r>
    </w:p>
    <w:p w14:paraId="27D035B5" w14:textId="16DCD10C" w:rsidR="00DE30AB" w:rsidRPr="00DD03C2" w:rsidRDefault="00DE30AB" w:rsidP="00DD03C2">
      <w:pPr>
        <w:pStyle w:val="APVMAText"/>
      </w:pPr>
      <w:r w:rsidRPr="00DD03C2">
        <w:t xml:space="preserve">An </w:t>
      </w:r>
      <w:proofErr w:type="spellStart"/>
      <w:r w:rsidRPr="00DD03C2">
        <w:t>ARfD</w:t>
      </w:r>
      <w:proofErr w:type="spellEnd"/>
      <w:r w:rsidRPr="00DD03C2">
        <w:t xml:space="preserve"> for fenpropidin was established at 0.0</w:t>
      </w:r>
      <w:r w:rsidR="00734315" w:rsidRPr="00DD03C2">
        <w:t>7</w:t>
      </w:r>
      <w:r w:rsidRPr="00DD03C2">
        <w:t xml:space="preserve"> mg/kg </w:t>
      </w:r>
      <w:proofErr w:type="spellStart"/>
      <w:r w:rsidRPr="00DD03C2">
        <w:t>bw</w:t>
      </w:r>
      <w:proofErr w:type="spellEnd"/>
      <w:r w:rsidRPr="00DD03C2">
        <w:t xml:space="preserve">, based on a NOAEL of 7 mg/kg </w:t>
      </w:r>
      <w:proofErr w:type="spellStart"/>
      <w:r w:rsidRPr="00DD03C2">
        <w:t>bw</w:t>
      </w:r>
      <w:proofErr w:type="spellEnd"/>
      <w:r w:rsidR="00734315" w:rsidRPr="00DD03C2">
        <w:t>/d</w:t>
      </w:r>
      <w:r w:rsidRPr="00DD03C2">
        <w:t xml:space="preserve"> due to decreased female brain weight on PND72 at the next highest dose of 27 mg/kg </w:t>
      </w:r>
      <w:proofErr w:type="spellStart"/>
      <w:r w:rsidRPr="00DD03C2">
        <w:t>bw</w:t>
      </w:r>
      <w:proofErr w:type="spellEnd"/>
      <w:r w:rsidRPr="00DD03C2">
        <w:t xml:space="preserve">/d (LOAEL) in the rat developmental neurotoxicity study. This is supported by a NOAEL of 10 mg/kg </w:t>
      </w:r>
      <w:proofErr w:type="spellStart"/>
      <w:r w:rsidRPr="00DD03C2">
        <w:t>bw</w:t>
      </w:r>
      <w:proofErr w:type="spellEnd"/>
      <w:r w:rsidRPr="00DD03C2">
        <w:t xml:space="preserve">/d in a rabbit prenatal developmental toxicity study due to the occurrence of decreased male body weight and increased foetal (litter) incidence of malformations (persistent truncus arteriosus, severely </w:t>
      </w:r>
      <w:proofErr w:type="spellStart"/>
      <w:r w:rsidRPr="00DD03C2">
        <w:t>malaligned</w:t>
      </w:r>
      <w:proofErr w:type="spellEnd"/>
      <w:r w:rsidRPr="00DD03C2">
        <w:t xml:space="preserve"> </w:t>
      </w:r>
      <w:proofErr w:type="spellStart"/>
      <w:r w:rsidRPr="00DD03C2">
        <w:t>sternebrae</w:t>
      </w:r>
      <w:proofErr w:type="spellEnd"/>
      <w:r w:rsidRPr="00DD03C2">
        <w:t xml:space="preserve">) in the presence of substantial </w:t>
      </w:r>
      <w:proofErr w:type="spellStart"/>
      <w:r w:rsidRPr="00DD03C2">
        <w:t>maternotoxicity</w:t>
      </w:r>
      <w:proofErr w:type="spellEnd"/>
      <w:r w:rsidRPr="00DD03C2">
        <w:t xml:space="preserve"> at the next highest dose (LOAEL) of 20 mg/kg </w:t>
      </w:r>
      <w:proofErr w:type="spellStart"/>
      <w:r w:rsidRPr="00DD03C2">
        <w:t>bw</w:t>
      </w:r>
      <w:proofErr w:type="spellEnd"/>
      <w:r w:rsidRPr="00DD03C2">
        <w:t>/d).</w:t>
      </w:r>
    </w:p>
    <w:p w14:paraId="01429F15" w14:textId="77777777" w:rsidR="008C0089" w:rsidRDefault="008C0089" w:rsidP="00CA5B2B">
      <w:pPr>
        <w:pStyle w:val="Heading2"/>
        <w:ind w:left="907" w:hanging="907"/>
      </w:pPr>
      <w:bookmarkStart w:id="84" w:name="_Toc531181078"/>
      <w:bookmarkStart w:id="85" w:name="_Toc7561247"/>
      <w:bookmarkStart w:id="86" w:name="_Toc137198160"/>
      <w:r>
        <w:lastRenderedPageBreak/>
        <w:t>Recommendations</w:t>
      </w:r>
      <w:bookmarkEnd w:id="84"/>
      <w:bookmarkEnd w:id="85"/>
      <w:bookmarkEnd w:id="86"/>
    </w:p>
    <w:p w14:paraId="4D067BD6" w14:textId="2EDF3EF7" w:rsidR="00FD5811" w:rsidRDefault="00FD5811" w:rsidP="00FD5811">
      <w:pPr>
        <w:pStyle w:val="APVMAText"/>
      </w:pPr>
      <w:r>
        <w:t xml:space="preserve">There are no objections on human health grounds to the approval of </w:t>
      </w:r>
      <w:r w:rsidR="00DE30AB">
        <w:t xml:space="preserve">the new TGAC, </w:t>
      </w:r>
      <w:r>
        <w:t>fenpropidin</w:t>
      </w:r>
      <w:r w:rsidR="00DE30AB">
        <w:t xml:space="preserve">. </w:t>
      </w:r>
    </w:p>
    <w:p w14:paraId="67AB3702" w14:textId="0BF82C67" w:rsidR="00FD5811" w:rsidRPr="00FD5811" w:rsidRDefault="00FD5811" w:rsidP="00FD5811">
      <w:pPr>
        <w:pStyle w:val="APVMAText"/>
        <w:sectPr w:rsidR="00FD5811" w:rsidRPr="00FD5811">
          <w:headerReference w:type="even" r:id="rId35"/>
          <w:headerReference w:type="default" r:id="rId36"/>
          <w:pgSz w:w="11906" w:h="16838" w:code="9"/>
          <w:pgMar w:top="2835" w:right="1134" w:bottom="1134" w:left="1134" w:header="1701" w:footer="680" w:gutter="0"/>
          <w:cols w:space="708"/>
          <w:docGrid w:linePitch="360"/>
        </w:sectPr>
      </w:pPr>
      <w:r>
        <w:t xml:space="preserve">There are no objections on human health grounds to the registration of the product </w:t>
      </w:r>
      <w:r w:rsidR="00C563CE">
        <w:t>SEEKER Duo</w:t>
      </w:r>
      <w:r>
        <w:t xml:space="preserve"> Fungicide, containing 375 g/L fenpropidin and 100 g/L difenoconazole when used in accordance with the directions for use (DFU) and adhering to the recommended label statements.</w:t>
      </w:r>
    </w:p>
    <w:p w14:paraId="2E6A3C65" w14:textId="77777777" w:rsidR="00302D38" w:rsidRDefault="00302D38" w:rsidP="00302D38">
      <w:pPr>
        <w:pStyle w:val="Heading1"/>
        <w:tabs>
          <w:tab w:val="num" w:pos="907"/>
        </w:tabs>
        <w:ind w:left="907" w:hanging="907"/>
        <w:rPr>
          <w:lang w:val="en-GB"/>
        </w:rPr>
      </w:pPr>
      <w:bookmarkStart w:id="87" w:name="_Toc231963188"/>
      <w:bookmarkStart w:id="88" w:name="_Toc531181079"/>
      <w:bookmarkStart w:id="89" w:name="_Toc7561248"/>
      <w:bookmarkStart w:id="90" w:name="_Toc137198161"/>
      <w:r>
        <w:rPr>
          <w:lang w:val="en-GB"/>
        </w:rPr>
        <w:lastRenderedPageBreak/>
        <w:t>Residues assessment</w:t>
      </w:r>
      <w:bookmarkEnd w:id="87"/>
      <w:bookmarkEnd w:id="88"/>
      <w:bookmarkEnd w:id="89"/>
      <w:bookmarkEnd w:id="90"/>
    </w:p>
    <w:p w14:paraId="2AC760D1" w14:textId="52C211B0" w:rsidR="00032B82" w:rsidRPr="00C563CE" w:rsidRDefault="00032B82" w:rsidP="00032B82">
      <w:pPr>
        <w:pStyle w:val="InstructionalText"/>
        <w:rPr>
          <w:color w:val="auto"/>
          <w:sz w:val="20"/>
          <w:szCs w:val="20"/>
        </w:rPr>
      </w:pPr>
      <w:r w:rsidRPr="00C563CE">
        <w:rPr>
          <w:color w:val="auto"/>
          <w:sz w:val="20"/>
          <w:szCs w:val="20"/>
        </w:rPr>
        <w:t>The proposed use of difenoconazole in grapes in this application represents a lower dilute or concentrate spraying concentration with less applications at an earlier application timing compared to the currently approved use patterns in grapes.</w:t>
      </w:r>
    </w:p>
    <w:p w14:paraId="3C0A81E0" w14:textId="49BB1FFF" w:rsidR="00302D38" w:rsidRPr="00C563CE" w:rsidRDefault="00032B82" w:rsidP="00032B82">
      <w:pPr>
        <w:pStyle w:val="InstructionalText"/>
        <w:rPr>
          <w:color w:val="auto"/>
          <w:sz w:val="20"/>
          <w:szCs w:val="20"/>
          <w:lang w:val="en-GB"/>
        </w:rPr>
      </w:pPr>
      <w:r w:rsidRPr="00C563CE">
        <w:rPr>
          <w:color w:val="auto"/>
          <w:sz w:val="20"/>
          <w:szCs w:val="20"/>
        </w:rPr>
        <w:t>As part of the residues assessment of the new active constituent fenpropidin, plant and target animal metabolism studies, supervised residue trial data for grapes, analytical methodology, fate in storage and processing data, and residues in trade information were considered.</w:t>
      </w:r>
    </w:p>
    <w:p w14:paraId="7A255074" w14:textId="77777777" w:rsidR="00302D38" w:rsidRDefault="00302D38" w:rsidP="00302D38">
      <w:pPr>
        <w:pStyle w:val="Heading2"/>
        <w:ind w:left="907" w:hanging="907"/>
        <w:rPr>
          <w:lang w:val="en-GB"/>
        </w:rPr>
      </w:pPr>
      <w:bookmarkStart w:id="91" w:name="_Toc531181080"/>
      <w:bookmarkStart w:id="92" w:name="_Toc7561249"/>
      <w:bookmarkStart w:id="93" w:name="_Toc137198162"/>
      <w:r>
        <w:rPr>
          <w:lang w:val="en-GB"/>
        </w:rPr>
        <w:t>Metabolism</w:t>
      </w:r>
      <w:bookmarkEnd w:id="91"/>
      <w:bookmarkEnd w:id="92"/>
      <w:bookmarkEnd w:id="93"/>
    </w:p>
    <w:p w14:paraId="048C696E" w14:textId="326BD6EF" w:rsidR="00302D38" w:rsidRDefault="00032B82" w:rsidP="00302D38">
      <w:pPr>
        <w:pStyle w:val="APVMAText"/>
      </w:pPr>
      <w:r>
        <w:t>The metabolism of fenpropidin was investigated in fruits (bananas and grapes), root and tuber vegetables (sugar beets) and cereals (</w:t>
      </w:r>
      <w:r w:rsidR="00BD2FCF">
        <w:t xml:space="preserve">spring and summer </w:t>
      </w:r>
      <w:r>
        <w:t>wheat). No confined rotational studies were provided which is considered acceptable</w:t>
      </w:r>
      <w:r w:rsidR="008471A3">
        <w:t xml:space="preserve"> for the current application</w:t>
      </w:r>
      <w:r>
        <w:t xml:space="preserve"> given that grapes are not considered a rotational crop. For target animals, metabolism studies</w:t>
      </w:r>
      <w:r w:rsidRPr="00032B82">
        <w:rPr>
          <w:rFonts w:cs="Times New Roman"/>
        </w:rPr>
        <w:t xml:space="preserve"> </w:t>
      </w:r>
      <w:r w:rsidRPr="00032B82">
        <w:t>were conducted with lactating goats and laying hens</w:t>
      </w:r>
      <w:r>
        <w:t>.</w:t>
      </w:r>
    </w:p>
    <w:p w14:paraId="6AEA3F98" w14:textId="5C5DB4E5" w:rsidR="00BD2FCF" w:rsidRDefault="00BD2FCF" w:rsidP="00BD2FCF">
      <w:pPr>
        <w:pStyle w:val="Heading3"/>
        <w:rPr>
          <w:lang w:val="en-GB"/>
        </w:rPr>
      </w:pPr>
      <w:bookmarkStart w:id="94" w:name="_Hlk135816815"/>
      <w:r>
        <w:rPr>
          <w:lang w:val="en-GB"/>
        </w:rPr>
        <w:t>Plants</w:t>
      </w:r>
    </w:p>
    <w:bookmarkEnd w:id="94"/>
    <w:p w14:paraId="7D30DEBE" w14:textId="42DD9345" w:rsidR="00BD2FCF" w:rsidRPr="00C563CE" w:rsidRDefault="00BD2FCF" w:rsidP="00BD2FCF">
      <w:pPr>
        <w:pStyle w:val="NormalText"/>
        <w:rPr>
          <w:sz w:val="20"/>
          <w:szCs w:val="20"/>
          <w:lang w:val="en-GB"/>
        </w:rPr>
      </w:pPr>
      <w:r w:rsidRPr="00C563CE">
        <w:rPr>
          <w:sz w:val="20"/>
          <w:szCs w:val="20"/>
          <w:lang w:val="en-GB"/>
        </w:rPr>
        <w:t xml:space="preserve">The plant metabolism studies </w:t>
      </w:r>
      <w:r w:rsidRPr="00C563CE">
        <w:rPr>
          <w:sz w:val="20"/>
          <w:szCs w:val="20"/>
        </w:rPr>
        <w:t xml:space="preserve">involved foliar applications of </w:t>
      </w:r>
      <w:r w:rsidRPr="00C563CE">
        <w:rPr>
          <w:sz w:val="20"/>
          <w:szCs w:val="20"/>
          <w:lang w:val="en-US"/>
        </w:rPr>
        <w:t>[N-2- methylpropyl-3-</w:t>
      </w:r>
      <w:r w:rsidRPr="00C563CE">
        <w:rPr>
          <w:sz w:val="20"/>
          <w:szCs w:val="20"/>
          <w:vertAlign w:val="superscript"/>
          <w:lang w:val="en-US"/>
        </w:rPr>
        <w:t>14</w:t>
      </w:r>
      <w:r w:rsidRPr="00C563CE">
        <w:rPr>
          <w:sz w:val="20"/>
          <w:szCs w:val="20"/>
          <w:lang w:val="en-US"/>
        </w:rPr>
        <w:t>C] labelled fenpropidin or [2, 6-</w:t>
      </w:r>
      <w:r w:rsidRPr="00C563CE">
        <w:rPr>
          <w:sz w:val="20"/>
          <w:szCs w:val="20"/>
          <w:vertAlign w:val="superscript"/>
          <w:lang w:val="en-US"/>
        </w:rPr>
        <w:t>14</w:t>
      </w:r>
      <w:r w:rsidRPr="00C563CE">
        <w:rPr>
          <w:sz w:val="20"/>
          <w:szCs w:val="20"/>
          <w:lang w:val="en-US"/>
        </w:rPr>
        <w:t>C-piperidine] labelled fenpropidin.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33"/>
      </w:tblGrid>
      <w:tr w:rsidR="00BD2FCF" w14:paraId="4F3AD297" w14:textId="77777777" w:rsidTr="00BD2FCF">
        <w:tc>
          <w:tcPr>
            <w:tcW w:w="4395" w:type="dxa"/>
          </w:tcPr>
          <w:p w14:paraId="21222255" w14:textId="77777777" w:rsidR="00BD2FCF" w:rsidRDefault="00BD2FCF" w:rsidP="00FC25D7">
            <w:pPr>
              <w:pStyle w:val="BODYTEXT"/>
              <w:jc w:val="center"/>
            </w:pPr>
            <w:r w:rsidRPr="001538EA">
              <w:rPr>
                <w:noProof/>
              </w:rPr>
              <w:drawing>
                <wp:inline distT="0" distB="0" distL="0" distR="0" wp14:anchorId="4A037C42" wp14:editId="689A4BE7">
                  <wp:extent cx="1901520" cy="702040"/>
                  <wp:effectExtent l="0" t="0" r="3810" b="3175"/>
                  <wp:docPr id="26" name="Picture 26" descr="[N-2-methyl-3-14C]-fenpropi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N-2-methyl-3-14C]-fenpropidin"/>
                          <pic:cNvPicPr/>
                        </pic:nvPicPr>
                        <pic:blipFill>
                          <a:blip r:embed="rId37"/>
                          <a:stretch>
                            <a:fillRect/>
                          </a:stretch>
                        </pic:blipFill>
                        <pic:spPr>
                          <a:xfrm>
                            <a:off x="0" y="0"/>
                            <a:ext cx="1995678" cy="736803"/>
                          </a:xfrm>
                          <a:prstGeom prst="rect">
                            <a:avLst/>
                          </a:prstGeom>
                        </pic:spPr>
                      </pic:pic>
                    </a:graphicData>
                  </a:graphic>
                </wp:inline>
              </w:drawing>
            </w:r>
          </w:p>
        </w:tc>
        <w:tc>
          <w:tcPr>
            <w:tcW w:w="5233" w:type="dxa"/>
          </w:tcPr>
          <w:p w14:paraId="358BCCC1" w14:textId="77777777" w:rsidR="00BD2FCF" w:rsidRDefault="00BD2FCF" w:rsidP="00BD2FCF">
            <w:pPr>
              <w:pStyle w:val="BODYTEXT"/>
              <w:spacing w:after="240"/>
              <w:jc w:val="left"/>
            </w:pPr>
            <w:r w:rsidRPr="001538EA">
              <w:rPr>
                <w:noProof/>
              </w:rPr>
              <w:drawing>
                <wp:inline distT="0" distB="0" distL="0" distR="0" wp14:anchorId="04553928" wp14:editId="19DBA10A">
                  <wp:extent cx="1871234" cy="758174"/>
                  <wp:effectExtent l="0" t="0" r="0" b="4445"/>
                  <wp:docPr id="28" name="Picture 28" descr="[2-6-14C-piperidine]-fenpropi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6-14C-piperidine]-fenpropidin"/>
                          <pic:cNvPicPr/>
                        </pic:nvPicPr>
                        <pic:blipFill>
                          <a:blip r:embed="rId38"/>
                          <a:stretch>
                            <a:fillRect/>
                          </a:stretch>
                        </pic:blipFill>
                        <pic:spPr>
                          <a:xfrm>
                            <a:off x="0" y="0"/>
                            <a:ext cx="2003446" cy="811743"/>
                          </a:xfrm>
                          <a:prstGeom prst="rect">
                            <a:avLst/>
                          </a:prstGeom>
                        </pic:spPr>
                      </pic:pic>
                    </a:graphicData>
                  </a:graphic>
                </wp:inline>
              </w:drawing>
            </w:r>
          </w:p>
        </w:tc>
      </w:tr>
      <w:tr w:rsidR="00BD2FCF" w14:paraId="6ADA0BCC" w14:textId="77777777" w:rsidTr="00BD2FCF">
        <w:tc>
          <w:tcPr>
            <w:tcW w:w="4395" w:type="dxa"/>
          </w:tcPr>
          <w:p w14:paraId="1EADD9D4" w14:textId="77777777" w:rsidR="00BD2FCF" w:rsidRPr="00C563CE" w:rsidRDefault="00BD2FCF" w:rsidP="00FC25D7">
            <w:pPr>
              <w:pStyle w:val="BODYTEXT"/>
              <w:spacing w:after="120"/>
              <w:ind w:left="-57"/>
              <w:jc w:val="center"/>
              <w:rPr>
                <w:rFonts w:ascii="Arial" w:hAnsi="Arial" w:cs="Arial"/>
                <w:sz w:val="20"/>
                <w:szCs w:val="20"/>
              </w:rPr>
            </w:pPr>
            <w:r w:rsidRPr="00C563CE">
              <w:rPr>
                <w:rFonts w:ascii="Arial" w:hAnsi="Arial" w:cs="Arial"/>
                <w:sz w:val="20"/>
                <w:szCs w:val="20"/>
              </w:rPr>
              <w:t>[N-2-methyl-3-</w:t>
            </w:r>
            <w:r w:rsidRPr="00C563CE">
              <w:rPr>
                <w:rFonts w:ascii="Arial" w:hAnsi="Arial" w:cs="Arial"/>
                <w:sz w:val="20"/>
                <w:szCs w:val="20"/>
                <w:vertAlign w:val="superscript"/>
              </w:rPr>
              <w:t>14</w:t>
            </w:r>
            <w:r w:rsidRPr="00C563CE">
              <w:rPr>
                <w:rFonts w:ascii="Arial" w:hAnsi="Arial" w:cs="Arial"/>
                <w:sz w:val="20"/>
                <w:szCs w:val="20"/>
              </w:rPr>
              <w:t>C]-fenpropidin</w:t>
            </w:r>
          </w:p>
        </w:tc>
        <w:tc>
          <w:tcPr>
            <w:tcW w:w="5233" w:type="dxa"/>
          </w:tcPr>
          <w:p w14:paraId="0E8A4DDF" w14:textId="77777777" w:rsidR="00BD2FCF" w:rsidRPr="00C563CE" w:rsidRDefault="00BD2FCF" w:rsidP="00BD2FCF">
            <w:pPr>
              <w:pStyle w:val="BODYTEXT"/>
              <w:spacing w:before="60" w:after="120"/>
              <w:ind w:left="227"/>
              <w:jc w:val="left"/>
              <w:rPr>
                <w:rFonts w:ascii="Arial" w:hAnsi="Arial" w:cs="Arial"/>
                <w:sz w:val="20"/>
                <w:szCs w:val="20"/>
              </w:rPr>
            </w:pPr>
            <w:r w:rsidRPr="00C563CE">
              <w:rPr>
                <w:rFonts w:ascii="Arial" w:hAnsi="Arial" w:cs="Arial"/>
                <w:sz w:val="20"/>
                <w:szCs w:val="20"/>
              </w:rPr>
              <w:t>[2-6-</w:t>
            </w:r>
            <w:r w:rsidRPr="00C563CE">
              <w:rPr>
                <w:rFonts w:ascii="Arial" w:hAnsi="Arial" w:cs="Arial"/>
                <w:sz w:val="20"/>
                <w:szCs w:val="20"/>
                <w:vertAlign w:val="superscript"/>
              </w:rPr>
              <w:t>14</w:t>
            </w:r>
            <w:r w:rsidRPr="00C563CE">
              <w:rPr>
                <w:rFonts w:ascii="Arial" w:hAnsi="Arial" w:cs="Arial"/>
                <w:sz w:val="20"/>
                <w:szCs w:val="20"/>
              </w:rPr>
              <w:t>C-piperidine]-fenpropidin</w:t>
            </w:r>
          </w:p>
        </w:tc>
      </w:tr>
    </w:tbl>
    <w:p w14:paraId="2EBF656E" w14:textId="3EB88DB7" w:rsidR="00BD2FCF" w:rsidRDefault="00BD2FCF" w:rsidP="00BD2FCF">
      <w:pPr>
        <w:pStyle w:val="Heading4"/>
        <w:rPr>
          <w:lang w:val="en-GB"/>
        </w:rPr>
      </w:pPr>
      <w:r>
        <w:rPr>
          <w:lang w:val="en-GB"/>
        </w:rPr>
        <w:t>Banana</w:t>
      </w:r>
    </w:p>
    <w:p w14:paraId="35914728" w14:textId="09814169" w:rsidR="00BD2FCF" w:rsidRPr="00C563CE" w:rsidRDefault="00BD2FCF" w:rsidP="00BD2FCF">
      <w:pPr>
        <w:pStyle w:val="NormalText"/>
        <w:rPr>
          <w:sz w:val="20"/>
          <w:szCs w:val="20"/>
          <w:lang w:val="en-GB"/>
        </w:rPr>
      </w:pPr>
      <w:r w:rsidRPr="00C563CE">
        <w:rPr>
          <w:bCs/>
          <w:sz w:val="20"/>
          <w:szCs w:val="20"/>
        </w:rPr>
        <w:t xml:space="preserve">Three foliar applications of </w:t>
      </w:r>
      <w:r w:rsidRPr="00C563CE">
        <w:rPr>
          <w:bCs/>
          <w:sz w:val="20"/>
          <w:szCs w:val="20"/>
          <w:lang w:val="en-US"/>
        </w:rPr>
        <w:t>[N-2- methylpropyl-3-</w:t>
      </w:r>
      <w:r w:rsidRPr="00C563CE">
        <w:rPr>
          <w:bCs/>
          <w:sz w:val="20"/>
          <w:szCs w:val="20"/>
          <w:vertAlign w:val="superscript"/>
          <w:lang w:val="en-US"/>
        </w:rPr>
        <w:t>14</w:t>
      </w:r>
      <w:r w:rsidRPr="00C563CE">
        <w:rPr>
          <w:bCs/>
          <w:sz w:val="20"/>
          <w:szCs w:val="20"/>
          <w:lang w:val="en-US"/>
        </w:rPr>
        <w:t>C] labelled</w:t>
      </w:r>
      <w:r w:rsidRPr="00C563CE">
        <w:rPr>
          <w:bCs/>
          <w:sz w:val="20"/>
          <w:szCs w:val="20"/>
        </w:rPr>
        <w:t xml:space="preserve"> fenpropidin, formulated as an emulsifiable concentrate (EC), were applied to a greenhouse grown banana tree at a rate equivalent to 1</w:t>
      </w:r>
      <w:r w:rsidR="00DD03C2">
        <w:rPr>
          <w:bCs/>
          <w:sz w:val="20"/>
          <w:szCs w:val="20"/>
        </w:rPr>
        <w:t>,</w:t>
      </w:r>
      <w:r w:rsidRPr="00C563CE">
        <w:rPr>
          <w:bCs/>
          <w:sz w:val="20"/>
          <w:szCs w:val="20"/>
        </w:rPr>
        <w:t>800 g ai/ha with the first application applied at the blooming stage, the second application 35 days later at the fruiting stage and the final application 55 days later at maturity. Fruit and leaves were sampled just prior to the second application (35 days after application one, 35 DAA1), and at maturity, just prior to the third application (55</w:t>
      </w:r>
      <w:r w:rsidR="00DD03C2">
        <w:rPr>
          <w:bCs/>
          <w:sz w:val="20"/>
          <w:szCs w:val="20"/>
        </w:rPr>
        <w:t> </w:t>
      </w:r>
      <w:r w:rsidRPr="00C563CE">
        <w:rPr>
          <w:bCs/>
          <w:sz w:val="20"/>
          <w:szCs w:val="20"/>
        </w:rPr>
        <w:t xml:space="preserve">days after </w:t>
      </w:r>
      <w:r w:rsidR="00DD03C2">
        <w:rPr>
          <w:bCs/>
          <w:sz w:val="20"/>
          <w:szCs w:val="20"/>
        </w:rPr>
        <w:t>the second application</w:t>
      </w:r>
      <w:r w:rsidRPr="00C563CE">
        <w:rPr>
          <w:bCs/>
          <w:sz w:val="20"/>
          <w:szCs w:val="20"/>
        </w:rPr>
        <w:t>, 55 DAA2) and 1 day following the third application (1 DAA3). All fruits harvested were separated into peel and pulp.</w:t>
      </w:r>
    </w:p>
    <w:p w14:paraId="29C6FFA7" w14:textId="22E6F37A" w:rsidR="00BD2FCF" w:rsidRPr="00BD2FCF" w:rsidRDefault="00BD2FCF" w:rsidP="00BD2FCF">
      <w:pPr>
        <w:pStyle w:val="APVMAText"/>
      </w:pPr>
      <w:bookmarkStart w:id="95" w:name="_Hlk128641900"/>
      <w:r w:rsidRPr="00BD2FCF">
        <w:rPr>
          <w:lang w:val="en-US"/>
        </w:rPr>
        <w:t>At maturity, total residues were 3.39 mg eq./kg in peel and 5.10 mg eq./kg in pulp (corresponding to 3.63</w:t>
      </w:r>
      <w:r w:rsidR="00DD03C2">
        <w:rPr>
          <w:lang w:val="en-US"/>
        </w:rPr>
        <w:t> </w:t>
      </w:r>
      <w:r w:rsidRPr="00BD2FCF">
        <w:rPr>
          <w:lang w:val="en-US"/>
        </w:rPr>
        <w:t>mg</w:t>
      </w:r>
      <w:r w:rsidR="00DD03C2">
        <w:rPr>
          <w:lang w:val="en-US"/>
        </w:rPr>
        <w:t> </w:t>
      </w:r>
      <w:r w:rsidRPr="00BD2FCF">
        <w:rPr>
          <w:lang w:val="en-US"/>
        </w:rPr>
        <w:t>eq./kg in banana (whole fruit)).</w:t>
      </w:r>
      <w:r>
        <w:rPr>
          <w:lang w:val="en-US"/>
        </w:rPr>
        <w:t xml:space="preserve"> </w:t>
      </w:r>
      <w:r w:rsidRPr="00BD2FCF">
        <w:t xml:space="preserve">In banana fruit, parent fenpropidin was the major component of the radioactivity at 44.2% </w:t>
      </w:r>
      <w:r>
        <w:t>Total Radioactive Residues (</w:t>
      </w:r>
      <w:r w:rsidRPr="00BD2FCF">
        <w:t>TRR</w:t>
      </w:r>
      <w:r>
        <w:t>)</w:t>
      </w:r>
      <w:r w:rsidRPr="00BD2FCF">
        <w:t xml:space="preserve"> in peel and 76.5% TRR in pulp. The metabolite CGA 289263 was also observed at 16.1% TRR in peel and 3.3% TRR in pulp. The metabolite CGA 289268 was only observed in peel at 2.1%.</w:t>
      </w:r>
    </w:p>
    <w:p w14:paraId="28D094A6" w14:textId="49217B6C" w:rsidR="00BD2FCF" w:rsidRDefault="00BD2FCF" w:rsidP="00BD2FCF">
      <w:pPr>
        <w:pStyle w:val="Heading4"/>
        <w:rPr>
          <w:lang w:val="en-GB"/>
        </w:rPr>
      </w:pPr>
      <w:bookmarkStart w:id="96" w:name="_Hlk135824997"/>
      <w:bookmarkEnd w:id="95"/>
      <w:r>
        <w:rPr>
          <w:lang w:val="en-GB"/>
        </w:rPr>
        <w:lastRenderedPageBreak/>
        <w:t>Grape</w:t>
      </w:r>
    </w:p>
    <w:bookmarkEnd w:id="96"/>
    <w:p w14:paraId="7A1DDA56" w14:textId="51AF76A5" w:rsidR="00BD2FCF" w:rsidRPr="00BD2FCF" w:rsidRDefault="00BD2FCF" w:rsidP="00BD2FCF">
      <w:pPr>
        <w:pStyle w:val="APVMAText"/>
        <w:rPr>
          <w:bCs/>
        </w:rPr>
      </w:pPr>
      <w:r>
        <w:rPr>
          <w:bCs/>
        </w:rPr>
        <w:t>T</w:t>
      </w:r>
      <w:r w:rsidRPr="00BD2FCF">
        <w:rPr>
          <w:bCs/>
        </w:rPr>
        <w:t xml:space="preserve">hree foliar applications of </w:t>
      </w:r>
      <w:r w:rsidRPr="00BD2FCF">
        <w:rPr>
          <w:bCs/>
          <w:lang w:val="en-US"/>
        </w:rPr>
        <w:t>[N-2- methylpropyl-3-</w:t>
      </w:r>
      <w:r w:rsidRPr="00BD2FCF">
        <w:rPr>
          <w:bCs/>
          <w:vertAlign w:val="superscript"/>
          <w:lang w:val="en-US"/>
        </w:rPr>
        <w:t>14</w:t>
      </w:r>
      <w:r w:rsidRPr="00BD2FCF">
        <w:rPr>
          <w:bCs/>
          <w:lang w:val="en-US"/>
        </w:rPr>
        <w:t>C] labelled</w:t>
      </w:r>
      <w:r w:rsidRPr="00BD2FCF">
        <w:rPr>
          <w:bCs/>
        </w:rPr>
        <w:t xml:space="preserve"> fenpropidin, formulated as a water dispersible granule (WG), </w:t>
      </w:r>
      <w:r>
        <w:rPr>
          <w:bCs/>
        </w:rPr>
        <w:t xml:space="preserve">were applied to grapevines grown outdoors in containers </w:t>
      </w:r>
      <w:r w:rsidRPr="00BD2FCF">
        <w:rPr>
          <w:bCs/>
        </w:rPr>
        <w:t>at a rate equivalent to 300 g</w:t>
      </w:r>
      <w:r w:rsidR="00DD03C2">
        <w:rPr>
          <w:bCs/>
        </w:rPr>
        <w:t> </w:t>
      </w:r>
      <w:r w:rsidRPr="00BD2FCF">
        <w:rPr>
          <w:bCs/>
        </w:rPr>
        <w:t>ai/ha. The first application occurring at BBCH 61, the second application 16 days later and the final application 14</w:t>
      </w:r>
      <w:r w:rsidR="00DD03C2">
        <w:rPr>
          <w:bCs/>
        </w:rPr>
        <w:t> </w:t>
      </w:r>
      <w:r w:rsidRPr="00BD2FCF">
        <w:rPr>
          <w:bCs/>
        </w:rPr>
        <w:t>days after the second application.</w:t>
      </w:r>
      <w:r>
        <w:rPr>
          <w:bCs/>
        </w:rPr>
        <w:t xml:space="preserve"> </w:t>
      </w:r>
      <w:r w:rsidRPr="00BD2FCF">
        <w:rPr>
          <w:bCs/>
        </w:rPr>
        <w:t xml:space="preserve">Whole leaves and fruits were harvested 81 days after the third application. </w:t>
      </w:r>
      <w:r w:rsidRPr="00BD2FCF">
        <w:rPr>
          <w:bCs/>
          <w:lang w:val="en-US"/>
        </w:rPr>
        <w:t>The mature grapes were crushed and divided into juice and cake by filtration through filter cloth under vacuum.</w:t>
      </w:r>
    </w:p>
    <w:p w14:paraId="2379222A" w14:textId="089938A2" w:rsidR="00BD2FCF" w:rsidRDefault="00BD2FCF" w:rsidP="00302D38">
      <w:pPr>
        <w:pStyle w:val="APVMAText"/>
      </w:pPr>
      <w:r>
        <w:t xml:space="preserve">At maturity, </w:t>
      </w:r>
      <w:r w:rsidRPr="00BD2FCF">
        <w:rPr>
          <w:lang w:val="en-US"/>
        </w:rPr>
        <w:t>total residues in juice and cake of grapes reached levels of 0.098 mg eq./kg and 1.580</w:t>
      </w:r>
      <w:r w:rsidR="00DD03C2">
        <w:rPr>
          <w:lang w:val="en-US"/>
        </w:rPr>
        <w:t> </w:t>
      </w:r>
      <w:r w:rsidRPr="00BD2FCF">
        <w:rPr>
          <w:lang w:val="en-US"/>
        </w:rPr>
        <w:t xml:space="preserve">mg eq./kg, respectively (corresponding to 0.355 mg eq./kg in </w:t>
      </w:r>
      <w:r>
        <w:rPr>
          <w:lang w:val="en-US"/>
        </w:rPr>
        <w:t>grapes (</w:t>
      </w:r>
      <w:r w:rsidRPr="00BD2FCF">
        <w:rPr>
          <w:lang w:val="en-US"/>
        </w:rPr>
        <w:t xml:space="preserve">whole </w:t>
      </w:r>
      <w:r>
        <w:rPr>
          <w:lang w:val="en-US"/>
        </w:rPr>
        <w:t>fruit)</w:t>
      </w:r>
      <w:r w:rsidRPr="00BD2FCF">
        <w:rPr>
          <w:lang w:val="en-US"/>
        </w:rPr>
        <w:t>)</w:t>
      </w:r>
      <w:r>
        <w:rPr>
          <w:lang w:val="en-US"/>
        </w:rPr>
        <w:t xml:space="preserve">. </w:t>
      </w:r>
      <w:r>
        <w:t>In mature grapes,</w:t>
      </w:r>
      <w:r w:rsidRPr="00BD2FCF">
        <w:rPr>
          <w:rFonts w:ascii="Times New Roman" w:hAnsi="Times New Roman" w:cs="Times New Roman"/>
          <w:sz w:val="24"/>
        </w:rPr>
        <w:t xml:space="preserve"> </w:t>
      </w:r>
      <w:r w:rsidRPr="00BD2FCF">
        <w:t xml:space="preserve">parent fenpropidin was the largest component of the residue at </w:t>
      </w:r>
      <w:r>
        <w:t>62.8</w:t>
      </w:r>
      <w:r w:rsidRPr="00BD2FCF">
        <w:t>% TRR in whole fruit. Fenpropidin was extensively metabolized in grapevines resulting in the formation of about 20 minor metabolites, all present in the juice and whole fruit were individually &lt;0.01 mg/kg, with the exception of CGA 289263 that was calculated at 0.012 mg/kg fenpropidin equivalents in the whole fruit.</w:t>
      </w:r>
    </w:p>
    <w:p w14:paraId="0408520A" w14:textId="77777777" w:rsidR="00BD2FCF" w:rsidRPr="00BD2FCF" w:rsidRDefault="00BD2FCF" w:rsidP="00BD2FCF">
      <w:pPr>
        <w:pStyle w:val="APVMAText"/>
      </w:pPr>
      <w:r w:rsidRPr="00BD2FCF">
        <w:t>Based on the structures identified, the metabolism of fenpropidin in grapevines occurred primarily via:</w:t>
      </w:r>
    </w:p>
    <w:p w14:paraId="4E3FF2FE" w14:textId="37AF07C9" w:rsidR="00BD2FCF" w:rsidRPr="00BD2FCF" w:rsidRDefault="00BD2FCF" w:rsidP="00DD03C2">
      <w:pPr>
        <w:pStyle w:val="APVMABullet1"/>
      </w:pPr>
      <w:r w:rsidRPr="00BD2FCF">
        <w:t>oxidation of the piperidine ring to form CGA 289263 and metabolite CGA 289269</w:t>
      </w:r>
    </w:p>
    <w:p w14:paraId="0659DE4E" w14:textId="50CA8582" w:rsidR="00BD2FCF" w:rsidRPr="00BD2FCF" w:rsidRDefault="00BD2FCF" w:rsidP="00DD03C2">
      <w:pPr>
        <w:pStyle w:val="APVMABullet1"/>
      </w:pPr>
      <w:r w:rsidRPr="00BD2FCF">
        <w:t>oxidation of the tertiary butyl side chain to form metabolite CGA 289268 and metabolite 289267. Both metabolites were also found and identified by GC/MS as glucose conjugates</w:t>
      </w:r>
    </w:p>
    <w:p w14:paraId="40B21C9E" w14:textId="04709DC1" w:rsidR="00BD2FCF" w:rsidRPr="00BD2FCF" w:rsidRDefault="00BD2FCF" w:rsidP="00DD03C2">
      <w:pPr>
        <w:pStyle w:val="APVMABullet1"/>
      </w:pPr>
      <w:r w:rsidRPr="00BD2FCF">
        <w:t>oxidation of the 2-methylpropyl chain to form metabolite NOA 406117 and NOA 406116</w:t>
      </w:r>
    </w:p>
    <w:p w14:paraId="0C00C1C7" w14:textId="412FA6CB" w:rsidR="00BD2FCF" w:rsidRPr="00BD2FCF" w:rsidRDefault="00BD2FCF" w:rsidP="00DD03C2">
      <w:pPr>
        <w:pStyle w:val="APVMABullet1"/>
      </w:pPr>
      <w:r w:rsidRPr="00BD2FCF">
        <w:t>tentative loss of the piperidine ring to form CGA 289273.</w:t>
      </w:r>
    </w:p>
    <w:p w14:paraId="1416A3BF" w14:textId="05F62B4E" w:rsidR="00DD03C2" w:rsidRDefault="00BD2FCF" w:rsidP="00BD2FCF">
      <w:pPr>
        <w:pStyle w:val="APVMAText"/>
      </w:pPr>
      <w:r w:rsidRPr="00BD2FCF">
        <w:t xml:space="preserve">The proposed metabolic pathway of fenpropidin in grapevines is summarised </w:t>
      </w:r>
      <w:r w:rsidR="00DD03C2">
        <w:t>in Figure 2</w:t>
      </w:r>
      <w:r w:rsidRPr="00BD2FCF">
        <w:t>.</w:t>
      </w:r>
      <w:r w:rsidR="00DD03C2">
        <w:br w:type="page"/>
      </w:r>
    </w:p>
    <w:p w14:paraId="151802C1" w14:textId="42A7C54D" w:rsidR="00F02476" w:rsidRPr="00831B5E" w:rsidRDefault="00DD03C2" w:rsidP="00DD03C2">
      <w:pPr>
        <w:pStyle w:val="Figurestyle"/>
      </w:pPr>
      <w:bookmarkStart w:id="97" w:name="_Toc56686269"/>
      <w:bookmarkStart w:id="98" w:name="_Toc56686282"/>
      <w:bookmarkStart w:id="99" w:name="_Toc102553614"/>
      <w:bookmarkStart w:id="100" w:name="_Toc102555137"/>
      <w:bookmarkStart w:id="101" w:name="_Toc136869430"/>
      <w:bookmarkStart w:id="102" w:name="_Hlk135825913"/>
      <w:bookmarkStart w:id="103" w:name="_Hlk135825979"/>
      <w:bookmarkStart w:id="104" w:name="_Toc137198207"/>
      <w:r>
        <w:lastRenderedPageBreak/>
        <w:t xml:space="preserve">Figure </w:t>
      </w:r>
      <w:fldSimple w:instr=" SEQ Figure \* ARABIC ">
        <w:r>
          <w:rPr>
            <w:noProof/>
          </w:rPr>
          <w:t>2</w:t>
        </w:r>
      </w:fldSimple>
      <w:r w:rsidR="00F02476" w:rsidRPr="00831B5E">
        <w:t xml:space="preserve">: </w:t>
      </w:r>
      <w:r w:rsidR="00BD2FCF" w:rsidRPr="00831B5E">
        <w:t>Proposed metabolic pathway of fenpropidin in grapevines</w:t>
      </w:r>
      <w:bookmarkEnd w:id="97"/>
      <w:bookmarkEnd w:id="98"/>
      <w:bookmarkEnd w:id="99"/>
      <w:bookmarkEnd w:id="100"/>
      <w:bookmarkEnd w:id="101"/>
      <w:bookmarkEnd w:id="104"/>
    </w:p>
    <w:bookmarkEnd w:id="102"/>
    <w:p w14:paraId="11D00BDE" w14:textId="105E1658" w:rsidR="00F02476" w:rsidRDefault="00BD2FCF" w:rsidP="00BD2FCF">
      <w:pPr>
        <w:pStyle w:val="APVMAText"/>
        <w:spacing w:line="600" w:lineRule="auto"/>
        <w:jc w:val="center"/>
        <w:rPr>
          <w:lang w:val="en-GB"/>
        </w:rPr>
      </w:pPr>
      <w:r>
        <w:rPr>
          <w:noProof/>
          <w:lang w:val="en-GB"/>
        </w:rPr>
        <w:drawing>
          <wp:inline distT="0" distB="0" distL="0" distR="0" wp14:anchorId="2B7C5399" wp14:editId="605F74DE">
            <wp:extent cx="6077740" cy="3877056"/>
            <wp:effectExtent l="0" t="0" r="0" b="9525"/>
            <wp:docPr id="7" name="Picture 7" descr="Figure 2 shows the proposed metabolic pathway of fenpropidin in grapev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shows the proposed metabolic pathway of fenpropidin in grapevin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7740" cy="3877056"/>
                    </a:xfrm>
                    <a:prstGeom prst="rect">
                      <a:avLst/>
                    </a:prstGeom>
                    <a:noFill/>
                  </pic:spPr>
                </pic:pic>
              </a:graphicData>
            </a:graphic>
          </wp:inline>
        </w:drawing>
      </w:r>
    </w:p>
    <w:p w14:paraId="730EC3B9" w14:textId="762F09EC" w:rsidR="00BD2FCF" w:rsidRDefault="00BD2FCF" w:rsidP="00BD2FCF">
      <w:pPr>
        <w:pStyle w:val="Heading4"/>
        <w:rPr>
          <w:lang w:val="en-GB"/>
        </w:rPr>
      </w:pPr>
      <w:bookmarkStart w:id="105" w:name="_Toc531181081"/>
      <w:bookmarkStart w:id="106" w:name="_Toc7561250"/>
      <w:r>
        <w:rPr>
          <w:lang w:val="en-GB"/>
        </w:rPr>
        <w:t>Sugar beet</w:t>
      </w:r>
    </w:p>
    <w:bookmarkEnd w:id="103"/>
    <w:p w14:paraId="19A0D37B" w14:textId="760072B4" w:rsidR="00BD2FCF" w:rsidRDefault="00BD2FCF" w:rsidP="00BD2FCF">
      <w:pPr>
        <w:pStyle w:val="APVMAText"/>
        <w:rPr>
          <w:bCs/>
          <w:lang w:val="en-US"/>
        </w:rPr>
      </w:pPr>
      <w:r>
        <w:rPr>
          <w:bCs/>
        </w:rPr>
        <w:t>T</w:t>
      </w:r>
      <w:r w:rsidRPr="00BD2FCF">
        <w:rPr>
          <w:bCs/>
        </w:rPr>
        <w:t xml:space="preserve">wo foliar applications of </w:t>
      </w:r>
      <w:r w:rsidRPr="00BD2FCF">
        <w:rPr>
          <w:bCs/>
          <w:lang w:val="en-US"/>
        </w:rPr>
        <w:t>[N-2- methylpropyl-3-</w:t>
      </w:r>
      <w:r w:rsidRPr="00BD2FCF">
        <w:rPr>
          <w:bCs/>
          <w:vertAlign w:val="superscript"/>
          <w:lang w:val="en-US"/>
        </w:rPr>
        <w:t>14</w:t>
      </w:r>
      <w:r w:rsidRPr="00BD2FCF">
        <w:rPr>
          <w:bCs/>
          <w:lang w:val="en-US"/>
        </w:rPr>
        <w:t>C] labelled</w:t>
      </w:r>
      <w:r w:rsidRPr="00BD2FCF">
        <w:rPr>
          <w:bCs/>
        </w:rPr>
        <w:t xml:space="preserve"> fenpropidin, formulated as an emulsifiable concentrate (EC), </w:t>
      </w:r>
      <w:r>
        <w:rPr>
          <w:bCs/>
        </w:rPr>
        <w:t xml:space="preserve">were applied to field grown sugar beets </w:t>
      </w:r>
      <w:r w:rsidRPr="00BD2FCF">
        <w:rPr>
          <w:bCs/>
        </w:rPr>
        <w:t>at a rate equivalent to 375 g ai/ha.</w:t>
      </w:r>
      <w:r>
        <w:rPr>
          <w:bCs/>
        </w:rPr>
        <w:t xml:space="preserve"> </w:t>
      </w:r>
      <w:r w:rsidRPr="00BD2FCF">
        <w:rPr>
          <w:bCs/>
        </w:rPr>
        <w:t xml:space="preserve">The first application occurred 69 days after sowing (at the beginning of crop cover, BBCH 31) and the second application was 30 days later. </w:t>
      </w:r>
      <w:r w:rsidRPr="00BD2FCF">
        <w:rPr>
          <w:bCs/>
          <w:lang w:val="en-US"/>
        </w:rPr>
        <w:t>Three plants were collected randomly from the treated plot about one hour after each application and six plants 60 days after application two (60 DAA2). At maturity, 92 days after application two (92 DAA2), the whole plot of the remaining 60 plants was harvested. All plants were divided into tops and roots.</w:t>
      </w:r>
    </w:p>
    <w:p w14:paraId="4981AD14" w14:textId="20356837" w:rsidR="00BD2FCF" w:rsidRPr="00BD2FCF" w:rsidRDefault="00BD2FCF" w:rsidP="00BD2FCF">
      <w:pPr>
        <w:pStyle w:val="APVMAText"/>
        <w:rPr>
          <w:bCs/>
          <w:lang w:val="en-US"/>
        </w:rPr>
      </w:pPr>
      <w:r>
        <w:rPr>
          <w:bCs/>
          <w:lang w:val="en-US"/>
        </w:rPr>
        <w:t xml:space="preserve">At maturity, </w:t>
      </w:r>
      <w:r w:rsidRPr="00BD2FCF">
        <w:rPr>
          <w:bCs/>
          <w:lang w:val="en-US"/>
        </w:rPr>
        <w:t xml:space="preserve">total residues were 11.7 mg eq./kg at 0 DAA1 </w:t>
      </w:r>
      <w:r>
        <w:rPr>
          <w:bCs/>
          <w:lang w:val="en-US"/>
        </w:rPr>
        <w:t>declining</w:t>
      </w:r>
      <w:r w:rsidRPr="00BD2FCF">
        <w:rPr>
          <w:bCs/>
          <w:lang w:val="en-US"/>
        </w:rPr>
        <w:t xml:space="preserve"> to 1.74 mg eq./kg </w:t>
      </w:r>
      <w:r>
        <w:rPr>
          <w:bCs/>
          <w:lang w:val="en-US"/>
        </w:rPr>
        <w:t xml:space="preserve">in sugar beet tops and were </w:t>
      </w:r>
      <w:r w:rsidRPr="00BD2FCF">
        <w:rPr>
          <w:bCs/>
          <w:lang w:val="en-US"/>
        </w:rPr>
        <w:t xml:space="preserve">0.24 mg eq./kg at 0 DAA1 </w:t>
      </w:r>
      <w:r>
        <w:rPr>
          <w:bCs/>
          <w:lang w:val="en-US"/>
        </w:rPr>
        <w:t>declining to</w:t>
      </w:r>
      <w:r w:rsidRPr="00BD2FCF">
        <w:rPr>
          <w:bCs/>
          <w:lang w:val="en-US"/>
        </w:rPr>
        <w:t xml:space="preserve"> 0.02 mg eq./kg </w:t>
      </w:r>
      <w:r>
        <w:rPr>
          <w:bCs/>
          <w:lang w:val="en-US"/>
        </w:rPr>
        <w:t xml:space="preserve">in roots. </w:t>
      </w:r>
      <w:r w:rsidRPr="00BD2FCF">
        <w:rPr>
          <w:bCs/>
        </w:rPr>
        <w:t>In sugar beet tops, parent fenpropidin was the major component of the extracted residue at up to 85.8% TRR directly after application declining to 48.5% TRR in the mature tops.</w:t>
      </w:r>
      <w:r>
        <w:rPr>
          <w:bCs/>
        </w:rPr>
        <w:t xml:space="preserve"> </w:t>
      </w:r>
      <w:r w:rsidRPr="00BD2FCF">
        <w:rPr>
          <w:bCs/>
        </w:rPr>
        <w:t xml:space="preserve">Numerous minor metabolites were identified </w:t>
      </w:r>
      <w:r>
        <w:rPr>
          <w:bCs/>
        </w:rPr>
        <w:t xml:space="preserve">in sugar beet tops </w:t>
      </w:r>
      <w:r w:rsidRPr="00BD2FCF">
        <w:rPr>
          <w:bCs/>
        </w:rPr>
        <w:t>with none individually above 2.9% TRR. Minor metabolites at levels greater than 0.01 mg eq./kg were CGA 289268 (2.9% TRR), CGA 289263 (2.8% TRR), CGA 289273 (1.2% TRR), NOA 406117 (0.8% TRR) and CGA 289267 (0.7% TRR) in mature tops.</w:t>
      </w:r>
      <w:r w:rsidR="001F38D1">
        <w:rPr>
          <w:bCs/>
        </w:rPr>
        <w:t xml:space="preserve"> </w:t>
      </w:r>
      <w:r w:rsidRPr="00BD2FCF">
        <w:rPr>
          <w:bCs/>
        </w:rPr>
        <w:t xml:space="preserve">In sugar beet roots, parent fenpropidin accounted for 73.0% of the TRR in the roots at the first sampling but declined rapidly to only 2.3% of the TRR in the mature root. Numerous metabolites, including CGA 289263, CGA 289268, CGA 289267, NOA 406116 and CGA 289265 were observed but </w:t>
      </w:r>
      <w:r>
        <w:rPr>
          <w:bCs/>
        </w:rPr>
        <w:t>all were &lt;5%</w:t>
      </w:r>
      <w:r w:rsidRPr="00BD2FCF">
        <w:rPr>
          <w:bCs/>
        </w:rPr>
        <w:t xml:space="preserve"> TRR (&lt;0.01 mg eq./kg)</w:t>
      </w:r>
      <w:r>
        <w:rPr>
          <w:bCs/>
        </w:rPr>
        <w:t>.</w:t>
      </w:r>
    </w:p>
    <w:p w14:paraId="064AA77E" w14:textId="77777777" w:rsidR="00BD2FCF" w:rsidRPr="00BD2FCF" w:rsidRDefault="00BD2FCF" w:rsidP="00BD2FCF">
      <w:pPr>
        <w:pStyle w:val="APVMAText"/>
        <w:rPr>
          <w:bCs/>
        </w:rPr>
      </w:pPr>
      <w:r w:rsidRPr="00BD2FCF">
        <w:rPr>
          <w:bCs/>
        </w:rPr>
        <w:lastRenderedPageBreak/>
        <w:t>Based on the structures identified, the metabolism of CGA 114900 in sugar beets occurred primarily via:</w:t>
      </w:r>
    </w:p>
    <w:p w14:paraId="79083635" w14:textId="6F609A33" w:rsidR="00BD2FCF" w:rsidRPr="00BD2FCF" w:rsidRDefault="00BD2FCF" w:rsidP="00DD03C2">
      <w:pPr>
        <w:pStyle w:val="APVMABullet1"/>
      </w:pPr>
      <w:r w:rsidRPr="00BD2FCF">
        <w:t>oxidation of the piperidine ring to form CGA 289263 and CGA 289265</w:t>
      </w:r>
    </w:p>
    <w:p w14:paraId="4B147A40" w14:textId="6808935B" w:rsidR="00BD2FCF" w:rsidRPr="00BD2FCF" w:rsidRDefault="00BD2FCF" w:rsidP="00DD03C2">
      <w:pPr>
        <w:pStyle w:val="APVMABullet1"/>
      </w:pPr>
      <w:r w:rsidRPr="00BD2FCF">
        <w:t>oxidation of the tertiary butyl side chain to form CGA 289268 and CGA 289267</w:t>
      </w:r>
    </w:p>
    <w:p w14:paraId="6BA2D1C6" w14:textId="2C09FB94" w:rsidR="00BD2FCF" w:rsidRPr="00BD2FCF" w:rsidRDefault="00BD2FCF" w:rsidP="00DD03C2">
      <w:pPr>
        <w:pStyle w:val="APVMABullet1"/>
      </w:pPr>
      <w:r w:rsidRPr="00BD2FCF">
        <w:t>oxidation of the 2-methylpropyl chain to form NOA 406117and NOA 406116</w:t>
      </w:r>
    </w:p>
    <w:p w14:paraId="605681AE" w14:textId="1605175D" w:rsidR="00BD2FCF" w:rsidRPr="00BD2FCF" w:rsidRDefault="00BD2FCF" w:rsidP="00DD03C2">
      <w:pPr>
        <w:pStyle w:val="APVMABullet1"/>
      </w:pPr>
      <w:r w:rsidRPr="00BD2FCF">
        <w:t>loss of the piperidine ring to form H-12 (2-[4-(2-hydroxypropyl)-phenyl]-2-methylpropan-l-ol)</w:t>
      </w:r>
    </w:p>
    <w:p w14:paraId="71B9C7A6" w14:textId="243E271A" w:rsidR="00BD2FCF" w:rsidRPr="00BD2FCF" w:rsidRDefault="00BD2FCF" w:rsidP="00DD03C2">
      <w:pPr>
        <w:pStyle w:val="APVMABullet1"/>
      </w:pPr>
      <w:r w:rsidRPr="00BD2FCF">
        <w:t>incorporation of carbon from CGA 114900 and its metabolites into the molecules of sugar.</w:t>
      </w:r>
    </w:p>
    <w:p w14:paraId="7F2D2A88" w14:textId="6A8C53A5" w:rsidR="00BD2FCF" w:rsidRDefault="00BD2FCF" w:rsidP="00BD2FCF">
      <w:pPr>
        <w:pStyle w:val="APVMAText"/>
        <w:rPr>
          <w:bCs/>
        </w:rPr>
      </w:pPr>
      <w:r w:rsidRPr="00BD2FCF">
        <w:rPr>
          <w:bCs/>
        </w:rPr>
        <w:t xml:space="preserve">The proposed metabolic pathway of fenpropidin in sugar beets is summarised </w:t>
      </w:r>
      <w:r w:rsidR="00DD03C2">
        <w:rPr>
          <w:bCs/>
        </w:rPr>
        <w:t>in Figure 3</w:t>
      </w:r>
      <w:r w:rsidRPr="00BD2FCF">
        <w:rPr>
          <w:bCs/>
        </w:rPr>
        <w:t>.</w:t>
      </w:r>
    </w:p>
    <w:p w14:paraId="441B2928" w14:textId="11EDB5D7" w:rsidR="00C73889" w:rsidRPr="00831B5E" w:rsidRDefault="00DD03C2" w:rsidP="00DD03C2">
      <w:pPr>
        <w:pStyle w:val="Figurestyle"/>
      </w:pPr>
      <w:bookmarkStart w:id="107" w:name="_Toc137198208"/>
      <w:r>
        <w:t xml:space="preserve">Figure </w:t>
      </w:r>
      <w:fldSimple w:instr=" SEQ Figure \* ARABIC ">
        <w:r>
          <w:rPr>
            <w:noProof/>
          </w:rPr>
          <w:t>3</w:t>
        </w:r>
      </w:fldSimple>
      <w:r w:rsidR="00C73889" w:rsidRPr="00831B5E">
        <w:t>: Proposed metabolic pathway of fenpropidin in sugar beets</w:t>
      </w:r>
      <w:bookmarkEnd w:id="107"/>
    </w:p>
    <w:p w14:paraId="163A6317" w14:textId="6394D867" w:rsidR="00BD2FCF" w:rsidRDefault="00BC0C5D" w:rsidP="00C563CE">
      <w:pPr>
        <w:pStyle w:val="APVMAText"/>
        <w:spacing w:line="600" w:lineRule="auto"/>
        <w:jc w:val="center"/>
        <w:rPr>
          <w:lang w:val="en-GB"/>
        </w:rPr>
      </w:pPr>
      <w:r w:rsidRPr="00C56F7F">
        <w:rPr>
          <w:noProof/>
        </w:rPr>
        <w:drawing>
          <wp:inline distT="0" distB="0" distL="0" distR="0" wp14:anchorId="603EC886" wp14:editId="4C2976A2">
            <wp:extent cx="5001260" cy="5034989"/>
            <wp:effectExtent l="0" t="0" r="8890" b="0"/>
            <wp:docPr id="3" name="Picture 3" descr="Figure 3 shows the proposed metabolic pathway of fenpropidin in sugar b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shows the proposed metabolic pathway of fenpropidin in sugar bee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09636" cy="5043421"/>
                    </a:xfrm>
                    <a:prstGeom prst="rect">
                      <a:avLst/>
                    </a:prstGeom>
                    <a:noFill/>
                    <a:ln>
                      <a:noFill/>
                    </a:ln>
                  </pic:spPr>
                </pic:pic>
              </a:graphicData>
            </a:graphic>
          </wp:inline>
        </w:drawing>
      </w:r>
    </w:p>
    <w:p w14:paraId="58F8223A" w14:textId="3439516A" w:rsidR="00BD2FCF" w:rsidRDefault="00BD2FCF" w:rsidP="00BD2FCF">
      <w:pPr>
        <w:pStyle w:val="Heading4"/>
        <w:rPr>
          <w:lang w:val="en-GB"/>
        </w:rPr>
      </w:pPr>
      <w:bookmarkStart w:id="108" w:name="_Hlk135844770"/>
      <w:r>
        <w:rPr>
          <w:lang w:val="en-GB"/>
        </w:rPr>
        <w:lastRenderedPageBreak/>
        <w:t>Wheat</w:t>
      </w:r>
    </w:p>
    <w:bookmarkEnd w:id="108"/>
    <w:p w14:paraId="7CAB3E3E" w14:textId="02FC6ABB" w:rsidR="00BD2FCF" w:rsidRPr="00C563CE" w:rsidRDefault="00BD2FCF" w:rsidP="00BD2FCF">
      <w:pPr>
        <w:pStyle w:val="NormalText"/>
        <w:rPr>
          <w:bCs/>
          <w:sz w:val="20"/>
          <w:szCs w:val="20"/>
          <w:lang w:val="en-US"/>
        </w:rPr>
      </w:pPr>
      <w:r w:rsidRPr="00C563CE">
        <w:rPr>
          <w:bCs/>
          <w:sz w:val="20"/>
          <w:szCs w:val="20"/>
        </w:rPr>
        <w:t xml:space="preserve">Two foliar applications of </w:t>
      </w:r>
      <w:r w:rsidRPr="00C563CE">
        <w:rPr>
          <w:bCs/>
          <w:sz w:val="20"/>
          <w:szCs w:val="20"/>
          <w:lang w:val="en-US"/>
        </w:rPr>
        <w:t>[N-2- methylpropyl-3-</w:t>
      </w:r>
      <w:r w:rsidRPr="00C563CE">
        <w:rPr>
          <w:bCs/>
          <w:sz w:val="20"/>
          <w:szCs w:val="20"/>
          <w:vertAlign w:val="superscript"/>
          <w:lang w:val="en-US"/>
        </w:rPr>
        <w:t>14</w:t>
      </w:r>
      <w:r w:rsidRPr="00C563CE">
        <w:rPr>
          <w:bCs/>
          <w:sz w:val="20"/>
          <w:szCs w:val="20"/>
          <w:lang w:val="en-US"/>
        </w:rPr>
        <w:t>C] labelled fenpropidin or [2, 6-</w:t>
      </w:r>
      <w:r w:rsidRPr="00C563CE">
        <w:rPr>
          <w:bCs/>
          <w:sz w:val="20"/>
          <w:szCs w:val="20"/>
          <w:vertAlign w:val="superscript"/>
          <w:lang w:val="en-US"/>
        </w:rPr>
        <w:t>14</w:t>
      </w:r>
      <w:r w:rsidRPr="00C563CE">
        <w:rPr>
          <w:bCs/>
          <w:sz w:val="20"/>
          <w:szCs w:val="20"/>
          <w:lang w:val="en-US"/>
        </w:rPr>
        <w:t>C-piperidine] labelled</w:t>
      </w:r>
      <w:r w:rsidRPr="00C563CE">
        <w:rPr>
          <w:bCs/>
          <w:sz w:val="20"/>
          <w:szCs w:val="20"/>
        </w:rPr>
        <w:t xml:space="preserve"> fenpropidin, formulated as an emulsifiable concentrate (EC), were applied indoor grown spring wheat at a rate equivalent to 500 g ai/ha. The first application occurred when the plants had five leaves with the flag leaf just visible (GS 37) and the second application twenty days later </w:t>
      </w:r>
      <w:r w:rsidRPr="00C563CE">
        <w:rPr>
          <w:bCs/>
          <w:sz w:val="20"/>
          <w:szCs w:val="20"/>
          <w:lang w:val="en-US"/>
        </w:rPr>
        <w:t xml:space="preserve">at anthesis of plants (GS 67). For the first sampling time 20 stalks were collected randomly from the treated plants one day after the second application. At maturity, 59 days after the second treatment </w:t>
      </w:r>
      <w:bookmarkStart w:id="109" w:name="_Hlk128639641"/>
      <w:r w:rsidRPr="00C563CE">
        <w:rPr>
          <w:bCs/>
          <w:sz w:val="20"/>
          <w:szCs w:val="20"/>
          <w:lang w:val="en-US"/>
        </w:rPr>
        <w:t>(</w:t>
      </w:r>
      <w:bookmarkStart w:id="110" w:name="_Hlk128639802"/>
      <w:r w:rsidRPr="00C563CE">
        <w:rPr>
          <w:bCs/>
          <w:sz w:val="20"/>
          <w:szCs w:val="20"/>
          <w:lang w:val="en-US"/>
        </w:rPr>
        <w:t xml:space="preserve">for the </w:t>
      </w:r>
      <w:r w:rsidRPr="00C563CE">
        <w:rPr>
          <w:sz w:val="20"/>
          <w:szCs w:val="20"/>
          <w:lang w:val="en-US"/>
        </w:rPr>
        <w:t>[N-2- methylpropyl-3-</w:t>
      </w:r>
      <w:r w:rsidRPr="00C563CE">
        <w:rPr>
          <w:sz w:val="20"/>
          <w:szCs w:val="20"/>
          <w:vertAlign w:val="superscript"/>
          <w:lang w:val="en-US"/>
        </w:rPr>
        <w:t>14</w:t>
      </w:r>
      <w:r w:rsidRPr="00C563CE">
        <w:rPr>
          <w:sz w:val="20"/>
          <w:szCs w:val="20"/>
          <w:lang w:val="en-US"/>
        </w:rPr>
        <w:t>C] labelled fenpropidin experiment</w:t>
      </w:r>
      <w:bookmarkEnd w:id="110"/>
      <w:r w:rsidRPr="00C563CE">
        <w:rPr>
          <w:sz w:val="20"/>
          <w:szCs w:val="20"/>
          <w:lang w:val="en-US"/>
        </w:rPr>
        <w:t>)</w:t>
      </w:r>
      <w:bookmarkEnd w:id="109"/>
      <w:r w:rsidRPr="00C563CE">
        <w:rPr>
          <w:sz w:val="20"/>
          <w:szCs w:val="20"/>
          <w:lang w:val="en-US"/>
        </w:rPr>
        <w:t xml:space="preserve"> and 71 days after the second treatment (</w:t>
      </w:r>
      <w:r w:rsidRPr="00C563CE">
        <w:rPr>
          <w:bCs/>
          <w:sz w:val="20"/>
          <w:szCs w:val="20"/>
          <w:lang w:val="en-US"/>
        </w:rPr>
        <w:t>f</w:t>
      </w:r>
      <w:bookmarkStart w:id="111" w:name="_Hlk128639921"/>
      <w:r w:rsidRPr="00C563CE">
        <w:rPr>
          <w:bCs/>
          <w:sz w:val="20"/>
          <w:szCs w:val="20"/>
          <w:lang w:val="en-US"/>
        </w:rPr>
        <w:t>or the [2, 6-</w:t>
      </w:r>
      <w:r w:rsidRPr="00C563CE">
        <w:rPr>
          <w:bCs/>
          <w:sz w:val="20"/>
          <w:szCs w:val="20"/>
          <w:vertAlign w:val="superscript"/>
          <w:lang w:val="en-US"/>
        </w:rPr>
        <w:t>14</w:t>
      </w:r>
      <w:r w:rsidRPr="00C563CE">
        <w:rPr>
          <w:bCs/>
          <w:sz w:val="20"/>
          <w:szCs w:val="20"/>
          <w:lang w:val="en-US"/>
        </w:rPr>
        <w:t xml:space="preserve">C-piperidine] labelled fenpropidin </w:t>
      </w:r>
      <w:r w:rsidRPr="00C563CE">
        <w:rPr>
          <w:sz w:val="20"/>
          <w:szCs w:val="20"/>
          <w:lang w:val="en-US"/>
        </w:rPr>
        <w:t>experiment</w:t>
      </w:r>
      <w:bookmarkEnd w:id="111"/>
      <w:r w:rsidRPr="00C563CE">
        <w:rPr>
          <w:sz w:val="20"/>
          <w:szCs w:val="20"/>
          <w:lang w:val="en-US"/>
        </w:rPr>
        <w:t>)</w:t>
      </w:r>
      <w:r w:rsidRPr="00C563CE">
        <w:rPr>
          <w:bCs/>
          <w:sz w:val="20"/>
          <w:szCs w:val="20"/>
          <w:lang w:val="en-US"/>
        </w:rPr>
        <w:t>, all plants were harvested and separated in grains, husks, and straw.</w:t>
      </w:r>
    </w:p>
    <w:p w14:paraId="57B14E6B" w14:textId="6F8241C7" w:rsidR="00BD2FCF" w:rsidRPr="00C563CE" w:rsidRDefault="00BD2FCF" w:rsidP="00BD2FCF">
      <w:pPr>
        <w:pStyle w:val="NormalText"/>
        <w:rPr>
          <w:bCs/>
          <w:sz w:val="20"/>
          <w:szCs w:val="20"/>
        </w:rPr>
      </w:pPr>
      <w:r w:rsidRPr="00C563CE">
        <w:rPr>
          <w:sz w:val="20"/>
          <w:szCs w:val="20"/>
          <w:lang w:val="en-US"/>
        </w:rPr>
        <w:t>For the [N-2- methylpropyl-3-</w:t>
      </w:r>
      <w:r w:rsidRPr="00C563CE">
        <w:rPr>
          <w:sz w:val="20"/>
          <w:szCs w:val="20"/>
          <w:vertAlign w:val="superscript"/>
          <w:lang w:val="en-US"/>
        </w:rPr>
        <w:t>14</w:t>
      </w:r>
      <w:r w:rsidRPr="00C563CE">
        <w:rPr>
          <w:sz w:val="20"/>
          <w:szCs w:val="20"/>
          <w:lang w:val="en-US"/>
        </w:rPr>
        <w:t xml:space="preserve">C] labelled fenpropidin experiment total residues were 6.74 mg eq./kg in forage (shoots), at 1 DAA2 and 14.5, 9.64 and 0.19 mg eq./kg in straw, husks, and grain, respectively, at maturity. </w:t>
      </w:r>
      <w:r w:rsidRPr="00C563CE">
        <w:rPr>
          <w:bCs/>
          <w:sz w:val="20"/>
          <w:szCs w:val="20"/>
        </w:rPr>
        <w:t xml:space="preserve">In wheat forage (shoots), wheat straw and </w:t>
      </w:r>
      <w:r w:rsidRPr="00C563CE">
        <w:rPr>
          <w:bCs/>
          <w:sz w:val="20"/>
          <w:szCs w:val="20"/>
          <w:lang w:val="en-US"/>
        </w:rPr>
        <w:t xml:space="preserve">wheat husks </w:t>
      </w:r>
      <w:r w:rsidRPr="00C563CE">
        <w:rPr>
          <w:bCs/>
          <w:sz w:val="20"/>
          <w:szCs w:val="20"/>
        </w:rPr>
        <w:t xml:space="preserve">parent fenpropidin was the major </w:t>
      </w:r>
      <w:r w:rsidRPr="00C563CE">
        <w:rPr>
          <w:sz w:val="20"/>
          <w:szCs w:val="20"/>
        </w:rPr>
        <w:t xml:space="preserve">component of the extracted residue </w:t>
      </w:r>
      <w:r w:rsidRPr="00C563CE">
        <w:rPr>
          <w:bCs/>
          <w:sz w:val="20"/>
          <w:szCs w:val="20"/>
        </w:rPr>
        <w:t xml:space="preserve">at up to 73.7, 52.2 and </w:t>
      </w:r>
      <w:r w:rsidRPr="00C563CE">
        <w:rPr>
          <w:sz w:val="20"/>
          <w:szCs w:val="20"/>
        </w:rPr>
        <w:t>58.8% TRR</w:t>
      </w:r>
      <w:r w:rsidRPr="00C563CE">
        <w:rPr>
          <w:bCs/>
          <w:sz w:val="20"/>
          <w:szCs w:val="20"/>
        </w:rPr>
        <w:t xml:space="preserve">, respectively. Two minor metabolites were identified: CGA 289263 and CGA 289268 in wheat forage (shoots), wheat straw, </w:t>
      </w:r>
      <w:r w:rsidRPr="00C563CE">
        <w:rPr>
          <w:bCs/>
          <w:sz w:val="20"/>
          <w:szCs w:val="20"/>
          <w:lang w:val="en-US"/>
        </w:rPr>
        <w:t xml:space="preserve">wheat husks </w:t>
      </w:r>
      <w:r w:rsidRPr="00C563CE">
        <w:rPr>
          <w:bCs/>
          <w:sz w:val="20"/>
          <w:szCs w:val="20"/>
        </w:rPr>
        <w:t xml:space="preserve">(up to 7.2% TRR for CGA 289263 in wheat husks). </w:t>
      </w:r>
      <w:r w:rsidRPr="00C563CE">
        <w:rPr>
          <w:bCs/>
          <w:sz w:val="20"/>
          <w:szCs w:val="20"/>
          <w:lang w:val="en-US"/>
        </w:rPr>
        <w:t xml:space="preserve">Numerous unidentified metabolite fractions were observed at &lt;5% TRR. </w:t>
      </w:r>
      <w:r w:rsidRPr="00C563CE">
        <w:rPr>
          <w:bCs/>
          <w:sz w:val="20"/>
          <w:szCs w:val="20"/>
        </w:rPr>
        <w:t>In wheat grain, parent fenpropidin was the major component of the residue at up to 55.7% TRR with CGA 289263 the only one other metabolite or metabolite fraction observed at 2.4% TRR. Up to 38.5%</w:t>
      </w:r>
      <w:r w:rsidR="00DD03C2">
        <w:rPr>
          <w:bCs/>
          <w:sz w:val="20"/>
          <w:szCs w:val="20"/>
        </w:rPr>
        <w:t> </w:t>
      </w:r>
      <w:r w:rsidRPr="00C563CE">
        <w:rPr>
          <w:bCs/>
          <w:sz w:val="20"/>
          <w:szCs w:val="20"/>
        </w:rPr>
        <w:t>TRR remained unextracted with a significant proportion (16.8% TRR) incorporated into the starch of the grains.</w:t>
      </w:r>
    </w:p>
    <w:p w14:paraId="7A2AC448" w14:textId="2200DF30" w:rsidR="00BD2FCF" w:rsidRPr="00C563CE" w:rsidRDefault="00BD2FCF" w:rsidP="00BD2FCF">
      <w:pPr>
        <w:pStyle w:val="NormalText"/>
        <w:rPr>
          <w:bCs/>
          <w:sz w:val="20"/>
          <w:szCs w:val="20"/>
        </w:rPr>
      </w:pPr>
      <w:r w:rsidRPr="00C563CE">
        <w:rPr>
          <w:bCs/>
          <w:sz w:val="20"/>
          <w:szCs w:val="20"/>
          <w:lang w:val="en-US"/>
        </w:rPr>
        <w:t>For the [2, 6-</w:t>
      </w:r>
      <w:r w:rsidRPr="00C563CE">
        <w:rPr>
          <w:bCs/>
          <w:sz w:val="20"/>
          <w:szCs w:val="20"/>
          <w:vertAlign w:val="superscript"/>
          <w:lang w:val="en-US"/>
        </w:rPr>
        <w:t>14</w:t>
      </w:r>
      <w:r w:rsidRPr="00C563CE">
        <w:rPr>
          <w:bCs/>
          <w:sz w:val="20"/>
          <w:szCs w:val="20"/>
          <w:lang w:val="en-US"/>
        </w:rPr>
        <w:t xml:space="preserve">C-piperidine] labelled fenpropidin </w:t>
      </w:r>
      <w:r w:rsidRPr="00C563CE">
        <w:rPr>
          <w:sz w:val="20"/>
          <w:szCs w:val="20"/>
          <w:lang w:val="en-US"/>
        </w:rPr>
        <w:t xml:space="preserve">experiment the pattern was </w:t>
      </w:r>
      <w:proofErr w:type="gramStart"/>
      <w:r w:rsidRPr="00C563CE">
        <w:rPr>
          <w:sz w:val="20"/>
          <w:szCs w:val="20"/>
          <w:lang w:val="en-US"/>
        </w:rPr>
        <w:t>similar to</w:t>
      </w:r>
      <w:proofErr w:type="gramEnd"/>
      <w:r w:rsidRPr="00C563CE">
        <w:rPr>
          <w:sz w:val="20"/>
          <w:szCs w:val="20"/>
          <w:lang w:val="en-US"/>
        </w:rPr>
        <w:t xml:space="preserve"> the other </w:t>
      </w:r>
      <w:r w:rsidR="00DD03C2" w:rsidRPr="00C563CE">
        <w:rPr>
          <w:sz w:val="20"/>
          <w:szCs w:val="20"/>
          <w:lang w:val="en-US"/>
        </w:rPr>
        <w:t>radiolabeled</w:t>
      </w:r>
      <w:r w:rsidRPr="00C563CE">
        <w:rPr>
          <w:sz w:val="20"/>
          <w:szCs w:val="20"/>
          <w:lang w:val="en-US"/>
        </w:rPr>
        <w:t xml:space="preserve"> experiment with total residues at 8.86 mg eq./kg in forage (shoots), at 1 DAA2 and 19.1, 10.9 and 0.20</w:t>
      </w:r>
      <w:r w:rsidR="00DD03C2">
        <w:rPr>
          <w:sz w:val="20"/>
          <w:szCs w:val="20"/>
          <w:lang w:val="en-US"/>
        </w:rPr>
        <w:t> </w:t>
      </w:r>
      <w:r w:rsidRPr="00C563CE">
        <w:rPr>
          <w:sz w:val="20"/>
          <w:szCs w:val="20"/>
          <w:lang w:val="en-US"/>
        </w:rPr>
        <w:t xml:space="preserve">mg eq./kg in straw, husks, and grain, respectively, at maturity. </w:t>
      </w:r>
      <w:r w:rsidRPr="00C563CE">
        <w:rPr>
          <w:bCs/>
          <w:sz w:val="20"/>
          <w:szCs w:val="20"/>
        </w:rPr>
        <w:t xml:space="preserve">In wheat forage (shoots), wheat straw and </w:t>
      </w:r>
      <w:r w:rsidRPr="00C563CE">
        <w:rPr>
          <w:bCs/>
          <w:sz w:val="20"/>
          <w:szCs w:val="20"/>
          <w:lang w:val="en-US"/>
        </w:rPr>
        <w:t xml:space="preserve">wheat husks </w:t>
      </w:r>
      <w:r w:rsidRPr="00C563CE">
        <w:rPr>
          <w:bCs/>
          <w:sz w:val="20"/>
          <w:szCs w:val="20"/>
        </w:rPr>
        <w:t xml:space="preserve">parent fenpropidin was the major </w:t>
      </w:r>
      <w:r w:rsidRPr="00C563CE">
        <w:rPr>
          <w:sz w:val="20"/>
          <w:szCs w:val="20"/>
        </w:rPr>
        <w:t xml:space="preserve">component of the extracted residue </w:t>
      </w:r>
      <w:r w:rsidRPr="00C563CE">
        <w:rPr>
          <w:bCs/>
          <w:sz w:val="20"/>
          <w:szCs w:val="20"/>
        </w:rPr>
        <w:t xml:space="preserve">at up to 79.2, 54.0 and </w:t>
      </w:r>
      <w:r w:rsidRPr="00C563CE">
        <w:rPr>
          <w:sz w:val="20"/>
          <w:szCs w:val="20"/>
        </w:rPr>
        <w:t>65.1%</w:t>
      </w:r>
      <w:r w:rsidR="00DD03C2">
        <w:rPr>
          <w:sz w:val="20"/>
          <w:szCs w:val="20"/>
        </w:rPr>
        <w:t> </w:t>
      </w:r>
      <w:r w:rsidRPr="00C563CE">
        <w:rPr>
          <w:sz w:val="20"/>
          <w:szCs w:val="20"/>
        </w:rPr>
        <w:t>TRR, respectively</w:t>
      </w:r>
      <w:r w:rsidRPr="00C563CE">
        <w:rPr>
          <w:bCs/>
          <w:sz w:val="20"/>
          <w:szCs w:val="20"/>
        </w:rPr>
        <w:t>. CGA 289263 and CGA 289268 were observed as minor metabolites (up to 6.9%</w:t>
      </w:r>
      <w:r w:rsidR="00DD03C2">
        <w:rPr>
          <w:bCs/>
          <w:sz w:val="20"/>
          <w:szCs w:val="20"/>
        </w:rPr>
        <w:t> </w:t>
      </w:r>
      <w:r w:rsidRPr="00C563CE">
        <w:rPr>
          <w:bCs/>
          <w:sz w:val="20"/>
          <w:szCs w:val="20"/>
        </w:rPr>
        <w:t>TRR for CGA 289263 in wheat straw). Again, n</w:t>
      </w:r>
      <w:proofErr w:type="spellStart"/>
      <w:r w:rsidRPr="00C563CE">
        <w:rPr>
          <w:bCs/>
          <w:sz w:val="20"/>
          <w:szCs w:val="20"/>
          <w:lang w:val="en-US"/>
        </w:rPr>
        <w:t>umerous</w:t>
      </w:r>
      <w:proofErr w:type="spellEnd"/>
      <w:r w:rsidRPr="00C563CE">
        <w:rPr>
          <w:bCs/>
          <w:sz w:val="20"/>
          <w:szCs w:val="20"/>
          <w:lang w:val="en-US"/>
        </w:rPr>
        <w:t xml:space="preserve"> unidentified metabolite fractions were observed at &lt;5% TRR. </w:t>
      </w:r>
      <w:r w:rsidRPr="00C563CE">
        <w:rPr>
          <w:bCs/>
          <w:sz w:val="20"/>
          <w:szCs w:val="20"/>
        </w:rPr>
        <w:t>In wheat grain, parent fenpropidin was the major component of the residue at up to 37.5% TRR with CGA 289263 the only one other metabolite or metabolite fraction observed at 2.0%</w:t>
      </w:r>
      <w:r w:rsidR="00DD03C2">
        <w:rPr>
          <w:bCs/>
          <w:sz w:val="20"/>
          <w:szCs w:val="20"/>
        </w:rPr>
        <w:t> </w:t>
      </w:r>
      <w:r w:rsidRPr="00C563CE">
        <w:rPr>
          <w:bCs/>
          <w:sz w:val="20"/>
          <w:szCs w:val="20"/>
        </w:rPr>
        <w:t>TRR. Up to 50.6% TRR remained unextracted with a significant proportion (20.2% TRR) incorporated into the starch of the grains.</w:t>
      </w:r>
    </w:p>
    <w:p w14:paraId="2D5199DC" w14:textId="63808C56" w:rsidR="00BD2FCF" w:rsidRPr="00C563CE" w:rsidRDefault="00BD2FCF" w:rsidP="00BD2FCF">
      <w:pPr>
        <w:pStyle w:val="NormalText"/>
        <w:rPr>
          <w:bCs/>
          <w:sz w:val="20"/>
          <w:szCs w:val="20"/>
        </w:rPr>
      </w:pPr>
      <w:r w:rsidRPr="00C563CE">
        <w:rPr>
          <w:bCs/>
          <w:sz w:val="20"/>
          <w:szCs w:val="20"/>
        </w:rPr>
        <w:t xml:space="preserve">In summary, parent compound was the largest component of the residue in forage, straw, husks and grain. N-oxidation of the piperidine ring resulted in the formation of CGA 289263. Oxidation of the propyl group of the phenyl ring resulted in the formation of CGA 289268. The metabolite pattern was similar for both radiolabelled experiments. </w:t>
      </w:r>
    </w:p>
    <w:p w14:paraId="2E49B095" w14:textId="7A134360" w:rsidR="00BD2FCF" w:rsidRPr="00C563CE" w:rsidRDefault="00BD2FCF" w:rsidP="00BD2FCF">
      <w:pPr>
        <w:pStyle w:val="NormalText"/>
        <w:rPr>
          <w:sz w:val="20"/>
          <w:szCs w:val="20"/>
          <w:lang w:val="en-US"/>
        </w:rPr>
      </w:pPr>
      <w:r w:rsidRPr="00C563CE">
        <w:rPr>
          <w:bCs/>
          <w:sz w:val="20"/>
          <w:szCs w:val="20"/>
        </w:rPr>
        <w:t>Another metabolism study was conducted i</w:t>
      </w:r>
      <w:r w:rsidRPr="00C563CE">
        <w:rPr>
          <w:sz w:val="20"/>
          <w:szCs w:val="20"/>
        </w:rPr>
        <w:t>n summer wheat following a foliar application of [N-2-methyl-3-</w:t>
      </w:r>
      <w:r w:rsidRPr="00C563CE">
        <w:rPr>
          <w:sz w:val="20"/>
          <w:szCs w:val="20"/>
          <w:vertAlign w:val="superscript"/>
        </w:rPr>
        <w:t>14</w:t>
      </w:r>
      <w:r w:rsidRPr="00C563CE">
        <w:rPr>
          <w:sz w:val="20"/>
          <w:szCs w:val="20"/>
        </w:rPr>
        <w:t>C]</w:t>
      </w:r>
      <w:r w:rsidRPr="00C563CE">
        <w:rPr>
          <w:sz w:val="20"/>
          <w:szCs w:val="20"/>
          <w:lang w:val="en-US"/>
        </w:rPr>
        <w:t xml:space="preserve"> labelled fenpropidin. </w:t>
      </w:r>
    </w:p>
    <w:p w14:paraId="39F870CE" w14:textId="22CC718C" w:rsidR="00BD2FCF" w:rsidRPr="00C563CE" w:rsidRDefault="00BD2FCF" w:rsidP="00BD2FCF">
      <w:pPr>
        <w:pStyle w:val="NormalText"/>
        <w:rPr>
          <w:bCs/>
          <w:sz w:val="20"/>
          <w:szCs w:val="20"/>
        </w:rPr>
      </w:pPr>
      <w:r w:rsidRPr="00C563CE">
        <w:rPr>
          <w:bCs/>
          <w:sz w:val="20"/>
          <w:szCs w:val="20"/>
        </w:rPr>
        <w:t>A single foliar application of [N-2-methyl-3-</w:t>
      </w:r>
      <w:r w:rsidRPr="00C563CE">
        <w:rPr>
          <w:bCs/>
          <w:sz w:val="20"/>
          <w:szCs w:val="20"/>
          <w:vertAlign w:val="superscript"/>
        </w:rPr>
        <w:t>14</w:t>
      </w:r>
      <w:r w:rsidRPr="00C563CE">
        <w:rPr>
          <w:bCs/>
          <w:sz w:val="20"/>
          <w:szCs w:val="20"/>
        </w:rPr>
        <w:t>C]</w:t>
      </w:r>
      <w:r w:rsidRPr="00C563CE">
        <w:rPr>
          <w:bCs/>
          <w:sz w:val="20"/>
          <w:szCs w:val="20"/>
          <w:lang w:val="en-US"/>
        </w:rPr>
        <w:t xml:space="preserve"> labelled </w:t>
      </w:r>
      <w:r w:rsidRPr="00C563CE">
        <w:rPr>
          <w:bCs/>
          <w:sz w:val="20"/>
          <w:szCs w:val="20"/>
        </w:rPr>
        <w:t>fenpropidin, formulated as an emulsifiable concentrate (EC), was applied to greenhouse grown summer wheat at BBCH 51 at a rate equivalent to 910</w:t>
      </w:r>
      <w:r w:rsidR="00DD03C2">
        <w:rPr>
          <w:bCs/>
          <w:sz w:val="20"/>
          <w:szCs w:val="20"/>
        </w:rPr>
        <w:t> </w:t>
      </w:r>
      <w:r w:rsidRPr="00C563CE">
        <w:rPr>
          <w:bCs/>
          <w:sz w:val="20"/>
          <w:szCs w:val="20"/>
        </w:rPr>
        <w:t>g ai/ha. At 23 days after application, green plants were collected and analysed. At 72 days after application (BBCH 71-75) straw, chaff and grain were harvested.</w:t>
      </w:r>
    </w:p>
    <w:p w14:paraId="66B46D2C" w14:textId="07524176" w:rsidR="00BD2FCF" w:rsidRPr="00C563CE" w:rsidRDefault="00BD2FCF" w:rsidP="00BD2FCF">
      <w:pPr>
        <w:pStyle w:val="NormalText"/>
        <w:rPr>
          <w:bCs/>
          <w:sz w:val="20"/>
          <w:szCs w:val="20"/>
        </w:rPr>
      </w:pPr>
      <w:r w:rsidRPr="00C563CE">
        <w:rPr>
          <w:bCs/>
          <w:sz w:val="20"/>
          <w:szCs w:val="20"/>
        </w:rPr>
        <w:lastRenderedPageBreak/>
        <w:t>In green plants, 66.9% (5.82 mg/kg; fresh weight) of the radioactivity applied to the plants was recovered. An amount of 50% of the initially applied dose was identified as parent fenpropidin in the various fractions. This corresponds to a concentration of 4.35 mg/kg fenpropidin in green plants at 23 days after application. In straw, 55.2% (19.66 mg/kg) of the radioactivity applied to the plants was recovered. A total of 21.3% (7.59</w:t>
      </w:r>
      <w:r w:rsidR="00DD03C2">
        <w:rPr>
          <w:bCs/>
          <w:sz w:val="20"/>
          <w:szCs w:val="20"/>
        </w:rPr>
        <w:t> </w:t>
      </w:r>
      <w:r w:rsidRPr="00C563CE">
        <w:rPr>
          <w:bCs/>
          <w:sz w:val="20"/>
          <w:szCs w:val="20"/>
        </w:rPr>
        <w:t xml:space="preserve">mg/kg) of the initially applied radioactivity was identified as parent fenpropidin at 72 days after application. In chaff, 1.1% (2.35 mg/kg) of the radioactivity applied to the plants was recovered. A total of 0.44% of the initially applied radioactivity were present as parent fenpropidin. </w:t>
      </w:r>
      <w:r w:rsidRPr="00C563CE">
        <w:rPr>
          <w:bCs/>
          <w:sz w:val="20"/>
          <w:szCs w:val="20"/>
          <w:lang w:val="en-US"/>
        </w:rPr>
        <w:t xml:space="preserve">In grain, 0.038% </w:t>
      </w:r>
      <w:r w:rsidRPr="00C563CE">
        <w:rPr>
          <w:bCs/>
          <w:sz w:val="20"/>
          <w:szCs w:val="20"/>
        </w:rPr>
        <w:t>of the radioactivity applied to the plants was recovered. A total of 0.005% of the applied dose was identified as parent fenpropidin and 0.001% as metabolites.</w:t>
      </w:r>
    </w:p>
    <w:p w14:paraId="4211DD2B" w14:textId="1DDCEE6E" w:rsidR="00BD2FCF" w:rsidRPr="00C563CE" w:rsidRDefault="00BD2FCF" w:rsidP="00BD2FCF">
      <w:pPr>
        <w:pStyle w:val="NormalText"/>
        <w:rPr>
          <w:bCs/>
          <w:sz w:val="20"/>
          <w:szCs w:val="20"/>
          <w:lang w:val="en-US"/>
        </w:rPr>
      </w:pPr>
      <w:r w:rsidRPr="00C563CE">
        <w:rPr>
          <w:bCs/>
          <w:sz w:val="20"/>
          <w:szCs w:val="20"/>
        </w:rPr>
        <w:t>No metabolic pathways were presented in the spring or summer wheat metabolism studies.</w:t>
      </w:r>
    </w:p>
    <w:p w14:paraId="619F592D" w14:textId="7AB4402D" w:rsidR="00BD2FCF" w:rsidRDefault="00BD2FCF" w:rsidP="00BD2FCF">
      <w:pPr>
        <w:pStyle w:val="Heading4"/>
        <w:rPr>
          <w:lang w:val="en-GB"/>
        </w:rPr>
      </w:pPr>
      <w:r>
        <w:rPr>
          <w:lang w:val="en-GB"/>
        </w:rPr>
        <w:t>Summary of plant metabolism</w:t>
      </w:r>
    </w:p>
    <w:p w14:paraId="6AB3E003" w14:textId="226662CB" w:rsidR="00BD2FCF" w:rsidRPr="00C563CE" w:rsidRDefault="00BD2FCF" w:rsidP="00BD2FCF">
      <w:pPr>
        <w:pStyle w:val="NormalText"/>
        <w:rPr>
          <w:bCs/>
          <w:sz w:val="20"/>
          <w:szCs w:val="20"/>
        </w:rPr>
      </w:pPr>
      <w:r w:rsidRPr="00C563CE">
        <w:rPr>
          <w:bCs/>
          <w:sz w:val="20"/>
          <w:szCs w:val="20"/>
        </w:rPr>
        <w:t>Metabolism was observed to be similar in all crop types investigated</w:t>
      </w:r>
      <w:r w:rsidR="006316A3">
        <w:rPr>
          <w:bCs/>
          <w:sz w:val="20"/>
          <w:szCs w:val="20"/>
        </w:rPr>
        <w:t>,</w:t>
      </w:r>
      <w:r w:rsidRPr="00C563CE">
        <w:rPr>
          <w:bCs/>
          <w:sz w:val="20"/>
          <w:szCs w:val="20"/>
        </w:rPr>
        <w:t xml:space="preserve"> namely bananas and grapes (fruits), sugar beets (root vegetables)</w:t>
      </w:r>
      <w:r w:rsidR="006316A3">
        <w:rPr>
          <w:bCs/>
          <w:sz w:val="20"/>
          <w:szCs w:val="20"/>
        </w:rPr>
        <w:t>,</w:t>
      </w:r>
      <w:r w:rsidRPr="00C563CE">
        <w:rPr>
          <w:bCs/>
          <w:sz w:val="20"/>
          <w:szCs w:val="20"/>
        </w:rPr>
        <w:t xml:space="preserve"> and wheat (cereals). Parent fenpropidin was the major component of the radioactivity in all mature plant matrices at 77% TRR in banana pulp, 63% TRR in grape (whole fruit), 56%</w:t>
      </w:r>
      <w:r w:rsidR="00DD03C2">
        <w:rPr>
          <w:bCs/>
          <w:sz w:val="20"/>
          <w:szCs w:val="20"/>
        </w:rPr>
        <w:t> </w:t>
      </w:r>
      <w:r w:rsidRPr="00C563CE">
        <w:rPr>
          <w:bCs/>
          <w:sz w:val="20"/>
          <w:szCs w:val="20"/>
        </w:rPr>
        <w:t>TRR in wheat grain, 59% TRR in wheat husk, 52% in wheat straw, 74% in wheat forage and 48%</w:t>
      </w:r>
      <w:r w:rsidR="00DD03C2">
        <w:rPr>
          <w:bCs/>
          <w:sz w:val="20"/>
          <w:szCs w:val="20"/>
        </w:rPr>
        <w:t> </w:t>
      </w:r>
      <w:r w:rsidRPr="00C563CE">
        <w:rPr>
          <w:bCs/>
          <w:sz w:val="20"/>
          <w:szCs w:val="20"/>
        </w:rPr>
        <w:t>TRR in sugar beet tops but was observed to rapidly decline in sugar beet root at 2.3% in the mature root. Numerous minor metabolites were observed generally &lt;10% TRR and &lt;0.01 mg eq./kg except for CGA 289263 which was observed in banana pulp and whole grapes at 3.3-3.5% TRR (0.012 mg eq./kg in whole grapes and 0.17 mg eq./kg in banana pulp).</w:t>
      </w:r>
    </w:p>
    <w:p w14:paraId="790ED0CE" w14:textId="77777777" w:rsidR="00BD2FCF" w:rsidRPr="00C563CE" w:rsidRDefault="00BD2FCF" w:rsidP="00BD2FCF">
      <w:pPr>
        <w:pStyle w:val="NormalText"/>
        <w:rPr>
          <w:bCs/>
          <w:sz w:val="20"/>
          <w:szCs w:val="20"/>
        </w:rPr>
      </w:pPr>
      <w:r w:rsidRPr="00C563CE">
        <w:rPr>
          <w:bCs/>
          <w:sz w:val="20"/>
          <w:szCs w:val="20"/>
        </w:rPr>
        <w:t>The primary metabolic process in all three crop types involved:</w:t>
      </w:r>
    </w:p>
    <w:p w14:paraId="0D29D001" w14:textId="6CAF8D33" w:rsidR="00BD2FCF" w:rsidRPr="00C563CE" w:rsidRDefault="00BD2FCF" w:rsidP="00DD03C2">
      <w:pPr>
        <w:pStyle w:val="APVMABullet1"/>
      </w:pPr>
      <w:r w:rsidRPr="00C563CE">
        <w:t>oxidation of the piperidine ring to CGA 289263, CGA 289269, CGA 289265 and wheat metabolite I9</w:t>
      </w:r>
    </w:p>
    <w:p w14:paraId="3445AA2C" w14:textId="22D2E495" w:rsidR="00BD2FCF" w:rsidRPr="00C563CE" w:rsidRDefault="00BD2FCF" w:rsidP="00DD03C2">
      <w:pPr>
        <w:pStyle w:val="APVMABullet1"/>
      </w:pPr>
      <w:r w:rsidRPr="00C563CE">
        <w:t>oxidation of the tertiary-butyl side chain to CGA 289268 and CGA 289267</w:t>
      </w:r>
    </w:p>
    <w:p w14:paraId="10D83528" w14:textId="506EB3DE" w:rsidR="00BD2FCF" w:rsidRPr="00C563CE" w:rsidRDefault="00BD2FCF" w:rsidP="00DD03C2">
      <w:pPr>
        <w:pStyle w:val="APVMABullet1"/>
      </w:pPr>
      <w:r w:rsidRPr="00C563CE">
        <w:t>oxidation of the 2-methylpropyl chain to CGA 289266, NOA 406117 and NOA 406116</w:t>
      </w:r>
    </w:p>
    <w:p w14:paraId="53DEB3CA" w14:textId="41DBD8C8" w:rsidR="00BD2FCF" w:rsidRPr="00C563CE" w:rsidRDefault="00BD2FCF" w:rsidP="00DD03C2">
      <w:pPr>
        <w:pStyle w:val="APVMABullet1"/>
      </w:pPr>
      <w:r w:rsidRPr="00C563CE">
        <w:t>other primary metabolism processes included cleavage of the piperidine bond to form CGA 289273 and H-12</w:t>
      </w:r>
    </w:p>
    <w:p w14:paraId="15FAC84A" w14:textId="3F082CE4" w:rsidR="00BD2FCF" w:rsidRPr="00C563CE" w:rsidRDefault="00BD2FCF" w:rsidP="00DD03C2">
      <w:pPr>
        <w:pStyle w:val="APVMABullet1"/>
      </w:pPr>
      <w:r w:rsidRPr="00C563CE">
        <w:t>glucose conjugation of the tertiary-butyl side chain metabolites was observed as a secondary metabolism process</w:t>
      </w:r>
      <w:r w:rsidR="00DD03C2">
        <w:t>.</w:t>
      </w:r>
    </w:p>
    <w:p w14:paraId="50E27D26" w14:textId="21554949" w:rsidR="00DD03C2" w:rsidRDefault="00BD2FCF" w:rsidP="00BD2FCF">
      <w:pPr>
        <w:pStyle w:val="NormalText"/>
        <w:rPr>
          <w:bCs/>
          <w:sz w:val="20"/>
          <w:szCs w:val="20"/>
        </w:rPr>
      </w:pPr>
      <w:r w:rsidRPr="00C563CE">
        <w:rPr>
          <w:bCs/>
          <w:sz w:val="20"/>
          <w:szCs w:val="20"/>
        </w:rPr>
        <w:t xml:space="preserve">A proposed metabolic pathway of fenpropidin in plants is presented </w:t>
      </w:r>
      <w:r w:rsidR="00DD03C2">
        <w:rPr>
          <w:bCs/>
          <w:sz w:val="20"/>
          <w:szCs w:val="20"/>
        </w:rPr>
        <w:t>in Figure 4</w:t>
      </w:r>
      <w:r w:rsidRPr="00C563CE">
        <w:rPr>
          <w:bCs/>
          <w:sz w:val="20"/>
          <w:szCs w:val="20"/>
        </w:rPr>
        <w:t xml:space="preserve"> (as extracted from the </w:t>
      </w:r>
      <w:bookmarkStart w:id="112" w:name="_Hlk128645931"/>
      <w:r w:rsidRPr="00C563CE">
        <w:rPr>
          <w:bCs/>
          <w:sz w:val="20"/>
          <w:szCs w:val="20"/>
        </w:rPr>
        <w:t xml:space="preserve">European Commission </w:t>
      </w:r>
      <w:hyperlink r:id="rId41" w:history="1">
        <w:r w:rsidRPr="00C563CE">
          <w:rPr>
            <w:rStyle w:val="Hyperlink"/>
            <w:bCs/>
            <w:i/>
            <w:iCs/>
            <w:sz w:val="20"/>
            <w:szCs w:val="20"/>
          </w:rPr>
          <w:t>Draft Assessment report (DAR) on fenpropidin</w:t>
        </w:r>
      </w:hyperlink>
      <w:r w:rsidRPr="00C563CE">
        <w:rPr>
          <w:bCs/>
          <w:sz w:val="20"/>
          <w:szCs w:val="20"/>
        </w:rPr>
        <w:t>)</w:t>
      </w:r>
      <w:bookmarkEnd w:id="112"/>
      <w:r w:rsidRPr="00C563CE">
        <w:rPr>
          <w:bCs/>
          <w:sz w:val="20"/>
          <w:szCs w:val="20"/>
        </w:rPr>
        <w:t>.</w:t>
      </w:r>
      <w:r w:rsidR="00DD03C2">
        <w:rPr>
          <w:bCs/>
          <w:sz w:val="20"/>
          <w:szCs w:val="20"/>
        </w:rPr>
        <w:br w:type="page"/>
      </w:r>
    </w:p>
    <w:p w14:paraId="05B384F2" w14:textId="04A1C9DA" w:rsidR="00BD2FCF" w:rsidRPr="00DD03C2" w:rsidRDefault="00DD03C2" w:rsidP="00DD03C2">
      <w:pPr>
        <w:pStyle w:val="Figurestyle"/>
      </w:pPr>
      <w:bookmarkStart w:id="113" w:name="_Toc136869300"/>
      <w:bookmarkStart w:id="114" w:name="_Toc136869431"/>
      <w:bookmarkStart w:id="115" w:name="_Hlk135859600"/>
      <w:bookmarkStart w:id="116" w:name="_Toc137198209"/>
      <w:r w:rsidRPr="00DD03C2">
        <w:lastRenderedPageBreak/>
        <w:t xml:space="preserve">Figure </w:t>
      </w:r>
      <w:fldSimple w:instr=" SEQ Figure \* ARABIC ">
        <w:r w:rsidRPr="00DD03C2">
          <w:t>4</w:t>
        </w:r>
      </w:fldSimple>
      <w:r w:rsidR="00BD2FCF" w:rsidRPr="00DD03C2">
        <w:t>: Proposed metabolic pathway of fenpropidin in plants</w:t>
      </w:r>
      <w:bookmarkEnd w:id="113"/>
      <w:bookmarkEnd w:id="114"/>
      <w:bookmarkEnd w:id="116"/>
    </w:p>
    <w:p w14:paraId="52FFFDD2" w14:textId="0B34B605" w:rsidR="00DD03C2" w:rsidRDefault="00BD2FCF" w:rsidP="00BD2FCF">
      <w:pPr>
        <w:pStyle w:val="APVMAText"/>
        <w:spacing w:line="600" w:lineRule="auto"/>
        <w:jc w:val="center"/>
        <w:rPr>
          <w:lang w:val="en-GB"/>
        </w:rPr>
      </w:pPr>
      <w:r w:rsidRPr="009C0F82">
        <w:rPr>
          <w:noProof/>
          <w:szCs w:val="20"/>
        </w:rPr>
        <w:drawing>
          <wp:inline distT="0" distB="0" distL="0" distR="0" wp14:anchorId="73D7CDCF" wp14:editId="6F16C8DB">
            <wp:extent cx="5923227" cy="6934810"/>
            <wp:effectExtent l="0" t="0" r="1905" b="0"/>
            <wp:docPr id="54" name="Picture 54" descr="Figure 4 shows the proposed metabolic pathway of fenpropidin in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4 shows the proposed metabolic pathway of fenpropidin in plan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3699" cy="6970486"/>
                    </a:xfrm>
                    <a:prstGeom prst="rect">
                      <a:avLst/>
                    </a:prstGeom>
                    <a:noFill/>
                    <a:ln>
                      <a:noFill/>
                    </a:ln>
                  </pic:spPr>
                </pic:pic>
              </a:graphicData>
            </a:graphic>
          </wp:inline>
        </w:drawing>
      </w:r>
      <w:r w:rsidR="00DD03C2">
        <w:rPr>
          <w:lang w:val="en-GB"/>
        </w:rPr>
        <w:br w:type="page"/>
      </w:r>
    </w:p>
    <w:bookmarkEnd w:id="115"/>
    <w:p w14:paraId="41B94D30" w14:textId="0C8E8466" w:rsidR="00BD2FCF" w:rsidRDefault="00BD2FCF" w:rsidP="00BD2FCF">
      <w:pPr>
        <w:pStyle w:val="Heading3"/>
        <w:rPr>
          <w:lang w:val="en-GB"/>
        </w:rPr>
      </w:pPr>
      <w:r>
        <w:rPr>
          <w:lang w:val="en-GB"/>
        </w:rPr>
        <w:lastRenderedPageBreak/>
        <w:t>Target animals</w:t>
      </w:r>
    </w:p>
    <w:p w14:paraId="2014ED22" w14:textId="0001A976" w:rsidR="00BD2FCF" w:rsidRDefault="00BD2FCF" w:rsidP="00BD2FCF">
      <w:pPr>
        <w:pStyle w:val="Heading4"/>
        <w:rPr>
          <w:lang w:val="en-GB"/>
        </w:rPr>
      </w:pPr>
      <w:r>
        <w:rPr>
          <w:lang w:val="en-GB"/>
        </w:rPr>
        <w:t>Lactating goat</w:t>
      </w:r>
    </w:p>
    <w:p w14:paraId="2F5578FA" w14:textId="12C3BD69" w:rsidR="00BD2FCF" w:rsidRPr="00C563CE" w:rsidRDefault="00BD2FCF" w:rsidP="00BD2FCF">
      <w:pPr>
        <w:pStyle w:val="NormalText"/>
        <w:rPr>
          <w:sz w:val="20"/>
          <w:szCs w:val="20"/>
        </w:rPr>
      </w:pPr>
      <w:r w:rsidRPr="00C563CE">
        <w:rPr>
          <w:sz w:val="20"/>
          <w:szCs w:val="20"/>
        </w:rPr>
        <w:t>A</w:t>
      </w:r>
      <w:bookmarkStart w:id="117" w:name="_Hlk128636951"/>
      <w:r w:rsidRPr="00C563CE">
        <w:rPr>
          <w:sz w:val="20"/>
          <w:szCs w:val="20"/>
        </w:rPr>
        <w:t xml:space="preserve"> lactating goat was administered </w:t>
      </w:r>
      <w:bookmarkStart w:id="118" w:name="_Hlk128637424"/>
      <w:r w:rsidRPr="00C563CE">
        <w:rPr>
          <w:sz w:val="20"/>
          <w:szCs w:val="20"/>
        </w:rPr>
        <w:t>4 consecutive daily doses of [N-2-methylpropyl -3-</w:t>
      </w:r>
      <w:r w:rsidRPr="00C563CE">
        <w:rPr>
          <w:sz w:val="20"/>
          <w:szCs w:val="20"/>
          <w:vertAlign w:val="superscript"/>
        </w:rPr>
        <w:t>14</w:t>
      </w:r>
      <w:r w:rsidRPr="00C563CE">
        <w:rPr>
          <w:sz w:val="20"/>
          <w:szCs w:val="20"/>
        </w:rPr>
        <w:t>C]-fenpropidin orally at a dose level of 121 ppm/day in the feed.</w:t>
      </w:r>
      <w:bookmarkEnd w:id="118"/>
      <w:r w:rsidRPr="00C563CE">
        <w:rPr>
          <w:sz w:val="20"/>
          <w:szCs w:val="20"/>
        </w:rPr>
        <w:t xml:space="preserve"> </w:t>
      </w:r>
      <w:bookmarkEnd w:id="117"/>
      <w:r w:rsidRPr="00C563CE">
        <w:rPr>
          <w:sz w:val="20"/>
          <w:szCs w:val="20"/>
        </w:rPr>
        <w:t>The study determined that fenpropidin is extensively metabolized in the goat with most of the radioactivity rapidly excreted in urine (49.3%) and faeces (14.3%) or associated with bile and the gastrointestinal tract (17.2%) within 24 hours of the final dose. Only a small amount of the applied dose was observed in edible tissues (1.2%) and milk (&lt;0.1%). Total radioactive residues were 7.649</w:t>
      </w:r>
      <w:r w:rsidR="00DD03C2">
        <w:rPr>
          <w:sz w:val="20"/>
          <w:szCs w:val="20"/>
        </w:rPr>
        <w:t> </w:t>
      </w:r>
      <w:r w:rsidRPr="00C563CE">
        <w:rPr>
          <w:sz w:val="20"/>
          <w:szCs w:val="20"/>
        </w:rPr>
        <w:t>mg eq./kg in liver, 4.373 mg eq./kg in kidney, 0.164 mg eq./kg in muscle, 0.042 mg eq./kg in fat and 0.196 mg eq./kg in milk. Total recovery accounted for 83.6% of the applied dose.</w:t>
      </w:r>
    </w:p>
    <w:p w14:paraId="04EDE719" w14:textId="0A379E25" w:rsidR="00BD2FCF" w:rsidRPr="00C563CE" w:rsidRDefault="00BD2FCF" w:rsidP="00BD2FCF">
      <w:pPr>
        <w:pStyle w:val="NormalText"/>
        <w:rPr>
          <w:sz w:val="20"/>
          <w:szCs w:val="20"/>
        </w:rPr>
      </w:pPr>
      <w:r w:rsidRPr="00C563CE">
        <w:rPr>
          <w:sz w:val="20"/>
          <w:szCs w:val="20"/>
        </w:rPr>
        <w:t xml:space="preserve">Parent fenpropidin was only detected in liver at 1.1% TRR and fat at 6.6% TRR. </w:t>
      </w:r>
      <w:bookmarkStart w:id="119" w:name="_Hlk128467194"/>
      <w:r w:rsidRPr="00C563CE">
        <w:rPr>
          <w:sz w:val="20"/>
          <w:szCs w:val="20"/>
        </w:rPr>
        <w:t>CGA 289267 was the major metabolite and was observed in all tissues and milk</w:t>
      </w:r>
      <w:bookmarkEnd w:id="119"/>
      <w:r w:rsidRPr="00C563CE">
        <w:rPr>
          <w:sz w:val="20"/>
          <w:szCs w:val="20"/>
        </w:rPr>
        <w:t xml:space="preserve"> at 38.4, 15.2, 12.6, 8.4 and 23.5% TRR in muscle, fat, kidney, liver and milk, respectively. </w:t>
      </w:r>
      <w:bookmarkStart w:id="120" w:name="_Hlk128559417"/>
      <w:r w:rsidRPr="00C563CE">
        <w:rPr>
          <w:sz w:val="20"/>
          <w:szCs w:val="20"/>
        </w:rPr>
        <w:t>SYN 515213 was a significant metabolite at 30.0, 15.3, 16.3, 6.5 and 21.3% TRR in muscle, fat, kidney, liver and milk, respectively. The sulphate ester conjugate of SYN 515213 was also significant in all tissues at 10.7, 12.3, 13.0 and 12.6% TRR in muscle, fat, kidney and liver, respectively. The sulphate ester conjugate of CGA 289268 was observed at 13.3, 6.4 and 33.4% TRR in liver, kidney and milk, respectively but at low levels 2.7-3.3% TRR (0.001-0.004 mg eq./kg) in muscle and fat. The sulphate ester conjugate of SYN 515215 was observed at 5.2 and 12.7% TRR in kidney and liver, respectively but was not observed in muscle, fat and milk. All other metabolites were considered minor at &lt;10% TRR (&lt;0.01 mg eq./kg) in all tissues and milk.</w:t>
      </w:r>
    </w:p>
    <w:bookmarkEnd w:id="120"/>
    <w:p w14:paraId="7E56B3AE" w14:textId="77777777" w:rsidR="00BD2FCF" w:rsidRPr="00C563CE" w:rsidRDefault="00BD2FCF" w:rsidP="00BD2FCF">
      <w:pPr>
        <w:pStyle w:val="NormalText"/>
        <w:rPr>
          <w:sz w:val="20"/>
          <w:szCs w:val="20"/>
        </w:rPr>
      </w:pPr>
      <w:r w:rsidRPr="00C563CE">
        <w:rPr>
          <w:sz w:val="20"/>
          <w:szCs w:val="20"/>
        </w:rPr>
        <w:t>The metabolism in the lactating goat proceeds via:</w:t>
      </w:r>
    </w:p>
    <w:p w14:paraId="7BFE6529" w14:textId="7B462430" w:rsidR="00BD2FCF" w:rsidRPr="00C563CE" w:rsidRDefault="00BD2FCF" w:rsidP="00DD03C2">
      <w:pPr>
        <w:pStyle w:val="APVMABullet1"/>
      </w:pPr>
      <w:r w:rsidRPr="00C563CE">
        <w:t>oxidation of the tertiary-butyl group to CGA 289268</w:t>
      </w:r>
    </w:p>
    <w:p w14:paraId="2862BFF1" w14:textId="5D340FAC" w:rsidR="00BD2FCF" w:rsidRPr="00C563CE" w:rsidRDefault="00BD2FCF" w:rsidP="00DD03C2">
      <w:pPr>
        <w:pStyle w:val="APVMABullet1"/>
      </w:pPr>
      <w:r w:rsidRPr="00C563CE">
        <w:t>further oxidation leading to the formation of metabolites CGA 289267, SYN 515213 and SYN 515214</w:t>
      </w:r>
    </w:p>
    <w:p w14:paraId="7E27E290" w14:textId="031EB9F5" w:rsidR="00BD2FCF" w:rsidRPr="00C563CE" w:rsidRDefault="00BD2FCF" w:rsidP="00DD03C2">
      <w:pPr>
        <w:pStyle w:val="APVMABullet1"/>
        <w:rPr>
          <w:lang w:val="en-US"/>
        </w:rPr>
      </w:pPr>
      <w:r w:rsidRPr="00C563CE">
        <w:t>oxidation</w:t>
      </w:r>
      <w:r w:rsidRPr="00C563CE">
        <w:rPr>
          <w:lang w:val="en-US"/>
        </w:rPr>
        <w:t xml:space="preserve"> of the piperidine ring also occurs, leading to the formation of SYN 515215 and SYN 515216</w:t>
      </w:r>
    </w:p>
    <w:p w14:paraId="2CF74782" w14:textId="78697B8A" w:rsidR="00BD2FCF" w:rsidRPr="00C563CE" w:rsidRDefault="00BD2FCF" w:rsidP="00DD03C2">
      <w:pPr>
        <w:pStyle w:val="APVMABullet1"/>
        <w:rPr>
          <w:lang w:val="en-US"/>
        </w:rPr>
      </w:pPr>
      <w:r w:rsidRPr="00C563CE">
        <w:rPr>
          <w:lang w:val="en-US"/>
        </w:rPr>
        <w:t>sulphate ester conjugation of SYN 515213, CGA 289268 and SYN 515215</w:t>
      </w:r>
    </w:p>
    <w:p w14:paraId="7BF8ACAF" w14:textId="62A7896B" w:rsidR="00BD2FCF" w:rsidRPr="00C563CE" w:rsidRDefault="00BD2FCF" w:rsidP="00DD03C2">
      <w:pPr>
        <w:pStyle w:val="APVMABullet1"/>
        <w:rPr>
          <w:lang w:val="en-US"/>
        </w:rPr>
      </w:pPr>
      <w:r w:rsidRPr="00C563CE">
        <w:rPr>
          <w:lang w:val="en-US"/>
        </w:rPr>
        <w:t>glucuronide conjugation of CGA 289268 are also major metabolic processes.</w:t>
      </w:r>
    </w:p>
    <w:p w14:paraId="2D046C73" w14:textId="351BA387" w:rsidR="00DD03C2" w:rsidRDefault="00BD2FCF" w:rsidP="00BD2FCF">
      <w:pPr>
        <w:pStyle w:val="NormalText"/>
        <w:rPr>
          <w:bCs/>
          <w:sz w:val="20"/>
          <w:szCs w:val="20"/>
        </w:rPr>
      </w:pPr>
      <w:bookmarkStart w:id="121" w:name="_Hlk135861054"/>
      <w:r w:rsidRPr="00C563CE">
        <w:rPr>
          <w:bCs/>
          <w:sz w:val="20"/>
          <w:szCs w:val="20"/>
        </w:rPr>
        <w:t xml:space="preserve">The proposed metabolic pathway of fenpropidin in the lactating goat is summarised </w:t>
      </w:r>
      <w:r w:rsidR="00DD03C2">
        <w:rPr>
          <w:bCs/>
          <w:sz w:val="20"/>
          <w:szCs w:val="20"/>
        </w:rPr>
        <w:t>in Figure 5</w:t>
      </w:r>
      <w:r w:rsidRPr="00C563CE">
        <w:rPr>
          <w:bCs/>
          <w:sz w:val="20"/>
          <w:szCs w:val="20"/>
        </w:rPr>
        <w:t>.</w:t>
      </w:r>
      <w:r w:rsidR="00DD03C2">
        <w:rPr>
          <w:bCs/>
          <w:sz w:val="20"/>
          <w:szCs w:val="20"/>
        </w:rPr>
        <w:br w:type="page"/>
      </w:r>
    </w:p>
    <w:p w14:paraId="2D8A2A89" w14:textId="3EEA5BB6" w:rsidR="00BD2FCF" w:rsidRPr="00831B5E" w:rsidRDefault="00DD03C2" w:rsidP="00DD03C2">
      <w:pPr>
        <w:pStyle w:val="Figurestyle"/>
      </w:pPr>
      <w:bookmarkStart w:id="122" w:name="_Toc136869301"/>
      <w:bookmarkStart w:id="123" w:name="_Toc136869432"/>
      <w:bookmarkStart w:id="124" w:name="_Toc137198210"/>
      <w:r>
        <w:lastRenderedPageBreak/>
        <w:t xml:space="preserve">Figure </w:t>
      </w:r>
      <w:fldSimple w:instr=" SEQ Figure \* ARABIC ">
        <w:r>
          <w:rPr>
            <w:noProof/>
          </w:rPr>
          <w:t>5</w:t>
        </w:r>
      </w:fldSimple>
      <w:r w:rsidR="00BD2FCF" w:rsidRPr="00831B5E">
        <w:t>: Proposed metabolic pathway of fenpropidin in the lactating goat</w:t>
      </w:r>
      <w:bookmarkEnd w:id="122"/>
      <w:bookmarkEnd w:id="123"/>
      <w:bookmarkEnd w:id="124"/>
    </w:p>
    <w:p w14:paraId="288E9D64" w14:textId="1B58A72A" w:rsidR="00DD03C2" w:rsidRDefault="00BD2FCF" w:rsidP="00BD2FCF">
      <w:pPr>
        <w:pStyle w:val="APVMAText"/>
        <w:spacing w:line="600" w:lineRule="auto"/>
        <w:jc w:val="center"/>
        <w:rPr>
          <w:lang w:val="en-GB"/>
        </w:rPr>
      </w:pPr>
      <w:r w:rsidRPr="00666681">
        <w:rPr>
          <w:rFonts w:ascii="Times-Roman" w:eastAsia="Calibri" w:hAnsi="Times-Roman" w:cs="Times-Roman"/>
          <w:noProof/>
          <w:lang w:val="en-US"/>
        </w:rPr>
        <w:drawing>
          <wp:inline distT="0" distB="0" distL="0" distR="0" wp14:anchorId="3EDF2A5E" wp14:editId="75785522">
            <wp:extent cx="5914086" cy="5358762"/>
            <wp:effectExtent l="0" t="0" r="0" b="0"/>
            <wp:docPr id="44" name="Picture 44" descr="Figure 5 shows the proposed metabolic pathway of fenpropidin in the lactating 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5 shows the proposed metabolic pathway of fenpropidin in the lactating go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9471" cy="5499557"/>
                    </a:xfrm>
                    <a:prstGeom prst="rect">
                      <a:avLst/>
                    </a:prstGeom>
                    <a:noFill/>
                    <a:ln>
                      <a:noFill/>
                    </a:ln>
                  </pic:spPr>
                </pic:pic>
              </a:graphicData>
            </a:graphic>
          </wp:inline>
        </w:drawing>
      </w:r>
      <w:r w:rsidR="00DD03C2">
        <w:rPr>
          <w:lang w:val="en-GB"/>
        </w:rPr>
        <w:br w:type="page"/>
      </w:r>
    </w:p>
    <w:bookmarkEnd w:id="121"/>
    <w:p w14:paraId="703F3383" w14:textId="36A4587C" w:rsidR="00BD2FCF" w:rsidRDefault="00BD2FCF" w:rsidP="00BD2FCF">
      <w:pPr>
        <w:pStyle w:val="Heading4"/>
        <w:rPr>
          <w:lang w:val="en-GB"/>
        </w:rPr>
      </w:pPr>
      <w:r>
        <w:rPr>
          <w:lang w:val="en-GB"/>
        </w:rPr>
        <w:lastRenderedPageBreak/>
        <w:t>Laying hen</w:t>
      </w:r>
    </w:p>
    <w:p w14:paraId="04328D48" w14:textId="77777777" w:rsidR="00A512D1" w:rsidRPr="00A512D1" w:rsidRDefault="00A512D1" w:rsidP="00A512D1">
      <w:pPr>
        <w:pStyle w:val="APVMAText"/>
        <w:rPr>
          <w:lang w:val="en-US"/>
        </w:rPr>
      </w:pPr>
      <w:r w:rsidRPr="00A512D1">
        <w:rPr>
          <w:lang w:val="en-US"/>
        </w:rPr>
        <w:t xml:space="preserve">Two metabolism studies involving </w:t>
      </w:r>
      <w:r w:rsidRPr="00A512D1">
        <w:t>[3-</w:t>
      </w:r>
      <w:r w:rsidRPr="00A512D1">
        <w:rPr>
          <w:vertAlign w:val="superscript"/>
        </w:rPr>
        <w:t>14</w:t>
      </w:r>
      <w:r w:rsidRPr="00A512D1">
        <w:t>C-propylpiperidine] radiolabelled fenpropidin or [2,6-</w:t>
      </w:r>
      <w:r w:rsidRPr="00A512D1">
        <w:rPr>
          <w:vertAlign w:val="superscript"/>
        </w:rPr>
        <w:t>14</w:t>
      </w:r>
      <w:r w:rsidRPr="00A512D1">
        <w:t>C-piperidine] radiolabelled fenpropidin were conducted. The laying hens received</w:t>
      </w:r>
      <w:bookmarkStart w:id="125" w:name="_Hlk128637645"/>
      <w:r w:rsidRPr="00A512D1">
        <w:t xml:space="preserve"> 4 consecutive daily doses orally at a nominal dose level of 10.3 ppm/day [3-</w:t>
      </w:r>
      <w:r w:rsidRPr="00A512D1">
        <w:rPr>
          <w:vertAlign w:val="superscript"/>
        </w:rPr>
        <w:t>14</w:t>
      </w:r>
      <w:r w:rsidRPr="00A512D1">
        <w:t>C-propylpiperidine] fenpropidin in the feed</w:t>
      </w:r>
      <w:bookmarkEnd w:id="125"/>
      <w:r w:rsidRPr="00A512D1">
        <w:t xml:space="preserve"> or 4 consecutive daily oral doses of at a nominal dose level of 11.6 ppm/day [2,6-</w:t>
      </w:r>
      <w:r w:rsidRPr="00A512D1">
        <w:rPr>
          <w:vertAlign w:val="superscript"/>
        </w:rPr>
        <w:t>14</w:t>
      </w:r>
      <w:r w:rsidRPr="00A512D1">
        <w:t>C-piperidine] fenpropidin in the feed.</w:t>
      </w:r>
    </w:p>
    <w:p w14:paraId="2262B1C4" w14:textId="2C40EC5D" w:rsidR="00A512D1" w:rsidRPr="00A512D1" w:rsidRDefault="00A512D1" w:rsidP="00A512D1">
      <w:pPr>
        <w:pStyle w:val="APVMAText"/>
      </w:pPr>
      <w:r w:rsidRPr="00A512D1">
        <w:t>In both studies, most of the radioactivity was rapidly excreted with 88.0-91.8% found in excreta, a further 0.06-0.08% found in cage wash, and up to 2.8%, 0.10% and 0.14% was found in gizzard, blood and eggs, respectively. Only low levels of the administered radioactivity were recovered in muscle, liver, kidney, skin + fat and peritoneal fat at up to 0.50, 0.42, 0.14, 0.10 and 0.03%, respectively. The highest total residue levels were found in kidney at up to 0.62 mg eq./kg and liver up to 0.52 mg eq./kg. Levels in the other edible tissues were lower at up to 0.073 mg eq./kg in muscle, 0.047 mg eq./kg in skin plus attached fat, 0.030</w:t>
      </w:r>
      <w:r w:rsidR="00DD03C2">
        <w:t> </w:t>
      </w:r>
      <w:r w:rsidRPr="00A512D1">
        <w:t>mg eq./kg in peritoneal fat and 0.043 mg eq./kg in whole eggs.</w:t>
      </w:r>
    </w:p>
    <w:p w14:paraId="5F054F16" w14:textId="0A1149B8" w:rsidR="00A512D1" w:rsidRPr="00A512D1" w:rsidRDefault="00A512D1" w:rsidP="00A512D1">
      <w:pPr>
        <w:pStyle w:val="APVMAText"/>
      </w:pPr>
      <w:r w:rsidRPr="00A512D1">
        <w:t>For both radiolabelled experiments, p</w:t>
      </w:r>
      <w:proofErr w:type="spellStart"/>
      <w:r w:rsidRPr="00A512D1">
        <w:rPr>
          <w:lang w:val="en-US"/>
        </w:rPr>
        <w:t>arent</w:t>
      </w:r>
      <w:proofErr w:type="spellEnd"/>
      <w:r w:rsidRPr="00A512D1">
        <w:rPr>
          <w:lang w:val="en-US"/>
        </w:rPr>
        <w:t xml:space="preserve"> fenpropidin was detected in eggs and all tissues. The highest levels of fenpropidin occurred in the liver at up to 9.8% TRR with the remaining tissues and eggs containing &lt;10% TRR </w:t>
      </w:r>
      <w:r>
        <w:rPr>
          <w:lang w:val="en-US"/>
        </w:rPr>
        <w:t>(</w:t>
      </w:r>
      <w:r w:rsidRPr="00A512D1">
        <w:rPr>
          <w:lang w:val="en-US"/>
        </w:rPr>
        <w:t xml:space="preserve">&lt;0.01 mg/kg). </w:t>
      </w:r>
      <w:r w:rsidRPr="00A512D1">
        <w:t>The major metabolite in all samples analysed was CGA 289267. The amount of CGA 289267 was up to 91.7</w:t>
      </w:r>
      <w:r>
        <w:t>, 52.9, 86.6, 59.7 and 46.5</w:t>
      </w:r>
      <w:r w:rsidRPr="00A512D1">
        <w:t>% TRR in lean meat, whole fat+ skin, white egg, egg yolk</w:t>
      </w:r>
      <w:r>
        <w:t xml:space="preserve"> and liver</w:t>
      </w:r>
      <w:r w:rsidRPr="00A512D1">
        <w:t xml:space="preserve">, </w:t>
      </w:r>
      <w:r>
        <w:t>respectively</w:t>
      </w:r>
      <w:r w:rsidRPr="00A512D1">
        <w:t>.</w:t>
      </w:r>
      <w:r w:rsidRPr="00A512D1">
        <w:rPr>
          <w:lang w:val="en-US"/>
        </w:rPr>
        <w:t xml:space="preserve"> </w:t>
      </w:r>
      <w:bookmarkStart w:id="126" w:name="_Hlk135041097"/>
      <w:bookmarkStart w:id="127" w:name="_Hlk135896556"/>
      <w:r w:rsidRPr="00A512D1">
        <w:rPr>
          <w:lang w:val="en-US"/>
        </w:rPr>
        <w:t>Metabolite IA</w:t>
      </w:r>
      <w:r w:rsidRPr="00A512D1">
        <w:rPr>
          <w:vertAlign w:val="subscript"/>
          <w:lang w:val="en-US"/>
        </w:rPr>
        <w:t>5b</w:t>
      </w:r>
      <w:r w:rsidRPr="00A512D1">
        <w:rPr>
          <w:lang w:val="en-US"/>
        </w:rPr>
        <w:t xml:space="preserve"> </w:t>
      </w:r>
      <w:r>
        <w:rPr>
          <w:lang w:val="en-US"/>
        </w:rPr>
        <w:t xml:space="preserve">was also significant at </w:t>
      </w:r>
      <w:bookmarkStart w:id="128" w:name="_Hlk135727981"/>
      <w:r w:rsidRPr="00A512D1">
        <w:rPr>
          <w:lang w:val="en-US"/>
        </w:rPr>
        <w:t xml:space="preserve">22.9% TRR in liver in the </w:t>
      </w:r>
      <w:r w:rsidRPr="00A512D1">
        <w:t>[3-</w:t>
      </w:r>
      <w:r w:rsidRPr="00A512D1">
        <w:rPr>
          <w:vertAlign w:val="superscript"/>
        </w:rPr>
        <w:t>14</w:t>
      </w:r>
      <w:r w:rsidRPr="00A512D1">
        <w:t>C-propylpiperidine] radiolabelled experiment</w:t>
      </w:r>
      <w:bookmarkEnd w:id="126"/>
      <w:bookmarkEnd w:id="128"/>
      <w:r w:rsidRPr="00A512D1">
        <w:rPr>
          <w:lang w:val="en-US"/>
        </w:rPr>
        <w:t xml:space="preserve">, but </w:t>
      </w:r>
      <w:r>
        <w:rPr>
          <w:lang w:val="en-US"/>
        </w:rPr>
        <w:t>&lt;</w:t>
      </w:r>
      <w:r w:rsidRPr="00A512D1">
        <w:rPr>
          <w:lang w:val="en-US"/>
        </w:rPr>
        <w:t>5% TRR in other tissues</w:t>
      </w:r>
      <w:r>
        <w:rPr>
          <w:lang w:val="en-US"/>
        </w:rPr>
        <w:t xml:space="preserve"> and eggs</w:t>
      </w:r>
      <w:r w:rsidRPr="00A512D1">
        <w:rPr>
          <w:lang w:val="en-US"/>
        </w:rPr>
        <w:t>.</w:t>
      </w:r>
      <w:bookmarkEnd w:id="127"/>
      <w:r w:rsidRPr="00A512D1">
        <w:rPr>
          <w:lang w:val="en-US"/>
        </w:rPr>
        <w:t xml:space="preserve"> </w:t>
      </w:r>
      <w:bookmarkStart w:id="129" w:name="_Hlk128560477"/>
      <w:r w:rsidRPr="00A512D1">
        <w:rPr>
          <w:lang w:val="en-US"/>
        </w:rPr>
        <w:t>Other metabolites, including CGA 289268</w:t>
      </w:r>
      <w:r>
        <w:rPr>
          <w:lang w:val="en-US"/>
        </w:rPr>
        <w:t xml:space="preserve"> were &lt;10% TRR</w:t>
      </w:r>
      <w:r w:rsidRPr="00A512D1">
        <w:rPr>
          <w:lang w:val="en-US"/>
        </w:rPr>
        <w:t xml:space="preserve"> (up to 0.014 mg/kg in liver).</w:t>
      </w:r>
    </w:p>
    <w:bookmarkEnd w:id="129"/>
    <w:p w14:paraId="4B6BA326" w14:textId="77777777" w:rsidR="00A512D1" w:rsidRDefault="00A512D1" w:rsidP="00A512D1">
      <w:pPr>
        <w:pStyle w:val="APVMAText"/>
      </w:pPr>
      <w:r w:rsidRPr="00A512D1">
        <w:t xml:space="preserve">The proposed metabolic pathway </w:t>
      </w:r>
      <w:r>
        <w:t>from the</w:t>
      </w:r>
      <w:r w:rsidRPr="00A512D1">
        <w:t xml:space="preserve"> [3-</w:t>
      </w:r>
      <w:r w:rsidRPr="00A512D1">
        <w:rPr>
          <w:vertAlign w:val="superscript"/>
        </w:rPr>
        <w:t>14</w:t>
      </w:r>
      <w:r w:rsidRPr="00A512D1">
        <w:t xml:space="preserve">C-propylpiperidine]-fenpropidin </w:t>
      </w:r>
      <w:r>
        <w:t xml:space="preserve">experiment </w:t>
      </w:r>
      <w:r w:rsidRPr="00A512D1">
        <w:t>involves</w:t>
      </w:r>
      <w:r>
        <w:t>:</w:t>
      </w:r>
    </w:p>
    <w:p w14:paraId="6FB10828" w14:textId="5F57A907" w:rsidR="00A512D1" w:rsidRDefault="00A512D1" w:rsidP="00DD03C2">
      <w:pPr>
        <w:pStyle w:val="APVMABullet1"/>
      </w:pPr>
      <w:r w:rsidRPr="00A512D1">
        <w:t>oxidation of the tertiary-butyl moiety to CGA 289268</w:t>
      </w:r>
    </w:p>
    <w:p w14:paraId="68D679BB" w14:textId="2C20C68A" w:rsidR="00A512D1" w:rsidRDefault="00A512D1" w:rsidP="00DD03C2">
      <w:pPr>
        <w:pStyle w:val="APVMABullet1"/>
      </w:pPr>
      <w:r>
        <w:t>f</w:t>
      </w:r>
      <w:r w:rsidRPr="00A512D1">
        <w:t>urther oxidation to CGA 289267, which is by far the dominating metabolite (36-92% of the tissue residues)</w:t>
      </w:r>
    </w:p>
    <w:p w14:paraId="4BE21F78" w14:textId="00179CDE" w:rsidR="00A512D1" w:rsidRDefault="00A512D1" w:rsidP="00DD03C2">
      <w:pPr>
        <w:pStyle w:val="APVMABullet1"/>
      </w:pPr>
      <w:r>
        <w:t>s</w:t>
      </w:r>
      <w:r w:rsidRPr="00A512D1">
        <w:t>tepwise oxidations and cleavage of the piperidine ring yields metabolites IA</w:t>
      </w:r>
      <w:r w:rsidRPr="00A512D1">
        <w:rPr>
          <w:vertAlign w:val="subscript"/>
        </w:rPr>
        <w:t>4b</w:t>
      </w:r>
      <w:r w:rsidRPr="00A512D1">
        <w:t>, IA</w:t>
      </w:r>
      <w:r w:rsidRPr="00A512D1">
        <w:rPr>
          <w:vertAlign w:val="subscript"/>
        </w:rPr>
        <w:t>3a</w:t>
      </w:r>
      <w:r w:rsidRPr="00A512D1">
        <w:t xml:space="preserve"> and IA</w:t>
      </w:r>
      <w:r w:rsidRPr="00A512D1">
        <w:rPr>
          <w:vertAlign w:val="subscript"/>
        </w:rPr>
        <w:t>4a1</w:t>
      </w:r>
    </w:p>
    <w:p w14:paraId="69B7ED2C" w14:textId="727A8ADE" w:rsidR="00A512D1" w:rsidRPr="00A512D1" w:rsidRDefault="00A512D1" w:rsidP="00DD03C2">
      <w:pPr>
        <w:pStyle w:val="APVMABullet1"/>
      </w:pPr>
      <w:r w:rsidRPr="00A512D1">
        <w:t>conjugation of metabolite IA</w:t>
      </w:r>
      <w:r w:rsidRPr="00A512D1">
        <w:rPr>
          <w:vertAlign w:val="subscript"/>
        </w:rPr>
        <w:t>4a1</w:t>
      </w:r>
      <w:r w:rsidRPr="00A512D1">
        <w:t xml:space="preserve"> led to a presumably fatty acid conjugate or IA</w:t>
      </w:r>
      <w:r w:rsidRPr="00A512D1">
        <w:rPr>
          <w:vertAlign w:val="subscript"/>
        </w:rPr>
        <w:t xml:space="preserve">5b </w:t>
      </w:r>
      <w:r w:rsidRPr="00A512D1">
        <w:t>also found in the rat experiment as metabolite 6U.</w:t>
      </w:r>
    </w:p>
    <w:p w14:paraId="6D8E3D50" w14:textId="372FEF09" w:rsidR="00DD03C2" w:rsidRDefault="00A512D1" w:rsidP="00A512D1">
      <w:pPr>
        <w:pStyle w:val="NormalText"/>
        <w:rPr>
          <w:bCs/>
          <w:sz w:val="20"/>
          <w:szCs w:val="20"/>
        </w:rPr>
      </w:pPr>
      <w:bookmarkStart w:id="130" w:name="_Hlk135861495"/>
      <w:r w:rsidRPr="00C563CE">
        <w:rPr>
          <w:bCs/>
          <w:sz w:val="20"/>
          <w:szCs w:val="20"/>
        </w:rPr>
        <w:t xml:space="preserve">The proposed metabolic pathway </w:t>
      </w:r>
      <w:r w:rsidRPr="00C563CE">
        <w:rPr>
          <w:sz w:val="20"/>
          <w:szCs w:val="20"/>
        </w:rPr>
        <w:t>from the [3-</w:t>
      </w:r>
      <w:r w:rsidRPr="00C563CE">
        <w:rPr>
          <w:sz w:val="20"/>
          <w:szCs w:val="20"/>
          <w:vertAlign w:val="superscript"/>
        </w:rPr>
        <w:t>14</w:t>
      </w:r>
      <w:r w:rsidRPr="00C563CE">
        <w:rPr>
          <w:sz w:val="20"/>
          <w:szCs w:val="20"/>
        </w:rPr>
        <w:t>C-propylpiperidine]-fenpropidin experiment in the laying hen</w:t>
      </w:r>
      <w:r w:rsidRPr="00C563CE">
        <w:rPr>
          <w:bCs/>
          <w:sz w:val="20"/>
          <w:szCs w:val="20"/>
        </w:rPr>
        <w:t xml:space="preserve"> is summarised </w:t>
      </w:r>
      <w:r w:rsidR="00DD03C2">
        <w:rPr>
          <w:bCs/>
          <w:sz w:val="20"/>
          <w:szCs w:val="20"/>
        </w:rPr>
        <w:t>in Figure 6</w:t>
      </w:r>
      <w:r w:rsidRPr="00C563CE">
        <w:rPr>
          <w:bCs/>
          <w:sz w:val="20"/>
          <w:szCs w:val="20"/>
        </w:rPr>
        <w:t>.</w:t>
      </w:r>
      <w:r w:rsidR="00DD03C2">
        <w:rPr>
          <w:bCs/>
          <w:sz w:val="20"/>
          <w:szCs w:val="20"/>
        </w:rPr>
        <w:br w:type="page"/>
      </w:r>
    </w:p>
    <w:p w14:paraId="04D31CAE" w14:textId="5FB4A36F" w:rsidR="00A512D1" w:rsidRPr="00831B5E" w:rsidRDefault="00DD03C2" w:rsidP="00DD03C2">
      <w:pPr>
        <w:pStyle w:val="Figurestyle"/>
      </w:pPr>
      <w:bookmarkStart w:id="131" w:name="_Toc136869302"/>
      <w:bookmarkStart w:id="132" w:name="_Toc136869433"/>
      <w:bookmarkStart w:id="133" w:name="_Toc137198211"/>
      <w:bookmarkEnd w:id="130"/>
      <w:r>
        <w:lastRenderedPageBreak/>
        <w:t xml:space="preserve">Figure </w:t>
      </w:r>
      <w:fldSimple w:instr=" SEQ Figure \* ARABIC ">
        <w:r>
          <w:rPr>
            <w:noProof/>
          </w:rPr>
          <w:t>6</w:t>
        </w:r>
      </w:fldSimple>
      <w:r w:rsidR="00A512D1" w:rsidRPr="00831B5E">
        <w:t>: Proposed metabolic pathway from the [3-</w:t>
      </w:r>
      <w:r w:rsidR="00A512D1" w:rsidRPr="00831B5E">
        <w:rPr>
          <w:vertAlign w:val="superscript"/>
        </w:rPr>
        <w:t>14</w:t>
      </w:r>
      <w:r w:rsidR="00A512D1" w:rsidRPr="00831B5E">
        <w:t>C-propylpiperidine]-fenpropidin experiment in the laying hen</w:t>
      </w:r>
      <w:bookmarkEnd w:id="131"/>
      <w:bookmarkEnd w:id="132"/>
      <w:bookmarkEnd w:id="133"/>
    </w:p>
    <w:p w14:paraId="31FFE101" w14:textId="4EEADD23" w:rsidR="00A512D1" w:rsidRDefault="00A512D1" w:rsidP="00F9202B">
      <w:pPr>
        <w:pStyle w:val="APVMAText"/>
        <w:spacing w:line="600" w:lineRule="auto"/>
        <w:jc w:val="center"/>
        <w:rPr>
          <w:lang w:val="en-GB"/>
        </w:rPr>
      </w:pPr>
      <w:r w:rsidRPr="00F03BBC">
        <w:rPr>
          <w:noProof/>
        </w:rPr>
        <w:drawing>
          <wp:inline distT="0" distB="0" distL="0" distR="0" wp14:anchorId="23326D52" wp14:editId="6FE3E5A6">
            <wp:extent cx="6333741" cy="5924550"/>
            <wp:effectExtent l="0" t="0" r="0" b="0"/>
            <wp:docPr id="29" name="Picture 29" descr="Figure 6 shows the proposed metabolic pathway from the [3-14C-propylpiperidine]-fenpropidin experiment in the laying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6 shows the proposed metabolic pathway from the [3-14C-propylpiperidine]-fenpropidin experiment in the laying h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3216" cy="5970829"/>
                    </a:xfrm>
                    <a:prstGeom prst="rect">
                      <a:avLst/>
                    </a:prstGeom>
                    <a:noFill/>
                  </pic:spPr>
                </pic:pic>
              </a:graphicData>
            </a:graphic>
          </wp:inline>
        </w:drawing>
      </w:r>
    </w:p>
    <w:p w14:paraId="024F20C8" w14:textId="5A1DD413" w:rsidR="00A512D1" w:rsidRPr="00C563CE" w:rsidRDefault="00A512D1" w:rsidP="00A512D1">
      <w:pPr>
        <w:pStyle w:val="NormalText"/>
        <w:rPr>
          <w:sz w:val="20"/>
          <w:szCs w:val="20"/>
        </w:rPr>
      </w:pPr>
      <w:r w:rsidRPr="00C563CE">
        <w:rPr>
          <w:sz w:val="20"/>
          <w:szCs w:val="20"/>
        </w:rPr>
        <w:t>The proposed metabolic pathway of [2,6-</w:t>
      </w:r>
      <w:r w:rsidRPr="00C563CE">
        <w:rPr>
          <w:sz w:val="20"/>
          <w:szCs w:val="20"/>
          <w:vertAlign w:val="superscript"/>
        </w:rPr>
        <w:t>14</w:t>
      </w:r>
      <w:r w:rsidRPr="00C563CE">
        <w:rPr>
          <w:sz w:val="20"/>
          <w:szCs w:val="20"/>
        </w:rPr>
        <w:t>C-piperidine]-fenpropidin was similar to the other radiolabelled experiment and involves:</w:t>
      </w:r>
    </w:p>
    <w:p w14:paraId="07824F1F" w14:textId="7BF60D5B" w:rsidR="00A512D1" w:rsidRPr="00C563CE" w:rsidRDefault="00A512D1" w:rsidP="00DD03C2">
      <w:pPr>
        <w:pStyle w:val="APVMABullet1"/>
      </w:pPr>
      <w:r w:rsidRPr="00C563CE">
        <w:t>oxidation of the tertiary-butyl moiety to CGA 289268</w:t>
      </w:r>
    </w:p>
    <w:p w14:paraId="3A196B26" w14:textId="1435A551" w:rsidR="00A512D1" w:rsidRPr="00C563CE" w:rsidRDefault="00A512D1" w:rsidP="00DD03C2">
      <w:pPr>
        <w:pStyle w:val="APVMABullet1"/>
      </w:pPr>
      <w:r w:rsidRPr="00C563CE">
        <w:t>further oxidation leads to CGA 289267 (47-87% of the tissue residues)</w:t>
      </w:r>
    </w:p>
    <w:p w14:paraId="5D4EBA51" w14:textId="397AFCFA" w:rsidR="00A512D1" w:rsidRPr="00C563CE" w:rsidRDefault="00A512D1" w:rsidP="00DD03C2">
      <w:pPr>
        <w:pStyle w:val="APVMABullet1"/>
      </w:pPr>
      <w:r w:rsidRPr="00C563CE">
        <w:t>oxidation of CGA 289267 to metabolite IA</w:t>
      </w:r>
      <w:r w:rsidRPr="00C563CE">
        <w:rPr>
          <w:vertAlign w:val="subscript"/>
        </w:rPr>
        <w:t>4a2</w:t>
      </w:r>
    </w:p>
    <w:p w14:paraId="258936D8" w14:textId="65291AC9" w:rsidR="00A512D1" w:rsidRPr="00C563CE" w:rsidRDefault="00A512D1" w:rsidP="00DD03C2">
      <w:pPr>
        <w:pStyle w:val="APVMABullet1"/>
      </w:pPr>
      <w:r w:rsidRPr="00C563CE">
        <w:t>stepwise oxidation of the piperidine ring and cleavage of the piperidine ring yield metabolite IA</w:t>
      </w:r>
      <w:r w:rsidRPr="00C563CE">
        <w:rPr>
          <w:vertAlign w:val="subscript"/>
        </w:rPr>
        <w:t>4b</w:t>
      </w:r>
      <w:r w:rsidR="00DD03C2" w:rsidRPr="00DD03C2">
        <w:t>.</w:t>
      </w:r>
    </w:p>
    <w:p w14:paraId="4BBFAA88" w14:textId="7E4C7E99" w:rsidR="00A512D1" w:rsidRPr="00C563CE" w:rsidRDefault="00A512D1" w:rsidP="00A512D1">
      <w:pPr>
        <w:pStyle w:val="NormalText"/>
        <w:rPr>
          <w:sz w:val="20"/>
          <w:szCs w:val="20"/>
          <w:lang w:val="en-GB"/>
        </w:rPr>
      </w:pPr>
      <w:r w:rsidRPr="00C563CE">
        <w:rPr>
          <w:bCs/>
          <w:sz w:val="20"/>
          <w:szCs w:val="20"/>
        </w:rPr>
        <w:lastRenderedPageBreak/>
        <w:t xml:space="preserve">The proposed metabolic pathway </w:t>
      </w:r>
      <w:r w:rsidRPr="00C563CE">
        <w:rPr>
          <w:sz w:val="20"/>
          <w:szCs w:val="20"/>
        </w:rPr>
        <w:t>from the [2,6-</w:t>
      </w:r>
      <w:r w:rsidRPr="00C563CE">
        <w:rPr>
          <w:sz w:val="20"/>
          <w:szCs w:val="20"/>
          <w:vertAlign w:val="superscript"/>
        </w:rPr>
        <w:t>14</w:t>
      </w:r>
      <w:r w:rsidRPr="00C563CE">
        <w:rPr>
          <w:sz w:val="20"/>
          <w:szCs w:val="20"/>
        </w:rPr>
        <w:t>C-piperidine]-fenpropidin experiment in the laying hen</w:t>
      </w:r>
      <w:r w:rsidRPr="00C563CE">
        <w:rPr>
          <w:bCs/>
          <w:sz w:val="20"/>
          <w:szCs w:val="20"/>
        </w:rPr>
        <w:t xml:space="preserve"> is summarised </w:t>
      </w:r>
      <w:r w:rsidR="00DD03C2">
        <w:rPr>
          <w:bCs/>
          <w:sz w:val="20"/>
          <w:szCs w:val="20"/>
        </w:rPr>
        <w:t>in Figure 7</w:t>
      </w:r>
      <w:r w:rsidRPr="00C563CE">
        <w:rPr>
          <w:bCs/>
          <w:sz w:val="20"/>
          <w:szCs w:val="20"/>
        </w:rPr>
        <w:t>.</w:t>
      </w:r>
    </w:p>
    <w:p w14:paraId="12FF871D" w14:textId="500CC923" w:rsidR="00A512D1" w:rsidRPr="00831B5E" w:rsidRDefault="00DD03C2" w:rsidP="00DD03C2">
      <w:pPr>
        <w:pStyle w:val="Figurestyle"/>
      </w:pPr>
      <w:bookmarkStart w:id="134" w:name="_Toc136869303"/>
      <w:bookmarkStart w:id="135" w:name="_Toc136869434"/>
      <w:bookmarkStart w:id="136" w:name="_Toc137198212"/>
      <w:r>
        <w:t xml:space="preserve">Figure </w:t>
      </w:r>
      <w:fldSimple w:instr=" SEQ Figure \* ARABIC ">
        <w:r>
          <w:rPr>
            <w:noProof/>
          </w:rPr>
          <w:t>7</w:t>
        </w:r>
      </w:fldSimple>
      <w:r w:rsidR="00A512D1" w:rsidRPr="00831B5E">
        <w:t>: Proposed metabolic pathway from the [2,6-</w:t>
      </w:r>
      <w:r w:rsidR="00A512D1" w:rsidRPr="00831B5E">
        <w:rPr>
          <w:vertAlign w:val="superscript"/>
        </w:rPr>
        <w:t>14</w:t>
      </w:r>
      <w:r w:rsidR="00A512D1" w:rsidRPr="00831B5E">
        <w:t>C-piperidine]-fenpropidin experiment in the laying hen</w:t>
      </w:r>
      <w:bookmarkEnd w:id="134"/>
      <w:bookmarkEnd w:id="135"/>
      <w:bookmarkEnd w:id="136"/>
    </w:p>
    <w:p w14:paraId="6FEF2CAA" w14:textId="0FF7E4FE" w:rsidR="00A512D1" w:rsidRDefault="00A512D1" w:rsidP="00F9202B">
      <w:pPr>
        <w:pStyle w:val="APVMAText"/>
        <w:spacing w:line="600" w:lineRule="auto"/>
        <w:jc w:val="center"/>
        <w:rPr>
          <w:lang w:val="en-GB"/>
        </w:rPr>
      </w:pPr>
      <w:r w:rsidRPr="00666681">
        <w:rPr>
          <w:noProof/>
        </w:rPr>
        <w:drawing>
          <wp:inline distT="0" distB="0" distL="0" distR="0" wp14:anchorId="3418AF94" wp14:editId="3F78AF66">
            <wp:extent cx="6073195" cy="5647335"/>
            <wp:effectExtent l="0" t="0" r="3810" b="0"/>
            <wp:docPr id="45" name="Picture 45" descr="Figure 7 shows the proposed metabolic pathway from the [2,6-14C-piperidine]-fenpropidin experiment in the laying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7 shows the proposed metabolic pathway from the [2,6-14C-piperidine]-fenpropidin experiment in the laying h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3920" cy="5685204"/>
                    </a:xfrm>
                    <a:prstGeom prst="rect">
                      <a:avLst/>
                    </a:prstGeom>
                    <a:noFill/>
                    <a:ln>
                      <a:noFill/>
                    </a:ln>
                  </pic:spPr>
                </pic:pic>
              </a:graphicData>
            </a:graphic>
          </wp:inline>
        </w:drawing>
      </w:r>
    </w:p>
    <w:p w14:paraId="27441D30" w14:textId="58FF0F40" w:rsidR="001F38D1" w:rsidRDefault="001F38D1" w:rsidP="001F38D1">
      <w:pPr>
        <w:pStyle w:val="Heading4"/>
        <w:rPr>
          <w:lang w:val="en-GB"/>
        </w:rPr>
      </w:pPr>
      <w:r>
        <w:rPr>
          <w:lang w:val="en-GB"/>
        </w:rPr>
        <w:t>Summary of animal metabolism</w:t>
      </w:r>
    </w:p>
    <w:p w14:paraId="6D3FBE1E" w14:textId="0E9CDAB7" w:rsidR="00F9202B" w:rsidRPr="00F9202B" w:rsidRDefault="00F9202B" w:rsidP="00F9202B">
      <w:pPr>
        <w:pStyle w:val="APVMAText"/>
        <w:rPr>
          <w:lang w:val="en-US"/>
        </w:rPr>
      </w:pPr>
      <w:r w:rsidRPr="00F9202B">
        <w:t xml:space="preserve">The metabolism in the lactating goat, laying hen and rat was observed to be similar. </w:t>
      </w:r>
      <w:r w:rsidRPr="00F9202B">
        <w:rPr>
          <w:lang w:val="en-US"/>
        </w:rPr>
        <w:t>Fenpropidin was rapidly and extensively metabolized, with most of the administered radioactivity excreted in the urine and faeces (88</w:t>
      </w:r>
      <w:r w:rsidR="00DD03C2">
        <w:rPr>
          <w:lang w:val="en-US"/>
        </w:rPr>
        <w:t xml:space="preserve">% to </w:t>
      </w:r>
      <w:r w:rsidRPr="00F9202B">
        <w:rPr>
          <w:lang w:val="en-US"/>
        </w:rPr>
        <w:t>92% in the hen and 64</w:t>
      </w:r>
      <w:r w:rsidR="00DD03C2">
        <w:rPr>
          <w:lang w:val="en-US"/>
        </w:rPr>
        <w:t xml:space="preserve">% to </w:t>
      </w:r>
      <w:r w:rsidRPr="00F9202B">
        <w:rPr>
          <w:lang w:val="en-US"/>
        </w:rPr>
        <w:t>94% in the goat).</w:t>
      </w:r>
    </w:p>
    <w:p w14:paraId="416D833A" w14:textId="35674299" w:rsidR="00F9202B" w:rsidRPr="00F9202B" w:rsidRDefault="00F9202B" w:rsidP="00F9202B">
      <w:pPr>
        <w:pStyle w:val="APVMAText"/>
      </w:pPr>
      <w:r w:rsidRPr="00F9202B">
        <w:rPr>
          <w:lang w:val="en-US"/>
        </w:rPr>
        <w:lastRenderedPageBreak/>
        <w:t xml:space="preserve">Parent fenpropidin was only detected at significant levels (&gt;0.01 mg/kg) in goat and hen liver and goat kidney. </w:t>
      </w:r>
      <w:r w:rsidRPr="00F9202B">
        <w:t>CGA 289267 was the major metabolite and was observed in all tissues, milk and eggs at 8</w:t>
      </w:r>
      <w:r w:rsidR="00DD03C2">
        <w:t xml:space="preserve">% to </w:t>
      </w:r>
      <w:proofErr w:type="gramStart"/>
      <w:r w:rsidRPr="00F9202B">
        <w:t>38</w:t>
      </w:r>
      <w:r w:rsidR="00DD03C2">
        <w:t> </w:t>
      </w:r>
      <w:r w:rsidRPr="00F9202B">
        <w:t xml:space="preserve"> TRR</w:t>
      </w:r>
      <w:proofErr w:type="gramEnd"/>
      <w:r w:rsidRPr="00F9202B">
        <w:t xml:space="preserve"> in the goat and 36</w:t>
      </w:r>
      <w:r w:rsidR="00DD03C2">
        <w:t xml:space="preserve">% to </w:t>
      </w:r>
      <w:r w:rsidRPr="00F9202B">
        <w:t>92% TRR in the hen. In the goat, SYN 515213 and its sulphate ester conjugate were also significant metabolites in all tissues and milk at between 7</w:t>
      </w:r>
      <w:r w:rsidR="00DD03C2">
        <w:t xml:space="preserve">% to </w:t>
      </w:r>
      <w:r w:rsidRPr="00F9202B">
        <w:t>30% TRR. The sulphate ester conjugate of CGA 289268 was also observed in goat liver, kidney and milk between 6</w:t>
      </w:r>
      <w:r w:rsidR="00DD03C2">
        <w:t xml:space="preserve">% to </w:t>
      </w:r>
      <w:r w:rsidRPr="00F9202B">
        <w:t>33% TRR.</w:t>
      </w:r>
      <w:r w:rsidRPr="00F9202B">
        <w:rPr>
          <w:lang w:val="en-US"/>
        </w:rPr>
        <w:t xml:space="preserve"> Free CGA 289268 was observed at &lt;10% TRR in most tissues, eggs and milk but was observed in hen liver at &gt;0.01 mg eq./kg (up to 0.014 mg eq./kg). </w:t>
      </w:r>
      <w:r w:rsidRPr="00A512D1">
        <w:rPr>
          <w:lang w:val="en-US"/>
        </w:rPr>
        <w:t>Metabolite IA</w:t>
      </w:r>
      <w:r w:rsidRPr="00A512D1">
        <w:rPr>
          <w:vertAlign w:val="subscript"/>
          <w:lang w:val="en-US"/>
        </w:rPr>
        <w:t>5b</w:t>
      </w:r>
      <w:r w:rsidRPr="00A512D1">
        <w:rPr>
          <w:lang w:val="en-US"/>
        </w:rPr>
        <w:t xml:space="preserve"> </w:t>
      </w:r>
      <w:r w:rsidRPr="00F9202B">
        <w:rPr>
          <w:lang w:val="en-US"/>
        </w:rPr>
        <w:t xml:space="preserve">was also significant at </w:t>
      </w:r>
      <w:r w:rsidRPr="00A512D1">
        <w:rPr>
          <w:lang w:val="en-US"/>
        </w:rPr>
        <w:t xml:space="preserve">22.9% TRR in </w:t>
      </w:r>
      <w:r>
        <w:rPr>
          <w:lang w:val="en-US"/>
        </w:rPr>
        <w:t xml:space="preserve">hen </w:t>
      </w:r>
      <w:r w:rsidRPr="00A512D1">
        <w:rPr>
          <w:lang w:val="en-US"/>
        </w:rPr>
        <w:t xml:space="preserve">liver in the </w:t>
      </w:r>
      <w:r w:rsidRPr="00A512D1">
        <w:t>[3-</w:t>
      </w:r>
      <w:r w:rsidRPr="00A512D1">
        <w:rPr>
          <w:vertAlign w:val="superscript"/>
        </w:rPr>
        <w:t>14</w:t>
      </w:r>
      <w:r w:rsidRPr="00A512D1">
        <w:t>C-propylpiperidine] radiolabelled experiment</w:t>
      </w:r>
      <w:r w:rsidRPr="00A512D1">
        <w:rPr>
          <w:lang w:val="en-US"/>
        </w:rPr>
        <w:t xml:space="preserve">, but </w:t>
      </w:r>
      <w:r w:rsidRPr="00F9202B">
        <w:rPr>
          <w:lang w:val="en-US"/>
        </w:rPr>
        <w:t>&lt;</w:t>
      </w:r>
      <w:r w:rsidRPr="00A512D1">
        <w:rPr>
          <w:lang w:val="en-US"/>
        </w:rPr>
        <w:t>5% TRR in other tissues</w:t>
      </w:r>
      <w:r w:rsidRPr="00F9202B">
        <w:rPr>
          <w:lang w:val="en-US"/>
        </w:rPr>
        <w:t xml:space="preserve"> and eggs</w:t>
      </w:r>
      <w:r w:rsidRPr="00A512D1">
        <w:rPr>
          <w:lang w:val="en-US"/>
        </w:rPr>
        <w:t>.</w:t>
      </w:r>
    </w:p>
    <w:p w14:paraId="21502B81" w14:textId="25241B99" w:rsidR="00F9202B" w:rsidRPr="00F9202B" w:rsidRDefault="00F9202B" w:rsidP="00F9202B">
      <w:pPr>
        <w:pStyle w:val="APVMAText"/>
      </w:pPr>
      <w:r w:rsidRPr="00F9202B">
        <w:t xml:space="preserve">A proposed metabolic pathway of fenpropidin in the lactating goat, laying hen and rat is presented </w:t>
      </w:r>
      <w:r w:rsidR="00DD03C2">
        <w:t>in Figure 8</w:t>
      </w:r>
      <w:r w:rsidRPr="00F9202B">
        <w:t xml:space="preserve"> (as extracted from the European Commission </w:t>
      </w:r>
      <w:hyperlink r:id="rId46" w:history="1">
        <w:r w:rsidRPr="00F9202B">
          <w:rPr>
            <w:rStyle w:val="Hyperlink"/>
            <w:i/>
            <w:iCs/>
          </w:rPr>
          <w:t>Draft Assessment report (DAR) on fenpropidin</w:t>
        </w:r>
      </w:hyperlink>
      <w:r w:rsidRPr="00F9202B">
        <w:t>).</w:t>
      </w:r>
    </w:p>
    <w:p w14:paraId="282351B9" w14:textId="6A0D05D7" w:rsidR="00F9202B" w:rsidRPr="00831B5E" w:rsidRDefault="00DD03C2" w:rsidP="00DD03C2">
      <w:pPr>
        <w:pStyle w:val="Figurestyle"/>
      </w:pPr>
      <w:bookmarkStart w:id="137" w:name="_Toc136869304"/>
      <w:bookmarkStart w:id="138" w:name="_Toc136869435"/>
      <w:bookmarkStart w:id="139" w:name="_Toc137198213"/>
      <w:r>
        <w:t xml:space="preserve">Figure </w:t>
      </w:r>
      <w:fldSimple w:instr=" SEQ Figure \* ARABIC ">
        <w:r>
          <w:rPr>
            <w:noProof/>
          </w:rPr>
          <w:t>8</w:t>
        </w:r>
      </w:fldSimple>
      <w:r w:rsidR="00F9202B" w:rsidRPr="00831B5E">
        <w:t>: Proposed metabolic pathway of fenpropidin in the lactating goat, laying hen and rat</w:t>
      </w:r>
      <w:bookmarkEnd w:id="137"/>
      <w:bookmarkEnd w:id="138"/>
      <w:bookmarkEnd w:id="139"/>
    </w:p>
    <w:p w14:paraId="6E02E691" w14:textId="43CDB8FB" w:rsidR="00DD03C2" w:rsidRDefault="00F9202B" w:rsidP="00F9202B">
      <w:pPr>
        <w:pStyle w:val="APVMAText"/>
        <w:spacing w:line="600" w:lineRule="auto"/>
        <w:ind w:left="-227"/>
        <w:jc w:val="center"/>
        <w:rPr>
          <w:lang w:val="en-GB"/>
        </w:rPr>
      </w:pPr>
      <w:r w:rsidRPr="008B106C">
        <w:rPr>
          <w:noProof/>
        </w:rPr>
        <w:drawing>
          <wp:inline distT="0" distB="0" distL="0" distR="0" wp14:anchorId="235B0065" wp14:editId="4B0258CF">
            <wp:extent cx="6628130" cy="4832192"/>
            <wp:effectExtent l="0" t="0" r="1270" b="6985"/>
            <wp:docPr id="46" name="Picture 46" descr="Figure 8 shows the proposed metabolic pathway of fenpropidin in the lactating goat, laying hen and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8 shows the proposed metabolic pathway of fenpropidin in the lactating goat, laying hen and ra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71867" cy="4864078"/>
                    </a:xfrm>
                    <a:prstGeom prst="rect">
                      <a:avLst/>
                    </a:prstGeom>
                    <a:noFill/>
                    <a:ln>
                      <a:noFill/>
                    </a:ln>
                  </pic:spPr>
                </pic:pic>
              </a:graphicData>
            </a:graphic>
          </wp:inline>
        </w:drawing>
      </w:r>
      <w:r w:rsidR="00DD03C2">
        <w:rPr>
          <w:lang w:val="en-GB"/>
        </w:rPr>
        <w:br w:type="page"/>
      </w:r>
    </w:p>
    <w:p w14:paraId="19B55B08" w14:textId="77777777" w:rsidR="00302D38" w:rsidRDefault="00302D38" w:rsidP="00302D38">
      <w:pPr>
        <w:pStyle w:val="Heading2"/>
        <w:ind w:left="907" w:hanging="907"/>
        <w:rPr>
          <w:lang w:val="en-GB"/>
        </w:rPr>
      </w:pPr>
      <w:bookmarkStart w:id="140" w:name="_Toc137198163"/>
      <w:r>
        <w:rPr>
          <w:lang w:val="en-GB"/>
        </w:rPr>
        <w:lastRenderedPageBreak/>
        <w:t>Analytical methods and storage stability</w:t>
      </w:r>
      <w:bookmarkEnd w:id="105"/>
      <w:bookmarkEnd w:id="106"/>
      <w:bookmarkEnd w:id="140"/>
    </w:p>
    <w:p w14:paraId="22718B04" w14:textId="3C5B71B3" w:rsidR="00F9202B" w:rsidRPr="00F9202B" w:rsidRDefault="00F9202B" w:rsidP="00F9202B">
      <w:pPr>
        <w:pStyle w:val="APVMAText"/>
      </w:pPr>
      <w:r w:rsidRPr="00F9202B">
        <w:t xml:space="preserve">For plant commodities, an analytical method, </w:t>
      </w:r>
      <w:r w:rsidRPr="00F9202B">
        <w:rPr>
          <w:i/>
          <w:iCs/>
        </w:rPr>
        <w:t xml:space="preserve">REM 164.09 Residue Method for the Determination of Residues of Fenpropidin (CGA114900) in Crop Samples. Final Determination by LC-MS/MS, </w:t>
      </w:r>
      <w:r w:rsidRPr="00F9202B">
        <w:t>for the determination of residues of fenpropidin in crop samples using an external standardisation procedure has been provided along with its validation study. The method was successfully validated in apple (whole fruit), grape (whole fruit), oilseed rape (seed), sugar beet (root) and wheat (grain and straw) with LOQs at 0.01</w:t>
      </w:r>
      <w:r w:rsidR="00DD03C2">
        <w:t> </w:t>
      </w:r>
      <w:r w:rsidRPr="00F9202B">
        <w:t>mg/kg for fenpropidin in all crops.</w:t>
      </w:r>
    </w:p>
    <w:p w14:paraId="78EEEC25" w14:textId="77777777" w:rsidR="00F9202B" w:rsidRPr="00F9202B" w:rsidRDefault="00F9202B" w:rsidP="00F9202B">
      <w:pPr>
        <w:pStyle w:val="APVMAText"/>
      </w:pPr>
      <w:r w:rsidRPr="00F9202B">
        <w:t>In the Australian grape trials, samples were analysed in accordance with AWRI methods GM119 (for grapes, juice, pomace and leaves) and GM121</w:t>
      </w:r>
      <w:r w:rsidRPr="00F9202B">
        <w:rPr>
          <w:i/>
          <w:iCs/>
        </w:rPr>
        <w:t xml:space="preserve"> </w:t>
      </w:r>
      <w:r w:rsidRPr="00F9202B">
        <w:t xml:space="preserve">(for wine). Summary validation data was provided within the report demonstrating that the </w:t>
      </w:r>
      <w:proofErr w:type="spellStart"/>
      <w:r w:rsidRPr="00F9202B">
        <w:t>QuEChERS</w:t>
      </w:r>
      <w:proofErr w:type="spellEnd"/>
      <w:r w:rsidRPr="00F9202B">
        <w:t xml:space="preserve"> multi residue methods were suitably valid for the grape matrices. The LOQs for the method were 0.005 mg/kg in grapes (whole fruit), wine and juice and 0.10 mg/kg for pomace.</w:t>
      </w:r>
    </w:p>
    <w:p w14:paraId="1CB93DBB" w14:textId="12ED9917" w:rsidR="00F9202B" w:rsidRPr="00F9202B" w:rsidRDefault="00F9202B" w:rsidP="00F9202B">
      <w:pPr>
        <w:pStyle w:val="APVMAText"/>
        <w:rPr>
          <w:lang w:val="en-US"/>
        </w:rPr>
      </w:pPr>
      <w:r w:rsidRPr="00F9202B">
        <w:t xml:space="preserve">Storage stability studies for grapes (fruit) and wine were provided demonstrating that fenpropidin remains stable for at least 24 months when stored frozen </w:t>
      </w:r>
      <w:r w:rsidRPr="00F9202B">
        <w:rPr>
          <w:lang w:val="en-US"/>
        </w:rPr>
        <w:t xml:space="preserve">at </w:t>
      </w:r>
      <w:r w:rsidR="00DD03C2">
        <w:rPr>
          <w:lang w:val="en-US"/>
        </w:rPr>
        <w:t>–</w:t>
      </w:r>
      <w:r w:rsidRPr="00F9202B">
        <w:rPr>
          <w:lang w:val="en-US"/>
        </w:rPr>
        <w:t xml:space="preserve">18°C. In the supervised residue trials, all samples were stored frozen prior to analysis with the maximum storage duration from the supervised residues trial samples </w:t>
      </w:r>
      <w:r>
        <w:rPr>
          <w:lang w:val="en-US"/>
        </w:rPr>
        <w:t xml:space="preserve">approximately </w:t>
      </w:r>
      <w:r w:rsidRPr="00F9202B">
        <w:rPr>
          <w:lang w:val="en-US"/>
        </w:rPr>
        <w:t>12 months.</w:t>
      </w:r>
    </w:p>
    <w:p w14:paraId="3E53620F" w14:textId="42217987" w:rsidR="00F9202B" w:rsidRPr="00F9202B" w:rsidRDefault="00F9202B" w:rsidP="00F9202B">
      <w:pPr>
        <w:pStyle w:val="APVMAText"/>
      </w:pPr>
      <w:r w:rsidRPr="00F9202B">
        <w:t xml:space="preserve">For animal commodities, an analytical method, </w:t>
      </w:r>
      <w:r w:rsidRPr="00F9202B">
        <w:rPr>
          <w:i/>
          <w:iCs/>
        </w:rPr>
        <w:t xml:space="preserve">REM 164.10 Residue method for the determination of residues of fenpropidin (CGA114900) and its metabolites CGA289267 and CGA289268 in animal tissue samples. Final determination by LCMS/MS, </w:t>
      </w:r>
      <w:r w:rsidRPr="00F9202B">
        <w:t xml:space="preserve">for the determination of residues of fenpropidin and its metabolites CGA 289267 and CGA 289268, in bovine muscle, liver, kidney, fat, milk and hen eggs using an external standardisation procedure has been provided along with its validation study. The method was successfully validated for fenpropidin, CGA 289267 and CGA 289268 in all representative matrices and LOQs established at 0.01 mg/kg </w:t>
      </w:r>
      <w:r w:rsidRPr="00F9202B">
        <w:rPr>
          <w:lang w:val="en-US"/>
        </w:rPr>
        <w:t>for bovine muscle, liver, kidney, fat &amp; hen eggs and for bovine milk 0.005</w:t>
      </w:r>
      <w:r w:rsidR="00DD03C2">
        <w:rPr>
          <w:lang w:val="en-US"/>
        </w:rPr>
        <w:t> </w:t>
      </w:r>
      <w:r w:rsidRPr="00F9202B">
        <w:rPr>
          <w:lang w:val="en-US"/>
        </w:rPr>
        <w:t>mg/kg.</w:t>
      </w:r>
    </w:p>
    <w:p w14:paraId="481A759F" w14:textId="77777777" w:rsidR="00F9202B" w:rsidRDefault="00F9202B" w:rsidP="00F9202B">
      <w:pPr>
        <w:pStyle w:val="APVMAText"/>
        <w:rPr>
          <w:lang w:val="en-US"/>
        </w:rPr>
      </w:pPr>
      <w:r w:rsidRPr="00F9202B">
        <w:t>In the feeding studies provided, animal commodities (Bovine milk and tissue samples) were analysed for</w:t>
      </w:r>
      <w:r w:rsidRPr="00F9202B">
        <w:rPr>
          <w:lang w:val="en-US"/>
        </w:rPr>
        <w:t xml:space="preserve"> fenpropidin, CGA 289267 and CGA 289268 in accordance with the verified methods REM 164.02 (for fenpropidin), REM 164.05 (for CGA 289267) and REM 164.06 (for CGA 289268), which are previous iterations of REM 164.10. </w:t>
      </w:r>
    </w:p>
    <w:p w14:paraId="1FE5BE01" w14:textId="669DA045" w:rsidR="00F9202B" w:rsidRPr="00F9202B" w:rsidRDefault="00F9202B" w:rsidP="00F9202B">
      <w:pPr>
        <w:pStyle w:val="APVMAText"/>
        <w:rPr>
          <w:lang w:val="en-US"/>
        </w:rPr>
      </w:pPr>
      <w:r w:rsidRPr="00F9202B">
        <w:rPr>
          <w:lang w:val="en-US"/>
        </w:rPr>
        <w:t xml:space="preserve">Storage stability for fenpropidin, CGA 289267 and CGA 289268 were shown to be stable in all matrices </w:t>
      </w:r>
      <w:r w:rsidRPr="00F9202B">
        <w:t xml:space="preserve">when stored frozen </w:t>
      </w:r>
      <w:r w:rsidRPr="00F9202B">
        <w:rPr>
          <w:lang w:val="en-US"/>
        </w:rPr>
        <w:t xml:space="preserve">at -20°C for 2, </w:t>
      </w:r>
      <w:r w:rsidRPr="00F9202B">
        <w:t>24 and 30 months, respectively, in-line with the study samples.</w:t>
      </w:r>
    </w:p>
    <w:p w14:paraId="7C4EEF30" w14:textId="77777777" w:rsidR="00302D38" w:rsidRDefault="00302D38" w:rsidP="00302D38">
      <w:pPr>
        <w:pStyle w:val="Heading2"/>
        <w:ind w:left="907" w:hanging="907"/>
        <w:rPr>
          <w:lang w:val="en-GB"/>
        </w:rPr>
      </w:pPr>
      <w:bookmarkStart w:id="141" w:name="_Toc531181082"/>
      <w:bookmarkStart w:id="142" w:name="_Toc7561251"/>
      <w:bookmarkStart w:id="143" w:name="_Toc137198164"/>
      <w:r>
        <w:rPr>
          <w:lang w:val="en-GB"/>
        </w:rPr>
        <w:t>Residue definition</w:t>
      </w:r>
      <w:bookmarkEnd w:id="141"/>
      <w:bookmarkEnd w:id="142"/>
      <w:bookmarkEnd w:id="143"/>
    </w:p>
    <w:p w14:paraId="2D2F937D" w14:textId="66FF851B" w:rsidR="00F9202B" w:rsidRPr="00F9202B" w:rsidRDefault="00F9202B" w:rsidP="00F9202B">
      <w:pPr>
        <w:pStyle w:val="APVMAText"/>
      </w:pPr>
      <w:r w:rsidRPr="00F9202B">
        <w:t>For plants, based on parent fenpropidin being the major component of the radioactivity identified in all plant matrices accounting for 44</w:t>
      </w:r>
      <w:r w:rsidR="00DD03C2">
        <w:t xml:space="preserve">% to </w:t>
      </w:r>
      <w:r w:rsidRPr="00F9202B">
        <w:t>77% TRR (except sugar beet root where many metabolites were observed all at &lt;10% TRR)</w:t>
      </w:r>
      <w:r w:rsidR="008471A3">
        <w:t xml:space="preserve"> and</w:t>
      </w:r>
      <w:r w:rsidRPr="00F9202B">
        <w:t xml:space="preserve"> the capability of the analytical methods (which</w:t>
      </w:r>
      <w:r w:rsidR="00C42E51">
        <w:t xml:space="preserve"> was</w:t>
      </w:r>
      <w:r w:rsidRPr="00F9202B">
        <w:t xml:space="preserve"> analysed for parent fenpropidin only)</w:t>
      </w:r>
      <w:r w:rsidR="008471A3">
        <w:t>,</w:t>
      </w:r>
      <w:r w:rsidRPr="00F9202B">
        <w:t xml:space="preserve"> the residue definition for enforcement and risk assessment is recommended to be fenpropidin.</w:t>
      </w:r>
    </w:p>
    <w:p w14:paraId="069E8B12" w14:textId="4898603C" w:rsidR="00F9202B" w:rsidRPr="00F9202B" w:rsidRDefault="00F9202B" w:rsidP="00F9202B">
      <w:pPr>
        <w:pStyle w:val="APVMAText"/>
      </w:pPr>
      <w:r w:rsidRPr="00F9202B">
        <w:t xml:space="preserve">For animals, based on the significant metabolites identified from the available animal metabolism data at &gt;10% TRR in muscle, fat, liver, kidney, milk or hen eggs, the results of the animal transfer study which found CGA 289267 followed by parent to have the highest residues, the capability of the analytical methods and </w:t>
      </w:r>
      <w:r w:rsidRPr="00F9202B">
        <w:lastRenderedPageBreak/>
        <w:t xml:space="preserve">toxicological advice on predominant residues of toxicological significance (see </w:t>
      </w:r>
      <w:r>
        <w:t>Toxicology assessment)</w:t>
      </w:r>
      <w:r w:rsidRPr="00F9202B">
        <w:t xml:space="preserve">, the residue definition for enforcement purposes is recommended to be the sum of fenpropidin and CGA 289267, expressed as fenpropidin and for </w:t>
      </w:r>
      <w:bookmarkStart w:id="144" w:name="_Hlk135738637"/>
      <w:r w:rsidRPr="00F9202B">
        <w:t>risk assessment is recommended to be sum of fenpropidin, CGA 289267, SYN 515213, CGA 289268 and their conjugates, expressed as fenpropidin.</w:t>
      </w:r>
      <w:bookmarkEnd w:id="144"/>
    </w:p>
    <w:p w14:paraId="0B49EB2A" w14:textId="7F12A5B0" w:rsidR="00F9202B" w:rsidRPr="00C42E51" w:rsidRDefault="00F9202B" w:rsidP="00F9202B">
      <w:pPr>
        <w:pStyle w:val="APVMAText"/>
      </w:pPr>
      <w:r w:rsidRPr="00C42E51">
        <w:t>It is noted that the analytical method for animal commodities does not include analysis of SYN 515213 and its conjugates or conjugates of CGA 289267 or CGA 289268. In accordance the OECD Guidance document D</w:t>
      </w:r>
      <w:r w:rsidRPr="00C42E51">
        <w:rPr>
          <w:i/>
          <w:iCs/>
        </w:rPr>
        <w:t>efinition of Residue - Series on Pesticides, No. 31; Series on Testing and Assessment, No. 63; revision, published 28 July 2009</w:t>
      </w:r>
      <w:r w:rsidRPr="00C42E51">
        <w:rPr>
          <w:i/>
          <w:iCs/>
          <w:vertAlign w:val="superscript"/>
        </w:rPr>
        <w:footnoteReference w:id="2"/>
      </w:r>
      <w:r w:rsidRPr="00C42E51">
        <w:rPr>
          <w:i/>
          <w:iCs/>
        </w:rPr>
        <w:t xml:space="preserve"> ENV/JM/MONO(2009)30</w:t>
      </w:r>
      <w:r w:rsidRPr="00C42E51">
        <w:rPr>
          <w:lang w:val="en-CA"/>
        </w:rPr>
        <w:t>, the principles for derivation and application of M:M</w:t>
      </w:r>
      <w:r w:rsidRPr="00C42E51">
        <w:rPr>
          <w:vertAlign w:val="subscript"/>
          <w:lang w:val="en-CA"/>
        </w:rPr>
        <w:t>R</w:t>
      </w:r>
      <w:r w:rsidRPr="00C42E51">
        <w:rPr>
          <w:lang w:val="en-CA"/>
        </w:rPr>
        <w:t xml:space="preserve"> ratios</w:t>
      </w:r>
      <w:r w:rsidRPr="00C42E51">
        <w:t xml:space="preserve"> from the goat metabolism study (</w:t>
      </w:r>
      <w:r w:rsidRPr="00C42E51">
        <w:rPr>
          <w:lang w:val="en-CA"/>
        </w:rPr>
        <w:t>the ratio of the metabolite of interest (M) to another main component/representative metabolite (M</w:t>
      </w:r>
      <w:r w:rsidRPr="00C42E51">
        <w:rPr>
          <w:vertAlign w:val="subscript"/>
          <w:lang w:val="en-CA"/>
        </w:rPr>
        <w:t>R</w:t>
      </w:r>
      <w:r w:rsidRPr="00C42E51">
        <w:rPr>
          <w:lang w:val="en-CA"/>
        </w:rPr>
        <w:t>))</w:t>
      </w:r>
      <w:r w:rsidRPr="00C42E51">
        <w:t xml:space="preserve"> will be employed for dietary exposure estimations</w:t>
      </w:r>
      <w:r w:rsidR="008471A3" w:rsidRPr="00C42E51">
        <w:t xml:space="preserve"> of these metabolites</w:t>
      </w:r>
      <w:r w:rsidRPr="00C42E51">
        <w:t xml:space="preserve"> in animal commodities. </w:t>
      </w:r>
    </w:p>
    <w:p w14:paraId="2DCF5186" w14:textId="5F9D81D0" w:rsidR="00F9202B" w:rsidRPr="00C42E51" w:rsidRDefault="00F9202B" w:rsidP="00F9202B">
      <w:pPr>
        <w:pStyle w:val="APVMAText"/>
        <w:rPr>
          <w:i/>
        </w:rPr>
      </w:pPr>
      <w:r w:rsidRPr="00C42E51">
        <w:t xml:space="preserve">Also, for metabolite </w:t>
      </w:r>
      <w:r w:rsidRPr="00C42E51">
        <w:rPr>
          <w:lang w:val="en-US"/>
        </w:rPr>
        <w:t>IA</w:t>
      </w:r>
      <w:r w:rsidRPr="00C42E51">
        <w:rPr>
          <w:vertAlign w:val="subscript"/>
          <w:lang w:val="en-US"/>
        </w:rPr>
        <w:t>5b</w:t>
      </w:r>
      <w:r w:rsidRPr="00C42E51">
        <w:rPr>
          <w:lang w:val="en-US"/>
        </w:rPr>
        <w:t>,</w:t>
      </w:r>
      <w:r w:rsidRPr="00C42E51">
        <w:t xml:space="preserve"> observed at significant levels (</w:t>
      </w:r>
      <w:r w:rsidRPr="00C42E51">
        <w:rPr>
          <w:lang w:val="en-US"/>
        </w:rPr>
        <w:t xml:space="preserve">22.9% TRR in the </w:t>
      </w:r>
      <w:r w:rsidRPr="00C42E51">
        <w:t>[3-</w:t>
      </w:r>
      <w:r w:rsidRPr="00C42E51">
        <w:rPr>
          <w:vertAlign w:val="superscript"/>
        </w:rPr>
        <w:t>14</w:t>
      </w:r>
      <w:r w:rsidRPr="00C42E51">
        <w:t>C-propylpiperidine] radiolabelled experiment) in hen liver only, the expected poultry burden from the proposed use on grapes is not significant and therefore this metabolite is not expected in poultry livers as a result of the proposed use. However, if the poultry burden increases in the future, further consideration of this metabolite may be necessary.</w:t>
      </w:r>
    </w:p>
    <w:p w14:paraId="1FA1569C" w14:textId="77777777" w:rsidR="00302D38" w:rsidRDefault="00302D38" w:rsidP="00302D38">
      <w:pPr>
        <w:pStyle w:val="Heading2"/>
        <w:ind w:left="907" w:hanging="907"/>
        <w:rPr>
          <w:lang w:val="en-GB"/>
        </w:rPr>
      </w:pPr>
      <w:bookmarkStart w:id="145" w:name="_Toc531181083"/>
      <w:bookmarkStart w:id="146" w:name="_Toc7561252"/>
      <w:bookmarkStart w:id="147" w:name="_Toc137198165"/>
      <w:r>
        <w:rPr>
          <w:lang w:val="en-GB"/>
        </w:rPr>
        <w:t>Residues in food and animal feeds</w:t>
      </w:r>
      <w:bookmarkEnd w:id="145"/>
      <w:bookmarkEnd w:id="146"/>
      <w:bookmarkEnd w:id="147"/>
    </w:p>
    <w:p w14:paraId="0338121F" w14:textId="02DB0073" w:rsidR="00F9202B" w:rsidRPr="00F9202B" w:rsidRDefault="00F9202B" w:rsidP="00F9202B">
      <w:pPr>
        <w:pStyle w:val="APVMAText"/>
      </w:pPr>
      <w:r>
        <w:t>Difenoconazole and f</w:t>
      </w:r>
      <w:r w:rsidRPr="00F9202B">
        <w:t>enpropidin residue trials on grapes were provided from Australia, Europe and South Africa. The treatment regime used differed between trials. The 6 Australian trials addressed the proposed critical GAP</w:t>
      </w:r>
      <w:r>
        <w:t xml:space="preserve"> (Good Agricultural Practice)</w:t>
      </w:r>
      <w:r w:rsidRPr="00F9202B">
        <w:t xml:space="preserve"> i.e. a single foliar application applied at 80% </w:t>
      </w:r>
      <w:proofErr w:type="spellStart"/>
      <w:r w:rsidRPr="00F9202B">
        <w:t>capfall</w:t>
      </w:r>
      <w:proofErr w:type="spellEnd"/>
      <w:r w:rsidRPr="00F9202B">
        <w:t xml:space="preserve"> (E-L 25, BBCH 68), as a concentrated spray at a concentration of 45 g fenpropidin/100</w:t>
      </w:r>
      <w:r w:rsidR="00C42E51">
        <w:t xml:space="preserve"> </w:t>
      </w:r>
      <w:r w:rsidRPr="00F9202B">
        <w:t>L + 12 g difenoconazole/100</w:t>
      </w:r>
      <w:r w:rsidR="00DD03C2">
        <w:t> </w:t>
      </w:r>
      <w:r w:rsidRPr="00F9202B">
        <w:t>L</w:t>
      </w:r>
      <w:r w:rsidR="00DD03C2">
        <w:t>;</w:t>
      </w:r>
      <w:r w:rsidRPr="00F9202B">
        <w:t xml:space="preserve"> however</w:t>
      </w:r>
      <w:r w:rsidR="00DD03C2">
        <w:t>,</w:t>
      </w:r>
      <w:r w:rsidRPr="00F9202B">
        <w:t xml:space="preserve"> the international trials involved </w:t>
      </w:r>
      <w:r w:rsidRPr="00F9202B">
        <w:rPr>
          <w:bCs/>
        </w:rPr>
        <w:t>3 to 5 foliar applications generally at higher concentrations and later application timings and are therefore considered as supportive only.</w:t>
      </w:r>
    </w:p>
    <w:p w14:paraId="507E1151" w14:textId="63DFF5EB" w:rsidR="00F9202B" w:rsidRDefault="00F9202B" w:rsidP="00F9202B">
      <w:pPr>
        <w:pStyle w:val="Heading3"/>
        <w:rPr>
          <w:lang w:val="en-GB"/>
        </w:rPr>
      </w:pPr>
      <w:r>
        <w:rPr>
          <w:lang w:val="en-GB"/>
        </w:rPr>
        <w:t>Difenoconazole</w:t>
      </w:r>
    </w:p>
    <w:p w14:paraId="2D2DE341" w14:textId="72BBDEED" w:rsidR="00F9202B" w:rsidRPr="00C563CE" w:rsidRDefault="00F9202B" w:rsidP="00F9202B">
      <w:pPr>
        <w:pStyle w:val="NormalText"/>
        <w:rPr>
          <w:sz w:val="20"/>
          <w:szCs w:val="28"/>
          <w:lang w:val="en-GB"/>
        </w:rPr>
      </w:pPr>
      <w:r w:rsidRPr="00C563CE">
        <w:rPr>
          <w:sz w:val="20"/>
          <w:szCs w:val="28"/>
          <w:lang w:val="en-GB"/>
        </w:rPr>
        <w:t xml:space="preserve">Residues of difenoconazole were below the LOQ (n=6) in all matrices (grapes (whole fruit), wine, </w:t>
      </w:r>
      <w:proofErr w:type="gramStart"/>
      <w:r w:rsidRPr="00C563CE">
        <w:rPr>
          <w:sz w:val="20"/>
          <w:szCs w:val="28"/>
          <w:lang w:val="en-GB"/>
        </w:rPr>
        <w:t>juice</w:t>
      </w:r>
      <w:proofErr w:type="gramEnd"/>
      <w:r w:rsidRPr="00C563CE">
        <w:rPr>
          <w:sz w:val="20"/>
          <w:szCs w:val="28"/>
          <w:lang w:val="en-GB"/>
        </w:rPr>
        <w:t xml:space="preserve"> and pomace) following treatment at the proposed critical GAP. It is concluded that the existing difenoconazole </w:t>
      </w:r>
      <w:r w:rsidR="008471A3" w:rsidRPr="00C563CE">
        <w:rPr>
          <w:sz w:val="20"/>
          <w:szCs w:val="28"/>
          <w:lang w:val="en-GB"/>
        </w:rPr>
        <w:t xml:space="preserve">MRLs for Grapes at 2 mg/kg and Grape pomace, dry at 10 mg/kg </w:t>
      </w:r>
      <w:r w:rsidRPr="00C563CE">
        <w:rPr>
          <w:sz w:val="20"/>
          <w:szCs w:val="28"/>
          <w:lang w:val="en-GB"/>
        </w:rPr>
        <w:t>will cover the expected residues for the proposed use.</w:t>
      </w:r>
    </w:p>
    <w:p w14:paraId="037FB84C" w14:textId="1DE174B4" w:rsidR="00F9202B" w:rsidRDefault="00F9202B" w:rsidP="00F9202B">
      <w:pPr>
        <w:pStyle w:val="Heading3"/>
        <w:rPr>
          <w:lang w:val="en-GB"/>
        </w:rPr>
      </w:pPr>
      <w:r>
        <w:rPr>
          <w:lang w:val="en-GB"/>
        </w:rPr>
        <w:t>Fenpropidin</w:t>
      </w:r>
    </w:p>
    <w:p w14:paraId="101943B2" w14:textId="77777777" w:rsidR="00F9202B" w:rsidRPr="00EE1B6A" w:rsidRDefault="00F9202B" w:rsidP="00F9202B">
      <w:pPr>
        <w:pStyle w:val="APVMAText"/>
        <w:rPr>
          <w:szCs w:val="20"/>
        </w:rPr>
      </w:pPr>
      <w:r w:rsidRPr="00EE1B6A">
        <w:rPr>
          <w:szCs w:val="20"/>
        </w:rPr>
        <w:t>Following a single foliar application at pre-flowering (E-L 18, BBCH 60), at the proposed dilute spraying concentration or as a concentrated spray (3× concentration), no detectable residues of fenpropidin were observed in grapes (whole fruit), juice or wine.</w:t>
      </w:r>
    </w:p>
    <w:p w14:paraId="3446BD36" w14:textId="0EF2E14B" w:rsidR="00F9202B" w:rsidRPr="00F9202B" w:rsidRDefault="00F9202B" w:rsidP="00F9202B">
      <w:pPr>
        <w:pStyle w:val="APVMAText"/>
      </w:pPr>
      <w:r w:rsidRPr="00F9202B">
        <w:lastRenderedPageBreak/>
        <w:t xml:space="preserve">Following a single foliar application at 80% </w:t>
      </w:r>
      <w:proofErr w:type="spellStart"/>
      <w:r w:rsidRPr="00F9202B">
        <w:t>capfall</w:t>
      </w:r>
      <w:proofErr w:type="spellEnd"/>
      <w:r w:rsidRPr="00F9202B">
        <w:t xml:space="preserve"> (E-L 25, BBCH 68), as a concentrated spray (1×</w:t>
      </w:r>
      <w:r w:rsidR="00DD03C2">
        <w:t> </w:t>
      </w:r>
      <w:r w:rsidRPr="00F9202B">
        <w:t>proposed critical GAP), residues of fenpropidin were 0.006, 0.008, 0.010, 0.011 (2) and 0.012 mg/kg (n=6) in grapes (whole fruit). A fenpropidin MRL for FB 1236 Wine-grapes at 0.03 mg/kg is recommended to cover the expected residues in the Raw Agricultural Commodity (RAC).</w:t>
      </w:r>
    </w:p>
    <w:p w14:paraId="52D2C76F" w14:textId="4FE4898B" w:rsidR="00F9202B" w:rsidRDefault="00F9202B" w:rsidP="00F9202B">
      <w:pPr>
        <w:pStyle w:val="APVMAText"/>
      </w:pPr>
      <w:r w:rsidRPr="00F9202B">
        <w:t xml:space="preserve">Residues of fenpropidin were not observed to concentrate in juice or wine. At the critical GAP, low level finite residues of fenpropidin were observed in juice at &lt;0.003 (4), &lt;0.005 and 0.006 mg/kg (n=6, </w:t>
      </w:r>
      <w:r>
        <w:t>Supervised Trials Median Residue (</w:t>
      </w:r>
      <w:r w:rsidRPr="00F9202B">
        <w:t>STMR</w:t>
      </w:r>
      <w:r>
        <w:t>)</w:t>
      </w:r>
      <w:r w:rsidRPr="00F9202B">
        <w:t xml:space="preserve"> = &lt;0.003 mg/kg), and in wine at &lt;0.003 (2), &lt;0.005, 0.006 and 0.007</w:t>
      </w:r>
      <w:r w:rsidR="00DD03C2">
        <w:t> </w:t>
      </w:r>
      <w:r w:rsidRPr="00F9202B">
        <w:t>(2)</w:t>
      </w:r>
      <w:r w:rsidR="00DD03C2">
        <w:t> </w:t>
      </w:r>
      <w:r w:rsidRPr="00F9202B">
        <w:t xml:space="preserve">mg/kg (n=6, STMR = 0.006 mg/kg). It is concluded that the potential residues in wine will be covered by the MRL established in the RAC. </w:t>
      </w:r>
    </w:p>
    <w:p w14:paraId="18D58747" w14:textId="6BC08C40" w:rsidR="00F9202B" w:rsidRPr="00F9202B" w:rsidRDefault="00F9202B" w:rsidP="00F9202B">
      <w:pPr>
        <w:pStyle w:val="APVMAText"/>
      </w:pPr>
      <w:r w:rsidRPr="00F9202B">
        <w:t>Residues of fenpropidin were observed to concentrate on grape pomace. At the critical GAP, measured residues of fenpropidin were &lt;0.005, 0.056, 0.065, 0.099, 0.128 and 0.142 mg/kg in dry pomace (n=6, STMR = 0.083 mg/kg). Based on the HR in grapes from the proposed use at 0.012 mg/kg and the highest processing factor of 18×, the HR-P for dry pomace is 0.216 mg/kg. A fenpropidin MRL for AB 0269 Grape pomace, dry at 0.3 mg/kg is recommended to cover the expected residues in dry pomace.</w:t>
      </w:r>
      <w:r w:rsidRPr="00F9202B">
        <w:rPr>
          <w:rFonts w:ascii="Times New Roman" w:hAnsi="Times New Roman" w:cs="Times New Roman"/>
          <w:sz w:val="24"/>
        </w:rPr>
        <w:t xml:space="preserve"> </w:t>
      </w:r>
      <w:r w:rsidRPr="00F9202B">
        <w:t xml:space="preserve">The </w:t>
      </w:r>
      <w:r>
        <w:t>Supervised Trials Median Residues – Processed (</w:t>
      </w:r>
      <w:r w:rsidRPr="00F9202B">
        <w:t>STMR-P</w:t>
      </w:r>
      <w:r>
        <w:t>)</w:t>
      </w:r>
      <w:r w:rsidRPr="00F9202B">
        <w:t xml:space="preserve"> for Grape pomace, dry is 0.011 × 7.44 = 0.082 mg/kg.</w:t>
      </w:r>
    </w:p>
    <w:p w14:paraId="707834A5" w14:textId="77777777" w:rsidR="00302D38" w:rsidRDefault="00302D38" w:rsidP="00302D38">
      <w:pPr>
        <w:pStyle w:val="Heading2"/>
        <w:ind w:left="907" w:hanging="907"/>
        <w:rPr>
          <w:lang w:val="en-GB"/>
        </w:rPr>
      </w:pPr>
      <w:bookmarkStart w:id="148" w:name="_Toc531181084"/>
      <w:bookmarkStart w:id="149" w:name="_Toc7561253"/>
      <w:bookmarkStart w:id="150" w:name="_Toc137198166"/>
      <w:r>
        <w:rPr>
          <w:lang w:val="en-GB"/>
        </w:rPr>
        <w:t>Crop rotation</w:t>
      </w:r>
      <w:bookmarkEnd w:id="148"/>
      <w:bookmarkEnd w:id="149"/>
      <w:bookmarkEnd w:id="150"/>
    </w:p>
    <w:p w14:paraId="4E8885B7" w14:textId="0142C8AF" w:rsidR="00302D38" w:rsidRPr="00642A09" w:rsidRDefault="00F9202B" w:rsidP="00302D38">
      <w:pPr>
        <w:pStyle w:val="APVMAText"/>
        <w:rPr>
          <w:lang w:val="en-GB"/>
        </w:rPr>
      </w:pPr>
      <w:r w:rsidRPr="00F9202B">
        <w:t xml:space="preserve">No rotational crop studies (confined or field) were provided. This is acceptable </w:t>
      </w:r>
      <w:r w:rsidR="008471A3">
        <w:t xml:space="preserve">for the current application </w:t>
      </w:r>
      <w:r w:rsidRPr="00F9202B">
        <w:t xml:space="preserve">noting that grapes are not considered a rotational crop. Should future uses be proposed </w:t>
      </w:r>
      <w:r w:rsidRPr="00F9202B">
        <w:rPr>
          <w:bCs/>
        </w:rPr>
        <w:t>on commodities which are</w:t>
      </w:r>
      <w:r w:rsidRPr="00F9202B">
        <w:t xml:space="preserve"> grown in rotation, rotational crop studies will be necessary</w:t>
      </w:r>
      <w:r>
        <w:t>.</w:t>
      </w:r>
    </w:p>
    <w:p w14:paraId="667EAD59" w14:textId="77777777" w:rsidR="00302D38" w:rsidRDefault="00302D38" w:rsidP="00302D38">
      <w:pPr>
        <w:pStyle w:val="Heading2"/>
        <w:ind w:left="907" w:hanging="907"/>
        <w:rPr>
          <w:lang w:val="en-GB"/>
        </w:rPr>
      </w:pPr>
      <w:bookmarkStart w:id="151" w:name="_Toc531181085"/>
      <w:bookmarkStart w:id="152" w:name="_Toc7561254"/>
      <w:bookmarkStart w:id="153" w:name="_Toc137198167"/>
      <w:r>
        <w:rPr>
          <w:lang w:val="en-GB"/>
        </w:rPr>
        <w:t>Residues in animal commodities</w:t>
      </w:r>
      <w:bookmarkEnd w:id="151"/>
      <w:bookmarkEnd w:id="152"/>
      <w:bookmarkEnd w:id="153"/>
    </w:p>
    <w:p w14:paraId="24CD1071" w14:textId="1FF11F95" w:rsidR="00302D38" w:rsidRDefault="00F9202B" w:rsidP="00F9202B">
      <w:pPr>
        <w:pStyle w:val="APVMAText"/>
      </w:pPr>
      <w:r w:rsidRPr="00F9202B">
        <w:t xml:space="preserve">The OECD calculator indicates grape pomace is considered </w:t>
      </w:r>
      <w:r w:rsidR="00EE1B6A">
        <w:t xml:space="preserve">a </w:t>
      </w:r>
      <w:r w:rsidRPr="00F9202B">
        <w:t>significant animal feed i</w:t>
      </w:r>
      <w:bookmarkStart w:id="154" w:name="_Hlk129166079"/>
      <w:r w:rsidRPr="00F9202B">
        <w:t xml:space="preserve">n beef and dairy cattle. Grape pomace can constitute up to 20% of the diet. </w:t>
      </w:r>
      <w:bookmarkEnd w:id="154"/>
      <w:r w:rsidRPr="00F9202B">
        <w:t>In vineyard situations, animals may also graze inter-rows and forage on grape vine leaves.</w:t>
      </w:r>
    </w:p>
    <w:p w14:paraId="21D2326C" w14:textId="77777777" w:rsidR="00F9202B" w:rsidRDefault="00F9202B" w:rsidP="00F9202B">
      <w:pPr>
        <w:pStyle w:val="Heading3"/>
        <w:rPr>
          <w:lang w:val="en-GB"/>
        </w:rPr>
      </w:pPr>
      <w:r>
        <w:rPr>
          <w:lang w:val="en-GB"/>
        </w:rPr>
        <w:t>Difenoconazole</w:t>
      </w:r>
    </w:p>
    <w:p w14:paraId="43BD897B" w14:textId="77777777" w:rsidR="00F9202B" w:rsidRPr="00F9202B" w:rsidRDefault="00F9202B" w:rsidP="00F9202B">
      <w:pPr>
        <w:pStyle w:val="APVMAText"/>
      </w:pPr>
      <w:r w:rsidRPr="00F9202B">
        <w:t>The livestock dietary burden of difenoconazole is not expected to increase as a result of the proposed use, therefore animal commodity MRLs remain appropriate.</w:t>
      </w:r>
    </w:p>
    <w:p w14:paraId="49C4E463" w14:textId="77777777" w:rsidR="00F9202B" w:rsidRDefault="00F9202B" w:rsidP="00F9202B">
      <w:pPr>
        <w:pStyle w:val="Heading3"/>
        <w:rPr>
          <w:lang w:val="en-GB"/>
        </w:rPr>
      </w:pPr>
      <w:r>
        <w:rPr>
          <w:lang w:val="en-GB"/>
        </w:rPr>
        <w:t>Fenpropidin</w:t>
      </w:r>
    </w:p>
    <w:p w14:paraId="44BE9200" w14:textId="1F5CEBD3" w:rsidR="00F9202B" w:rsidRPr="00F9202B" w:rsidRDefault="00F9202B" w:rsidP="00F9202B">
      <w:pPr>
        <w:pStyle w:val="APVMAText"/>
      </w:pPr>
      <w:r w:rsidRPr="00F9202B">
        <w:t xml:space="preserve">The livestock dietary burden </w:t>
      </w:r>
      <w:r>
        <w:t>of fenpropidin is</w:t>
      </w:r>
      <w:r w:rsidRPr="00F9202B">
        <w:t xml:space="preserve"> calculated to be 0.05 ppm based on the fenpropidin STMR-P in grape pomace, dry at 0.082 mg/kg and the expected residues in interrow forage at 0.01 mg/kg and 0.005</w:t>
      </w:r>
      <w:r w:rsidR="00DD03C2">
        <w:t> </w:t>
      </w:r>
      <w:r w:rsidRPr="00F9202B">
        <w:t>mg/kg in grape leaves at the proposed grazing WHP of 12 weeks.</w:t>
      </w:r>
    </w:p>
    <w:p w14:paraId="42CACC2E" w14:textId="4D9BAFD1" w:rsidR="00F9202B" w:rsidRDefault="00F9202B" w:rsidP="00F9202B">
      <w:pPr>
        <w:pStyle w:val="APVMAText"/>
      </w:pPr>
      <w:r w:rsidRPr="00F9202B">
        <w:t xml:space="preserve">Based on the animal transfer studies, residues of fenpropidin + CGA 289267 </w:t>
      </w:r>
      <w:r w:rsidR="008471A3">
        <w:t xml:space="preserve">(expressed as fenpropidin) </w:t>
      </w:r>
      <w:r w:rsidRPr="00F9202B">
        <w:t xml:space="preserve">would be expected at &lt;0.01 mg eq./kg in milk, &lt;0.02 mg eq./kg in meat, fat, liver and kidney. Fenpropidin animal commodity MRLs are recommended at *0.01 for ML 0106 Milks, *0.02 for MM 0095 Meat </w:t>
      </w:r>
      <w:r w:rsidRPr="00F9202B">
        <w:lastRenderedPageBreak/>
        <w:t>(mammalian) and *0.02 for MO Edible offal (mammalian) in conjunction with the proposed grazing withholding period of 12 weeks.</w:t>
      </w:r>
    </w:p>
    <w:p w14:paraId="2D13249B" w14:textId="00556AC1" w:rsidR="00F9202B" w:rsidRDefault="006A20B0" w:rsidP="00F9202B">
      <w:pPr>
        <w:pStyle w:val="APVMAText"/>
        <w:rPr>
          <w:lang w:val="en-GB"/>
        </w:rPr>
      </w:pPr>
      <w:r w:rsidRPr="006A20B0">
        <w:t>No poultry feeding study was provided and is not considered necessary for the proposed use on grapes noting that grapes and grape pomace are not a significant poultry feed.</w:t>
      </w:r>
      <w:r>
        <w:t xml:space="preserve"> Hence, t</w:t>
      </w:r>
      <w:r w:rsidR="00F9202B" w:rsidRPr="00F9202B">
        <w:t>he expected poultry burden from the proposed use on grapes is not significant</w:t>
      </w:r>
      <w:r>
        <w:t>. F</w:t>
      </w:r>
      <w:r w:rsidRPr="006A20B0">
        <w:rPr>
          <w:bCs/>
        </w:rPr>
        <w:t xml:space="preserve">enpropidin poultry commodity MRLs </w:t>
      </w:r>
      <w:r>
        <w:rPr>
          <w:bCs/>
        </w:rPr>
        <w:t xml:space="preserve">are recommended </w:t>
      </w:r>
      <w:r w:rsidRPr="006A20B0">
        <w:rPr>
          <w:bCs/>
        </w:rPr>
        <w:t>for PE 0112 Eggs, PM 0110 Poultry meat and PO 0111 Poultry, edible offal of at *0.02 mg/kg.</w:t>
      </w:r>
      <w:r w:rsidR="00F9202B">
        <w:t xml:space="preserve"> </w:t>
      </w:r>
    </w:p>
    <w:p w14:paraId="1C872D21" w14:textId="77777777" w:rsidR="00302D38" w:rsidRDefault="00302D38" w:rsidP="00302D38">
      <w:pPr>
        <w:pStyle w:val="Heading2"/>
        <w:ind w:left="907" w:hanging="907"/>
        <w:rPr>
          <w:lang w:val="en-GB"/>
        </w:rPr>
      </w:pPr>
      <w:bookmarkStart w:id="155" w:name="_Toc531181087"/>
      <w:bookmarkStart w:id="156" w:name="_Toc7561256"/>
      <w:bookmarkStart w:id="157" w:name="_Toc137198168"/>
      <w:r>
        <w:rPr>
          <w:lang w:val="en-GB"/>
        </w:rPr>
        <w:t>Dietary risk assessment</w:t>
      </w:r>
      <w:bookmarkEnd w:id="155"/>
      <w:bookmarkEnd w:id="156"/>
      <w:bookmarkEnd w:id="157"/>
    </w:p>
    <w:p w14:paraId="4955DA78" w14:textId="139F9786" w:rsidR="00F9202B" w:rsidRPr="00F9202B" w:rsidRDefault="00F9202B" w:rsidP="00F9202B">
      <w:pPr>
        <w:pStyle w:val="APVMAText"/>
      </w:pPr>
      <w:r w:rsidRPr="00F9202B">
        <w:t>The chronic dietary exposures to difenoconazole and fenpropidin are estimated by the National Estimated Daily Intake (NEDI) calculation encompassing all registered/temporary uses of the chemical and the mean daily dietary consumption data derived primarily from the 2011</w:t>
      </w:r>
      <w:r w:rsidR="00DD03C2">
        <w:t>–</w:t>
      </w:r>
      <w:r w:rsidRPr="00F9202B">
        <w:t>12 National Nutritional and Physical Activity Survey. The NEDI calculation is made in accordance with WHO Guidelines and is a conservative estimate of dietary exposure to chemical residues in food. The NEDI for difenoconazole is equivalent to &lt;95% of the ADI. The NEDI for fenpropidin is equivalent to &lt;1% of the ADI. It is concluded that the chronic dietary exposures to difenoconazole and fenpropidin are acceptable.</w:t>
      </w:r>
    </w:p>
    <w:p w14:paraId="3216E133" w14:textId="2C56B92C" w:rsidR="00140E74" w:rsidRDefault="00F9202B" w:rsidP="00F9202B">
      <w:pPr>
        <w:pStyle w:val="APVMAText"/>
      </w:pPr>
      <w:r w:rsidRPr="00F9202B">
        <w:t xml:space="preserve">The acute dietary exposure is estimated by the National Estimated </w:t>
      </w:r>
      <w:proofErr w:type="gramStart"/>
      <w:r w:rsidRPr="00F9202B">
        <w:t>Short Term</w:t>
      </w:r>
      <w:proofErr w:type="gramEnd"/>
      <w:r w:rsidRPr="00F9202B">
        <w:t xml:space="preserve"> Intake (NESTI) calculation. The NESTI calculations are made in accordance with the deterministic method used by the JMPR with 97.5th percentile food consumption data derived primarily from the 2011</w:t>
      </w:r>
      <w:r w:rsidR="00DD03C2">
        <w:t>–</w:t>
      </w:r>
      <w:r w:rsidRPr="00F9202B">
        <w:t>12 National Nutritional and Physical Activity Survey. NESTI calculations are conservative estimates of short-term exposure (</w:t>
      </w:r>
      <w:r w:rsidR="00DD03C2" w:rsidRPr="00F9202B">
        <w:t>24</w:t>
      </w:r>
      <w:r w:rsidR="00DD03C2">
        <w:t>-hour</w:t>
      </w:r>
      <w:r w:rsidRPr="00F9202B">
        <w:t xml:space="preserve"> period) to chemical residues in food. The highest acute dietary intake of difenoconazole was estimated at &lt;1% of the JMPR </w:t>
      </w:r>
      <w:proofErr w:type="spellStart"/>
      <w:r w:rsidRPr="00F9202B">
        <w:t>ARfD</w:t>
      </w:r>
      <w:proofErr w:type="spellEnd"/>
      <w:r w:rsidRPr="00F9202B">
        <w:t xml:space="preserve">. The highest acute dietary intake of fenpropidin was estimated at &lt;1% of the recommended </w:t>
      </w:r>
      <w:proofErr w:type="spellStart"/>
      <w:r w:rsidRPr="00F9202B">
        <w:t>ARfD</w:t>
      </w:r>
      <w:proofErr w:type="spellEnd"/>
      <w:r w:rsidRPr="00F9202B">
        <w:t xml:space="preserve">.  It is concluded that the acute dietary exposure of </w:t>
      </w:r>
      <w:r>
        <w:t xml:space="preserve">difenoconazole and </w:t>
      </w:r>
      <w:r w:rsidRPr="00F9202B">
        <w:t>fenpropidin is acceptable.</w:t>
      </w:r>
    </w:p>
    <w:p w14:paraId="58911CAA" w14:textId="77777777" w:rsidR="00302D38" w:rsidRDefault="00302D38" w:rsidP="00302D38">
      <w:pPr>
        <w:pStyle w:val="Heading2"/>
        <w:ind w:left="907" w:hanging="907"/>
      </w:pPr>
      <w:bookmarkStart w:id="158" w:name="_Toc531181088"/>
      <w:bookmarkStart w:id="159" w:name="_Toc7561257"/>
      <w:bookmarkStart w:id="160" w:name="_Toc137198169"/>
      <w:r>
        <w:t>Recommendations</w:t>
      </w:r>
      <w:bookmarkEnd w:id="158"/>
      <w:bookmarkEnd w:id="159"/>
      <w:bookmarkEnd w:id="160"/>
    </w:p>
    <w:p w14:paraId="52057C86" w14:textId="1C620D10" w:rsidR="00302D38" w:rsidRDefault="00302D38" w:rsidP="00302D38">
      <w:pPr>
        <w:pStyle w:val="APVMAText"/>
      </w:pPr>
      <w:r>
        <w:rPr>
          <w:szCs w:val="20"/>
        </w:rPr>
        <w:t xml:space="preserve">The following amendments </w:t>
      </w:r>
      <w:r w:rsidR="00DD03C2">
        <w:rPr>
          <w:szCs w:val="20"/>
        </w:rPr>
        <w:t xml:space="preserve">in Table 6 </w:t>
      </w:r>
      <w:r>
        <w:rPr>
          <w:szCs w:val="20"/>
        </w:rPr>
        <w:t>are required to be made to the APVMA MRL Standard (Table 5).</w:t>
      </w:r>
    </w:p>
    <w:p w14:paraId="3787078F" w14:textId="516CE3F1" w:rsidR="00302D38" w:rsidRDefault="00DD03C2" w:rsidP="00DD03C2">
      <w:pPr>
        <w:pStyle w:val="Caption"/>
      </w:pPr>
      <w:bookmarkStart w:id="161" w:name="_Toc523995126"/>
      <w:bookmarkStart w:id="162" w:name="_Toc56686270"/>
      <w:bookmarkStart w:id="163" w:name="_Toc56686283"/>
      <w:bookmarkStart w:id="164" w:name="_Toc137198203"/>
      <w:r>
        <w:t xml:space="preserve">Table </w:t>
      </w:r>
      <w:fldSimple w:instr=" SEQ Table \* ARABIC ">
        <w:r>
          <w:rPr>
            <w:noProof/>
          </w:rPr>
          <w:t>6</w:t>
        </w:r>
      </w:fldSimple>
      <w:r w:rsidR="00302D38">
        <w:t>:</w:t>
      </w:r>
      <w:r w:rsidR="00302D38" w:rsidRPr="001D4D17">
        <w:t xml:space="preserve"> </w:t>
      </w:r>
      <w:r w:rsidR="00302D38">
        <w:t xml:space="preserve">Amendments to the APVMA </w:t>
      </w:r>
      <w:r w:rsidR="00302D38">
        <w:rPr>
          <w:bCs/>
        </w:rPr>
        <w:t>MRL Standard</w:t>
      </w:r>
      <w:bookmarkEnd w:id="161"/>
      <w:bookmarkEnd w:id="162"/>
      <w:bookmarkEnd w:id="163"/>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mendments to the APVA MRL Standard"/>
        <w:tblDescription w:val="List of amendments that are required to be made to the APVMA MRL Standard"/>
      </w:tblPr>
      <w:tblGrid>
        <w:gridCol w:w="3109"/>
        <w:gridCol w:w="4611"/>
        <w:gridCol w:w="1874"/>
        <w:gridCol w:w="44"/>
      </w:tblGrid>
      <w:tr w:rsidR="00D90D30" w14:paraId="0BDA6947" w14:textId="77777777" w:rsidTr="00772458">
        <w:trPr>
          <w:tblHeader/>
        </w:trPr>
        <w:tc>
          <w:tcPr>
            <w:tcW w:w="5000" w:type="pct"/>
            <w:gridSpan w:val="4"/>
            <w:tcBorders>
              <w:top w:val="single" w:sz="4" w:space="0" w:color="auto"/>
              <w:left w:val="nil"/>
              <w:bottom w:val="single" w:sz="4" w:space="0" w:color="auto"/>
              <w:right w:val="nil"/>
            </w:tcBorders>
            <w:shd w:val="clear" w:color="auto" w:fill="00747A" w:themeFill="background2"/>
          </w:tcPr>
          <w:p w14:paraId="5239BB7C" w14:textId="77777777" w:rsidR="00D90D30" w:rsidRDefault="00D90D30" w:rsidP="00D90D30">
            <w:pPr>
              <w:pStyle w:val="APVMATableHead"/>
            </w:pPr>
            <w:r>
              <w:t>Amendments to Table 1</w:t>
            </w:r>
          </w:p>
        </w:tc>
      </w:tr>
      <w:tr w:rsidR="00D90D30" w14:paraId="0EC12A1D" w14:textId="77777777" w:rsidTr="00DD03C2">
        <w:trPr>
          <w:tblHeader/>
        </w:trPr>
        <w:tc>
          <w:tcPr>
            <w:tcW w:w="1613" w:type="pct"/>
            <w:tcBorders>
              <w:top w:val="nil"/>
              <w:left w:val="nil"/>
              <w:bottom w:val="single" w:sz="4" w:space="0" w:color="auto"/>
              <w:right w:val="nil"/>
            </w:tcBorders>
            <w:shd w:val="clear" w:color="auto" w:fill="00747A" w:themeFill="background2"/>
          </w:tcPr>
          <w:p w14:paraId="55058B7A" w14:textId="77777777" w:rsidR="00D90D30" w:rsidRDefault="00D90D30" w:rsidP="00323CDE">
            <w:pPr>
              <w:pStyle w:val="APVMATableHead"/>
            </w:pPr>
            <w:r>
              <w:t>Compound</w:t>
            </w:r>
          </w:p>
        </w:tc>
        <w:tc>
          <w:tcPr>
            <w:tcW w:w="2392" w:type="pct"/>
            <w:tcBorders>
              <w:top w:val="nil"/>
              <w:left w:val="nil"/>
              <w:bottom w:val="single" w:sz="4" w:space="0" w:color="auto"/>
              <w:right w:val="nil"/>
            </w:tcBorders>
            <w:shd w:val="clear" w:color="auto" w:fill="00747A" w:themeFill="background2"/>
          </w:tcPr>
          <w:p w14:paraId="50C4BA7C" w14:textId="77777777" w:rsidR="00D90D30" w:rsidRDefault="00D90D30" w:rsidP="00323CDE">
            <w:pPr>
              <w:pStyle w:val="APVMATableHead"/>
            </w:pPr>
            <w:r>
              <w:t>Food</w:t>
            </w:r>
          </w:p>
        </w:tc>
        <w:tc>
          <w:tcPr>
            <w:tcW w:w="995" w:type="pct"/>
            <w:gridSpan w:val="2"/>
            <w:tcBorders>
              <w:top w:val="nil"/>
              <w:left w:val="nil"/>
              <w:bottom w:val="single" w:sz="4" w:space="0" w:color="auto"/>
              <w:right w:val="nil"/>
            </w:tcBorders>
            <w:shd w:val="clear" w:color="auto" w:fill="00747A" w:themeFill="background2"/>
          </w:tcPr>
          <w:p w14:paraId="263307DB" w14:textId="77777777" w:rsidR="00D90D30" w:rsidRDefault="00D90D30" w:rsidP="00DD03C2">
            <w:pPr>
              <w:pStyle w:val="APVMATableHead"/>
              <w:jc w:val="right"/>
            </w:pPr>
            <w:r>
              <w:t>MRL (mg/kg)</w:t>
            </w:r>
          </w:p>
        </w:tc>
      </w:tr>
      <w:tr w:rsidR="00D90D30" w14:paraId="7FAFBAE3" w14:textId="77777777" w:rsidTr="00DD03C2">
        <w:tc>
          <w:tcPr>
            <w:tcW w:w="5000" w:type="pct"/>
            <w:gridSpan w:val="4"/>
            <w:tcBorders>
              <w:top w:val="single" w:sz="4" w:space="0" w:color="auto"/>
              <w:left w:val="nil"/>
              <w:bottom w:val="single" w:sz="4" w:space="0" w:color="auto"/>
              <w:right w:val="nil"/>
            </w:tcBorders>
          </w:tcPr>
          <w:p w14:paraId="23794DF0" w14:textId="51CE5501" w:rsidR="00D90D30" w:rsidRDefault="00CA5B2B" w:rsidP="00EA7005">
            <w:pPr>
              <w:pStyle w:val="APVMATableText"/>
            </w:pPr>
            <w:r>
              <w:t>Add</w:t>
            </w:r>
            <w:r w:rsidR="00D90D30">
              <w:t>:</w:t>
            </w:r>
          </w:p>
        </w:tc>
      </w:tr>
      <w:tr w:rsidR="00D90D30" w14:paraId="4A971EE0" w14:textId="77777777" w:rsidTr="00DD03C2">
        <w:tc>
          <w:tcPr>
            <w:tcW w:w="1613" w:type="pct"/>
            <w:tcBorders>
              <w:top w:val="single" w:sz="4" w:space="0" w:color="auto"/>
              <w:left w:val="nil"/>
              <w:bottom w:val="single" w:sz="4" w:space="0" w:color="auto"/>
              <w:right w:val="nil"/>
            </w:tcBorders>
          </w:tcPr>
          <w:p w14:paraId="13A19A57" w14:textId="724506DA" w:rsidR="00D90D30" w:rsidRDefault="00F9202B" w:rsidP="00EA7005">
            <w:pPr>
              <w:pStyle w:val="APVMATableText"/>
            </w:pPr>
            <w:r>
              <w:t>Fenpropidin</w:t>
            </w:r>
          </w:p>
        </w:tc>
        <w:tc>
          <w:tcPr>
            <w:tcW w:w="2392" w:type="pct"/>
            <w:tcBorders>
              <w:top w:val="single" w:sz="4" w:space="0" w:color="auto"/>
              <w:left w:val="nil"/>
              <w:bottom w:val="single" w:sz="4" w:space="0" w:color="auto"/>
              <w:right w:val="nil"/>
            </w:tcBorders>
          </w:tcPr>
          <w:p w14:paraId="39AAC975" w14:textId="77777777" w:rsidR="00D90D30" w:rsidRDefault="00D90D30" w:rsidP="00EA7005">
            <w:pPr>
              <w:pStyle w:val="APVMATableText"/>
            </w:pPr>
          </w:p>
        </w:tc>
        <w:tc>
          <w:tcPr>
            <w:tcW w:w="995" w:type="pct"/>
            <w:gridSpan w:val="2"/>
            <w:tcBorders>
              <w:top w:val="single" w:sz="4" w:space="0" w:color="auto"/>
              <w:left w:val="nil"/>
              <w:bottom w:val="single" w:sz="4" w:space="0" w:color="auto"/>
              <w:right w:val="nil"/>
            </w:tcBorders>
          </w:tcPr>
          <w:p w14:paraId="67FF5CC7" w14:textId="77777777" w:rsidR="00D90D30" w:rsidRDefault="00D90D30" w:rsidP="00DD03C2">
            <w:pPr>
              <w:pStyle w:val="APVMATableText"/>
              <w:jc w:val="right"/>
            </w:pPr>
          </w:p>
        </w:tc>
      </w:tr>
      <w:tr w:rsidR="00D90D30" w14:paraId="6A3067AA" w14:textId="77777777" w:rsidTr="00DD03C2">
        <w:tc>
          <w:tcPr>
            <w:tcW w:w="1613" w:type="pct"/>
            <w:tcBorders>
              <w:top w:val="single" w:sz="4" w:space="0" w:color="auto"/>
              <w:left w:val="nil"/>
              <w:bottom w:val="single" w:sz="4" w:space="0" w:color="auto"/>
              <w:right w:val="nil"/>
            </w:tcBorders>
          </w:tcPr>
          <w:p w14:paraId="22885663" w14:textId="022C6CA0" w:rsidR="00D90D30" w:rsidRDefault="00F9202B" w:rsidP="00CA5B2B">
            <w:pPr>
              <w:pStyle w:val="APVMATableText"/>
            </w:pPr>
            <w:r>
              <w:t>MO</w:t>
            </w:r>
            <w:r w:rsidR="00D90D30">
              <w:tab/>
            </w:r>
            <w:r w:rsidR="00CA5B2B">
              <w:t>0</w:t>
            </w:r>
            <w:r>
              <w:t>105</w:t>
            </w:r>
          </w:p>
        </w:tc>
        <w:tc>
          <w:tcPr>
            <w:tcW w:w="2392" w:type="pct"/>
            <w:tcBorders>
              <w:top w:val="single" w:sz="4" w:space="0" w:color="auto"/>
              <w:left w:val="nil"/>
              <w:bottom w:val="single" w:sz="4" w:space="0" w:color="auto"/>
              <w:right w:val="nil"/>
            </w:tcBorders>
          </w:tcPr>
          <w:p w14:paraId="6366D3BA" w14:textId="2C8D78FC" w:rsidR="00D90D30" w:rsidRDefault="00F9202B" w:rsidP="00EA7005">
            <w:pPr>
              <w:pStyle w:val="APVMATableText"/>
            </w:pPr>
            <w:r>
              <w:t>Edible offal (mammalian)</w:t>
            </w:r>
          </w:p>
        </w:tc>
        <w:tc>
          <w:tcPr>
            <w:tcW w:w="995" w:type="pct"/>
            <w:gridSpan w:val="2"/>
            <w:tcBorders>
              <w:top w:val="single" w:sz="4" w:space="0" w:color="auto"/>
              <w:left w:val="nil"/>
              <w:bottom w:val="single" w:sz="4" w:space="0" w:color="auto"/>
              <w:right w:val="nil"/>
            </w:tcBorders>
          </w:tcPr>
          <w:p w14:paraId="7AD57683" w14:textId="46ACA2D7" w:rsidR="00D90D30" w:rsidRDefault="00F9202B" w:rsidP="00DD03C2">
            <w:pPr>
              <w:pStyle w:val="APVMATableText"/>
              <w:jc w:val="right"/>
            </w:pPr>
            <w:r>
              <w:t>*0.02</w:t>
            </w:r>
          </w:p>
        </w:tc>
      </w:tr>
      <w:tr w:rsidR="00D90D30" w14:paraId="6934BBD0" w14:textId="77777777" w:rsidTr="00DD03C2">
        <w:tc>
          <w:tcPr>
            <w:tcW w:w="1613" w:type="pct"/>
            <w:tcBorders>
              <w:top w:val="single" w:sz="4" w:space="0" w:color="auto"/>
              <w:left w:val="nil"/>
              <w:bottom w:val="single" w:sz="4" w:space="0" w:color="auto"/>
              <w:right w:val="nil"/>
            </w:tcBorders>
          </w:tcPr>
          <w:p w14:paraId="5E05CA22" w14:textId="0BD6D1FC" w:rsidR="00D90D30" w:rsidRDefault="00F9202B" w:rsidP="00CA5B2B">
            <w:pPr>
              <w:pStyle w:val="APVMATableText"/>
            </w:pPr>
            <w:r>
              <w:t>PE</w:t>
            </w:r>
            <w:r w:rsidR="00D90D30">
              <w:tab/>
            </w:r>
            <w:r w:rsidR="00CA5B2B">
              <w:t>0</w:t>
            </w:r>
            <w:r>
              <w:t>112</w:t>
            </w:r>
          </w:p>
        </w:tc>
        <w:tc>
          <w:tcPr>
            <w:tcW w:w="2392" w:type="pct"/>
            <w:tcBorders>
              <w:top w:val="single" w:sz="4" w:space="0" w:color="auto"/>
              <w:left w:val="nil"/>
              <w:bottom w:val="single" w:sz="4" w:space="0" w:color="auto"/>
              <w:right w:val="nil"/>
            </w:tcBorders>
          </w:tcPr>
          <w:p w14:paraId="1F287157" w14:textId="25F3639F" w:rsidR="00D90D30" w:rsidRDefault="00F9202B" w:rsidP="00EA7005">
            <w:pPr>
              <w:pStyle w:val="APVMATableText"/>
            </w:pPr>
            <w:r>
              <w:t>Eggs</w:t>
            </w:r>
          </w:p>
        </w:tc>
        <w:tc>
          <w:tcPr>
            <w:tcW w:w="995" w:type="pct"/>
            <w:gridSpan w:val="2"/>
            <w:tcBorders>
              <w:top w:val="single" w:sz="4" w:space="0" w:color="auto"/>
              <w:left w:val="nil"/>
              <w:bottom w:val="single" w:sz="4" w:space="0" w:color="auto"/>
              <w:right w:val="nil"/>
            </w:tcBorders>
          </w:tcPr>
          <w:p w14:paraId="6D90DB2A" w14:textId="7A75757D" w:rsidR="00D90D30" w:rsidRDefault="00F9202B" w:rsidP="00DD03C2">
            <w:pPr>
              <w:pStyle w:val="APVMATableText"/>
              <w:jc w:val="right"/>
            </w:pPr>
            <w:r>
              <w:t>*0.02</w:t>
            </w:r>
          </w:p>
        </w:tc>
      </w:tr>
      <w:tr w:rsidR="00F9202B" w14:paraId="73E7C960" w14:textId="77777777" w:rsidTr="00DD03C2">
        <w:tc>
          <w:tcPr>
            <w:tcW w:w="1613" w:type="pct"/>
            <w:tcBorders>
              <w:top w:val="single" w:sz="4" w:space="0" w:color="auto"/>
              <w:left w:val="nil"/>
              <w:bottom w:val="single" w:sz="4" w:space="0" w:color="auto"/>
              <w:right w:val="nil"/>
            </w:tcBorders>
          </w:tcPr>
          <w:p w14:paraId="6E58F27F" w14:textId="1E93D9C9" w:rsidR="00F9202B" w:rsidRDefault="00F9202B" w:rsidP="00CA5B2B">
            <w:pPr>
              <w:pStyle w:val="APVMATableText"/>
            </w:pPr>
            <w:r>
              <w:t>MM</w:t>
            </w:r>
            <w:r w:rsidRPr="00F9202B">
              <w:tab/>
            </w:r>
            <w:r>
              <w:t>0095</w:t>
            </w:r>
          </w:p>
        </w:tc>
        <w:tc>
          <w:tcPr>
            <w:tcW w:w="2392" w:type="pct"/>
            <w:tcBorders>
              <w:top w:val="single" w:sz="4" w:space="0" w:color="auto"/>
              <w:left w:val="nil"/>
              <w:bottom w:val="single" w:sz="4" w:space="0" w:color="auto"/>
              <w:right w:val="nil"/>
            </w:tcBorders>
          </w:tcPr>
          <w:p w14:paraId="655BF70F" w14:textId="2C9AC599" w:rsidR="00F9202B" w:rsidRDefault="00F9202B" w:rsidP="00EA7005">
            <w:pPr>
              <w:pStyle w:val="APVMATableText"/>
            </w:pPr>
            <w:r>
              <w:t>Meat (mammalian)</w:t>
            </w:r>
          </w:p>
        </w:tc>
        <w:tc>
          <w:tcPr>
            <w:tcW w:w="995" w:type="pct"/>
            <w:gridSpan w:val="2"/>
            <w:tcBorders>
              <w:top w:val="single" w:sz="4" w:space="0" w:color="auto"/>
              <w:left w:val="nil"/>
              <w:bottom w:val="single" w:sz="4" w:space="0" w:color="auto"/>
              <w:right w:val="nil"/>
            </w:tcBorders>
          </w:tcPr>
          <w:p w14:paraId="1421E8AC" w14:textId="0D5F678B" w:rsidR="00F9202B" w:rsidRDefault="00F9202B" w:rsidP="00DD03C2">
            <w:pPr>
              <w:pStyle w:val="APVMATableText"/>
              <w:jc w:val="right"/>
            </w:pPr>
            <w:r>
              <w:t>*0.02</w:t>
            </w:r>
          </w:p>
        </w:tc>
      </w:tr>
      <w:tr w:rsidR="00F9202B" w14:paraId="5C472518" w14:textId="77777777" w:rsidTr="00DD03C2">
        <w:tc>
          <w:tcPr>
            <w:tcW w:w="1613" w:type="pct"/>
            <w:tcBorders>
              <w:top w:val="single" w:sz="4" w:space="0" w:color="auto"/>
              <w:left w:val="nil"/>
              <w:bottom w:val="single" w:sz="4" w:space="0" w:color="auto"/>
              <w:right w:val="nil"/>
            </w:tcBorders>
          </w:tcPr>
          <w:p w14:paraId="07641ACD" w14:textId="1B5E7452" w:rsidR="00F9202B" w:rsidRDefault="00F9202B" w:rsidP="00CA5B2B">
            <w:pPr>
              <w:pStyle w:val="APVMATableText"/>
            </w:pPr>
            <w:r>
              <w:t>ML</w:t>
            </w:r>
            <w:r w:rsidRPr="00F9202B">
              <w:tab/>
            </w:r>
            <w:r>
              <w:t>0106</w:t>
            </w:r>
          </w:p>
        </w:tc>
        <w:tc>
          <w:tcPr>
            <w:tcW w:w="2392" w:type="pct"/>
            <w:tcBorders>
              <w:top w:val="single" w:sz="4" w:space="0" w:color="auto"/>
              <w:left w:val="nil"/>
              <w:bottom w:val="single" w:sz="4" w:space="0" w:color="auto"/>
              <w:right w:val="nil"/>
            </w:tcBorders>
          </w:tcPr>
          <w:p w14:paraId="2664CF44" w14:textId="6EB4BFCA" w:rsidR="00F9202B" w:rsidRDefault="00F9202B" w:rsidP="00EA7005">
            <w:pPr>
              <w:pStyle w:val="APVMATableText"/>
            </w:pPr>
            <w:r>
              <w:t>Milks</w:t>
            </w:r>
          </w:p>
        </w:tc>
        <w:tc>
          <w:tcPr>
            <w:tcW w:w="995" w:type="pct"/>
            <w:gridSpan w:val="2"/>
            <w:tcBorders>
              <w:top w:val="single" w:sz="4" w:space="0" w:color="auto"/>
              <w:left w:val="nil"/>
              <w:bottom w:val="single" w:sz="4" w:space="0" w:color="auto"/>
              <w:right w:val="nil"/>
            </w:tcBorders>
          </w:tcPr>
          <w:p w14:paraId="04701E4D" w14:textId="762E71FD" w:rsidR="00F9202B" w:rsidRDefault="00F9202B" w:rsidP="00DD03C2">
            <w:pPr>
              <w:pStyle w:val="APVMATableText"/>
              <w:jc w:val="right"/>
            </w:pPr>
            <w:r>
              <w:t>*0.01</w:t>
            </w:r>
          </w:p>
        </w:tc>
      </w:tr>
      <w:tr w:rsidR="00F9202B" w14:paraId="784EFEDD" w14:textId="77777777" w:rsidTr="00DD03C2">
        <w:tc>
          <w:tcPr>
            <w:tcW w:w="1613" w:type="pct"/>
            <w:tcBorders>
              <w:top w:val="single" w:sz="4" w:space="0" w:color="auto"/>
              <w:left w:val="nil"/>
              <w:bottom w:val="single" w:sz="4" w:space="0" w:color="auto"/>
              <w:right w:val="nil"/>
            </w:tcBorders>
          </w:tcPr>
          <w:p w14:paraId="0BE78F88" w14:textId="6DBDD319" w:rsidR="00F9202B" w:rsidRDefault="00F9202B" w:rsidP="00CA5B2B">
            <w:pPr>
              <w:pStyle w:val="APVMATableText"/>
            </w:pPr>
            <w:r>
              <w:lastRenderedPageBreak/>
              <w:t>PM</w:t>
            </w:r>
            <w:r w:rsidRPr="00F9202B">
              <w:tab/>
            </w:r>
            <w:r>
              <w:t>0110</w:t>
            </w:r>
          </w:p>
        </w:tc>
        <w:tc>
          <w:tcPr>
            <w:tcW w:w="2392" w:type="pct"/>
            <w:tcBorders>
              <w:top w:val="single" w:sz="4" w:space="0" w:color="auto"/>
              <w:left w:val="nil"/>
              <w:bottom w:val="single" w:sz="4" w:space="0" w:color="auto"/>
              <w:right w:val="nil"/>
            </w:tcBorders>
          </w:tcPr>
          <w:p w14:paraId="4D7A0C4D" w14:textId="6DAFB410" w:rsidR="00F9202B" w:rsidRDefault="00F9202B" w:rsidP="00EA7005">
            <w:pPr>
              <w:pStyle w:val="APVMATableText"/>
            </w:pPr>
            <w:r>
              <w:t>Poultry meat</w:t>
            </w:r>
          </w:p>
        </w:tc>
        <w:tc>
          <w:tcPr>
            <w:tcW w:w="995" w:type="pct"/>
            <w:gridSpan w:val="2"/>
            <w:tcBorders>
              <w:top w:val="single" w:sz="4" w:space="0" w:color="auto"/>
              <w:left w:val="nil"/>
              <w:bottom w:val="single" w:sz="4" w:space="0" w:color="auto"/>
              <w:right w:val="nil"/>
            </w:tcBorders>
          </w:tcPr>
          <w:p w14:paraId="5E36D324" w14:textId="51F9D85A" w:rsidR="00F9202B" w:rsidRDefault="00F9202B" w:rsidP="00DD03C2">
            <w:pPr>
              <w:pStyle w:val="APVMATableText"/>
              <w:jc w:val="right"/>
            </w:pPr>
            <w:r>
              <w:t>*0.02</w:t>
            </w:r>
          </w:p>
        </w:tc>
      </w:tr>
      <w:tr w:rsidR="00F9202B" w14:paraId="15A6C0FC" w14:textId="77777777" w:rsidTr="00DD03C2">
        <w:tc>
          <w:tcPr>
            <w:tcW w:w="1613" w:type="pct"/>
            <w:tcBorders>
              <w:top w:val="single" w:sz="4" w:space="0" w:color="auto"/>
              <w:left w:val="nil"/>
              <w:bottom w:val="single" w:sz="4" w:space="0" w:color="auto"/>
              <w:right w:val="nil"/>
            </w:tcBorders>
          </w:tcPr>
          <w:p w14:paraId="5F9E2051" w14:textId="34279F6D" w:rsidR="00F9202B" w:rsidRDefault="00F9202B" w:rsidP="00CA5B2B">
            <w:pPr>
              <w:pStyle w:val="APVMATableText"/>
            </w:pPr>
            <w:r>
              <w:t>PO</w:t>
            </w:r>
            <w:r w:rsidRPr="00F9202B">
              <w:tab/>
            </w:r>
            <w:r>
              <w:t>0111</w:t>
            </w:r>
          </w:p>
        </w:tc>
        <w:tc>
          <w:tcPr>
            <w:tcW w:w="2392" w:type="pct"/>
            <w:tcBorders>
              <w:top w:val="single" w:sz="4" w:space="0" w:color="auto"/>
              <w:left w:val="nil"/>
              <w:bottom w:val="single" w:sz="4" w:space="0" w:color="auto"/>
              <w:right w:val="nil"/>
            </w:tcBorders>
          </w:tcPr>
          <w:p w14:paraId="504ABB9C" w14:textId="1010DEBC" w:rsidR="00F9202B" w:rsidRDefault="00F9202B" w:rsidP="00EA7005">
            <w:pPr>
              <w:pStyle w:val="APVMATableText"/>
            </w:pPr>
            <w:r>
              <w:t>Poultry, edible offal of</w:t>
            </w:r>
          </w:p>
        </w:tc>
        <w:tc>
          <w:tcPr>
            <w:tcW w:w="995" w:type="pct"/>
            <w:gridSpan w:val="2"/>
            <w:tcBorders>
              <w:top w:val="single" w:sz="4" w:space="0" w:color="auto"/>
              <w:left w:val="nil"/>
              <w:bottom w:val="single" w:sz="4" w:space="0" w:color="auto"/>
              <w:right w:val="nil"/>
            </w:tcBorders>
          </w:tcPr>
          <w:p w14:paraId="5E0C36FF" w14:textId="6BE16DD9" w:rsidR="00F9202B" w:rsidRDefault="00F9202B" w:rsidP="00DD03C2">
            <w:pPr>
              <w:pStyle w:val="APVMATableText"/>
              <w:jc w:val="right"/>
            </w:pPr>
            <w:r>
              <w:t>*0.02</w:t>
            </w:r>
          </w:p>
        </w:tc>
      </w:tr>
      <w:tr w:rsidR="00D90D30" w14:paraId="51C0AD85" w14:textId="77777777" w:rsidTr="00DD03C2">
        <w:tc>
          <w:tcPr>
            <w:tcW w:w="1613" w:type="pct"/>
            <w:tcBorders>
              <w:top w:val="single" w:sz="4" w:space="0" w:color="auto"/>
              <w:left w:val="nil"/>
              <w:bottom w:val="single" w:sz="4" w:space="0" w:color="auto"/>
              <w:right w:val="nil"/>
            </w:tcBorders>
          </w:tcPr>
          <w:p w14:paraId="27160796" w14:textId="35ECE0F9" w:rsidR="00D90D30" w:rsidRDefault="00F9202B" w:rsidP="00CA5B2B">
            <w:pPr>
              <w:pStyle w:val="APVMATableText"/>
            </w:pPr>
            <w:r>
              <w:t>FB</w:t>
            </w:r>
            <w:r w:rsidR="00D90D30">
              <w:tab/>
            </w:r>
            <w:r>
              <w:t>1236</w:t>
            </w:r>
          </w:p>
        </w:tc>
        <w:tc>
          <w:tcPr>
            <w:tcW w:w="2392" w:type="pct"/>
            <w:tcBorders>
              <w:top w:val="single" w:sz="4" w:space="0" w:color="auto"/>
              <w:left w:val="nil"/>
              <w:bottom w:val="single" w:sz="4" w:space="0" w:color="auto"/>
              <w:right w:val="nil"/>
            </w:tcBorders>
          </w:tcPr>
          <w:p w14:paraId="132DC3FC" w14:textId="0E96EDA3" w:rsidR="00D90D30" w:rsidRDefault="00F9202B" w:rsidP="00EA7005">
            <w:pPr>
              <w:pStyle w:val="APVMATableText"/>
            </w:pPr>
            <w:r>
              <w:t>Wine-grapes</w:t>
            </w:r>
          </w:p>
        </w:tc>
        <w:tc>
          <w:tcPr>
            <w:tcW w:w="995" w:type="pct"/>
            <w:gridSpan w:val="2"/>
            <w:tcBorders>
              <w:top w:val="single" w:sz="4" w:space="0" w:color="auto"/>
              <w:left w:val="nil"/>
              <w:bottom w:val="single" w:sz="4" w:space="0" w:color="auto"/>
              <w:right w:val="nil"/>
            </w:tcBorders>
          </w:tcPr>
          <w:p w14:paraId="5DC460C1" w14:textId="30AEB806" w:rsidR="00D90D30" w:rsidRDefault="00CA5B2B" w:rsidP="00DD03C2">
            <w:pPr>
              <w:pStyle w:val="APVMATableText"/>
              <w:jc w:val="right"/>
            </w:pPr>
            <w:r>
              <w:t>0.0</w:t>
            </w:r>
            <w:r w:rsidR="00F9202B">
              <w:t>3</w:t>
            </w:r>
          </w:p>
        </w:tc>
      </w:tr>
      <w:tr w:rsidR="00D90D30" w14:paraId="576FC468" w14:textId="77777777" w:rsidTr="00F9202B">
        <w:trPr>
          <w:gridAfter w:val="1"/>
          <w:wAfter w:w="23" w:type="pct"/>
          <w:tblHeader/>
        </w:trPr>
        <w:tc>
          <w:tcPr>
            <w:tcW w:w="4977" w:type="pct"/>
            <w:gridSpan w:val="3"/>
            <w:tcBorders>
              <w:top w:val="single" w:sz="4" w:space="0" w:color="auto"/>
              <w:left w:val="nil"/>
              <w:bottom w:val="single" w:sz="4" w:space="0" w:color="auto"/>
              <w:right w:val="nil"/>
            </w:tcBorders>
            <w:shd w:val="clear" w:color="auto" w:fill="00747A" w:themeFill="background2"/>
          </w:tcPr>
          <w:p w14:paraId="67CDA640" w14:textId="77777777" w:rsidR="00D90D30" w:rsidRDefault="00D90D30" w:rsidP="00D90D30">
            <w:pPr>
              <w:pStyle w:val="APVMATableHead"/>
            </w:pPr>
            <w:r>
              <w:t>Amendments to Table 3</w:t>
            </w:r>
          </w:p>
        </w:tc>
      </w:tr>
      <w:tr w:rsidR="00D90D30" w14:paraId="56C52D72" w14:textId="77777777" w:rsidTr="00DD03C2">
        <w:trPr>
          <w:gridAfter w:val="1"/>
          <w:wAfter w:w="23" w:type="pct"/>
          <w:tblHeader/>
        </w:trPr>
        <w:tc>
          <w:tcPr>
            <w:tcW w:w="1613" w:type="pct"/>
            <w:tcBorders>
              <w:top w:val="single" w:sz="4" w:space="0" w:color="auto"/>
              <w:left w:val="nil"/>
              <w:bottom w:val="single" w:sz="4" w:space="0" w:color="auto"/>
              <w:right w:val="nil"/>
            </w:tcBorders>
            <w:shd w:val="clear" w:color="auto" w:fill="00747A" w:themeFill="background2"/>
          </w:tcPr>
          <w:p w14:paraId="75CEBDD8" w14:textId="77777777" w:rsidR="00D90D30" w:rsidRDefault="00D90D30" w:rsidP="00323CDE">
            <w:pPr>
              <w:pStyle w:val="APVMATableHead"/>
            </w:pPr>
            <w:r>
              <w:t>Compound</w:t>
            </w:r>
          </w:p>
        </w:tc>
        <w:tc>
          <w:tcPr>
            <w:tcW w:w="3364" w:type="pct"/>
            <w:gridSpan w:val="2"/>
            <w:tcBorders>
              <w:top w:val="single" w:sz="4" w:space="0" w:color="auto"/>
              <w:left w:val="nil"/>
              <w:bottom w:val="single" w:sz="4" w:space="0" w:color="auto"/>
              <w:right w:val="nil"/>
            </w:tcBorders>
            <w:shd w:val="clear" w:color="auto" w:fill="00747A" w:themeFill="background2"/>
          </w:tcPr>
          <w:p w14:paraId="1755EF2C" w14:textId="77777777" w:rsidR="00D90D30" w:rsidRDefault="00D90D30" w:rsidP="00323CDE">
            <w:pPr>
              <w:pStyle w:val="APVMATableHead"/>
            </w:pPr>
            <w:r>
              <w:t>Residue</w:t>
            </w:r>
          </w:p>
        </w:tc>
      </w:tr>
      <w:tr w:rsidR="00D90D30" w14:paraId="2D234FA8" w14:textId="77777777" w:rsidTr="00DD03C2">
        <w:trPr>
          <w:gridAfter w:val="1"/>
          <w:wAfter w:w="23" w:type="pct"/>
        </w:trPr>
        <w:tc>
          <w:tcPr>
            <w:tcW w:w="4977" w:type="pct"/>
            <w:gridSpan w:val="3"/>
            <w:tcBorders>
              <w:top w:val="single" w:sz="4" w:space="0" w:color="auto"/>
              <w:left w:val="nil"/>
              <w:bottom w:val="single" w:sz="4" w:space="0" w:color="auto"/>
              <w:right w:val="nil"/>
            </w:tcBorders>
          </w:tcPr>
          <w:p w14:paraId="656D4CAC" w14:textId="69529E1C" w:rsidR="00D90D30" w:rsidRPr="00EA7005" w:rsidRDefault="00CA5B2B" w:rsidP="00EA7005">
            <w:pPr>
              <w:pStyle w:val="APVMATableText"/>
            </w:pPr>
            <w:r>
              <w:t>Add</w:t>
            </w:r>
            <w:r w:rsidR="00D90D30" w:rsidRPr="00EA7005">
              <w:t>:</w:t>
            </w:r>
          </w:p>
        </w:tc>
      </w:tr>
      <w:tr w:rsidR="00D90D30" w14:paraId="2E501589" w14:textId="77777777" w:rsidTr="00DD03C2">
        <w:trPr>
          <w:gridAfter w:val="1"/>
          <w:wAfter w:w="23" w:type="pct"/>
        </w:trPr>
        <w:tc>
          <w:tcPr>
            <w:tcW w:w="1613" w:type="pct"/>
            <w:tcBorders>
              <w:top w:val="single" w:sz="4" w:space="0" w:color="auto"/>
              <w:left w:val="nil"/>
              <w:bottom w:val="single" w:sz="4" w:space="0" w:color="auto"/>
              <w:right w:val="nil"/>
            </w:tcBorders>
          </w:tcPr>
          <w:p w14:paraId="3EB3AC75" w14:textId="78A30EB3" w:rsidR="00D90D30" w:rsidRPr="00EA7005" w:rsidRDefault="00F9202B" w:rsidP="00EA7005">
            <w:pPr>
              <w:pStyle w:val="APVMATableText"/>
            </w:pPr>
            <w:r>
              <w:t>Fenpropidin</w:t>
            </w:r>
          </w:p>
        </w:tc>
        <w:tc>
          <w:tcPr>
            <w:tcW w:w="3364" w:type="pct"/>
            <w:gridSpan w:val="2"/>
            <w:tcBorders>
              <w:top w:val="single" w:sz="4" w:space="0" w:color="auto"/>
              <w:left w:val="nil"/>
              <w:bottom w:val="single" w:sz="4" w:space="0" w:color="auto"/>
              <w:right w:val="nil"/>
            </w:tcBorders>
          </w:tcPr>
          <w:p w14:paraId="12E11E2F" w14:textId="77777777" w:rsidR="00F9202B" w:rsidRPr="00F9202B" w:rsidRDefault="00F9202B" w:rsidP="00F9202B">
            <w:pPr>
              <w:pStyle w:val="APVMATableText"/>
            </w:pPr>
            <w:r w:rsidRPr="00F9202B">
              <w:t>Commodities of plant origin: Fenpropidin</w:t>
            </w:r>
          </w:p>
          <w:p w14:paraId="614FB45C" w14:textId="77777777" w:rsidR="00F9202B" w:rsidRPr="00F9202B" w:rsidRDefault="00F9202B" w:rsidP="00F9202B">
            <w:pPr>
              <w:pStyle w:val="APVMATableText"/>
            </w:pPr>
            <w:r w:rsidRPr="00F9202B">
              <w:t>Commodities of animal origin for enforcement: Sum of fenpropidin and 2-methyl-2- [4-(2-methyl-3- piperidin-1-ylpropyl)-phenyl]-propanoic acid (CGA 289267), expressed as fenpropidin</w:t>
            </w:r>
          </w:p>
          <w:p w14:paraId="0DEBE8D6" w14:textId="49C70B9B" w:rsidR="00D90D30" w:rsidRPr="00EA7005" w:rsidRDefault="00F9202B" w:rsidP="00F9202B">
            <w:pPr>
              <w:pStyle w:val="APVMATableText"/>
            </w:pPr>
            <w:bookmarkStart w:id="165" w:name="_Hlk129177916"/>
            <w:r w:rsidRPr="00F9202B">
              <w:t>Commodities of animal origin for dietary risk assessment: Sum of fenpropidin, 2-methyl-2- [4-(2-methyl-3- piperidin-1-ylpropyl)-phenyl]-propanoic acid (CGA 289267), 3-Hydroxy-2-methyl-2-[4-(2-methyl-3-piperidin-1-ylpropyl)-phenyl]-propionic acid (SYN 515213), 2-methyl-2- [4-(2-methyl-3- piperidin-1-ylpropyl)-phenyl]-propan-1-ol (CGA 289268) and their conjugates, expressed as fenpropidin</w:t>
            </w:r>
            <w:bookmarkEnd w:id="165"/>
          </w:p>
        </w:tc>
      </w:tr>
      <w:tr w:rsidR="00D90D30" w14:paraId="11C12FB6" w14:textId="77777777" w:rsidTr="0051454B">
        <w:trPr>
          <w:tblHeader/>
        </w:trPr>
        <w:tc>
          <w:tcPr>
            <w:tcW w:w="5000" w:type="pct"/>
            <w:gridSpan w:val="4"/>
            <w:tcBorders>
              <w:top w:val="nil"/>
              <w:left w:val="nil"/>
              <w:bottom w:val="single" w:sz="4" w:space="0" w:color="auto"/>
              <w:right w:val="nil"/>
            </w:tcBorders>
            <w:shd w:val="clear" w:color="auto" w:fill="00747A" w:themeFill="background2"/>
          </w:tcPr>
          <w:p w14:paraId="515700A9" w14:textId="77777777" w:rsidR="00D90D30" w:rsidRDefault="00D90D30" w:rsidP="00D90D30">
            <w:pPr>
              <w:pStyle w:val="APVMATableHead"/>
            </w:pPr>
            <w:r>
              <w:t>Amendments to Table 4</w:t>
            </w:r>
          </w:p>
        </w:tc>
      </w:tr>
      <w:tr w:rsidR="00D90D30" w14:paraId="187923DD" w14:textId="77777777" w:rsidTr="00DD03C2">
        <w:trPr>
          <w:tblHeader/>
        </w:trPr>
        <w:tc>
          <w:tcPr>
            <w:tcW w:w="1613" w:type="pct"/>
            <w:tcBorders>
              <w:top w:val="nil"/>
              <w:left w:val="nil"/>
              <w:bottom w:val="single" w:sz="4" w:space="0" w:color="auto"/>
              <w:right w:val="nil"/>
            </w:tcBorders>
            <w:shd w:val="clear" w:color="auto" w:fill="00747A" w:themeFill="background2"/>
          </w:tcPr>
          <w:p w14:paraId="3B500434" w14:textId="77777777" w:rsidR="00D90D30" w:rsidRDefault="00D90D30" w:rsidP="00323CDE">
            <w:pPr>
              <w:pStyle w:val="APVMATableHead"/>
            </w:pPr>
            <w:r>
              <w:t>Compound</w:t>
            </w:r>
          </w:p>
        </w:tc>
        <w:tc>
          <w:tcPr>
            <w:tcW w:w="2392" w:type="pct"/>
            <w:tcBorders>
              <w:top w:val="nil"/>
              <w:left w:val="nil"/>
              <w:bottom w:val="single" w:sz="4" w:space="0" w:color="auto"/>
              <w:right w:val="nil"/>
            </w:tcBorders>
            <w:shd w:val="clear" w:color="auto" w:fill="00747A" w:themeFill="background2"/>
          </w:tcPr>
          <w:p w14:paraId="07BE0361" w14:textId="77777777" w:rsidR="00D90D30" w:rsidRDefault="00D90D30" w:rsidP="00323CDE">
            <w:pPr>
              <w:pStyle w:val="APVMATableHead"/>
            </w:pPr>
            <w:r>
              <w:t>Animal feed commodity</w:t>
            </w:r>
          </w:p>
        </w:tc>
        <w:tc>
          <w:tcPr>
            <w:tcW w:w="995" w:type="pct"/>
            <w:gridSpan w:val="2"/>
            <w:tcBorders>
              <w:top w:val="nil"/>
              <w:left w:val="nil"/>
              <w:bottom w:val="single" w:sz="4" w:space="0" w:color="auto"/>
              <w:right w:val="nil"/>
            </w:tcBorders>
            <w:shd w:val="clear" w:color="auto" w:fill="00747A" w:themeFill="background2"/>
          </w:tcPr>
          <w:p w14:paraId="1F945477" w14:textId="77777777" w:rsidR="00D90D30" w:rsidRDefault="00D90D30" w:rsidP="00DD03C2">
            <w:pPr>
              <w:pStyle w:val="APVMATableHead"/>
              <w:jc w:val="right"/>
            </w:pPr>
            <w:r>
              <w:t>MRL (mg/kg)</w:t>
            </w:r>
          </w:p>
        </w:tc>
      </w:tr>
      <w:tr w:rsidR="00D90D30" w14:paraId="0A49F835" w14:textId="77777777" w:rsidTr="00DD03C2">
        <w:tc>
          <w:tcPr>
            <w:tcW w:w="5000" w:type="pct"/>
            <w:gridSpan w:val="4"/>
            <w:tcBorders>
              <w:top w:val="single" w:sz="4" w:space="0" w:color="auto"/>
              <w:left w:val="nil"/>
              <w:bottom w:val="single" w:sz="4" w:space="0" w:color="auto"/>
              <w:right w:val="nil"/>
            </w:tcBorders>
          </w:tcPr>
          <w:p w14:paraId="7A618576" w14:textId="51A6B6F6" w:rsidR="00D90D30" w:rsidRPr="00EA7005" w:rsidRDefault="00CA5B2B" w:rsidP="00EA7005">
            <w:pPr>
              <w:pStyle w:val="APVMATableText"/>
            </w:pPr>
            <w:r>
              <w:t>Add</w:t>
            </w:r>
            <w:r w:rsidR="00D90D30" w:rsidRPr="00EA7005">
              <w:t>:</w:t>
            </w:r>
          </w:p>
        </w:tc>
      </w:tr>
      <w:tr w:rsidR="00D90D30" w14:paraId="56A5E60E" w14:textId="77777777" w:rsidTr="00DD03C2">
        <w:tc>
          <w:tcPr>
            <w:tcW w:w="1613" w:type="pct"/>
            <w:tcBorders>
              <w:top w:val="single" w:sz="4" w:space="0" w:color="auto"/>
              <w:left w:val="nil"/>
              <w:bottom w:val="single" w:sz="4" w:space="0" w:color="auto"/>
              <w:right w:val="nil"/>
            </w:tcBorders>
          </w:tcPr>
          <w:p w14:paraId="52C3B1F0" w14:textId="04C38A96" w:rsidR="00D90D30" w:rsidRPr="00EA7005" w:rsidRDefault="00F9202B" w:rsidP="00EA7005">
            <w:pPr>
              <w:pStyle w:val="APVMATableText"/>
            </w:pPr>
            <w:r>
              <w:t>Fenpropidin</w:t>
            </w:r>
          </w:p>
        </w:tc>
        <w:tc>
          <w:tcPr>
            <w:tcW w:w="2392" w:type="pct"/>
            <w:tcBorders>
              <w:top w:val="single" w:sz="4" w:space="0" w:color="auto"/>
              <w:left w:val="nil"/>
              <w:bottom w:val="single" w:sz="4" w:space="0" w:color="auto"/>
              <w:right w:val="nil"/>
            </w:tcBorders>
          </w:tcPr>
          <w:p w14:paraId="388E363B" w14:textId="77777777" w:rsidR="00D90D30" w:rsidRPr="00EA7005" w:rsidRDefault="00D90D30" w:rsidP="00EA7005">
            <w:pPr>
              <w:pStyle w:val="APVMATableText"/>
            </w:pPr>
          </w:p>
        </w:tc>
        <w:tc>
          <w:tcPr>
            <w:tcW w:w="995" w:type="pct"/>
            <w:gridSpan w:val="2"/>
            <w:tcBorders>
              <w:top w:val="single" w:sz="4" w:space="0" w:color="auto"/>
              <w:left w:val="nil"/>
              <w:bottom w:val="single" w:sz="4" w:space="0" w:color="auto"/>
              <w:right w:val="nil"/>
            </w:tcBorders>
          </w:tcPr>
          <w:p w14:paraId="42C33A71" w14:textId="77777777" w:rsidR="00D90D30" w:rsidRPr="00EA7005" w:rsidRDefault="00D90D30" w:rsidP="00DD03C2">
            <w:pPr>
              <w:pStyle w:val="APVMATableText"/>
              <w:jc w:val="right"/>
            </w:pPr>
          </w:p>
        </w:tc>
      </w:tr>
      <w:tr w:rsidR="00D90D30" w14:paraId="22EB18D2" w14:textId="77777777" w:rsidTr="00DD03C2">
        <w:tc>
          <w:tcPr>
            <w:tcW w:w="1613" w:type="pct"/>
            <w:tcBorders>
              <w:top w:val="single" w:sz="4" w:space="0" w:color="auto"/>
              <w:left w:val="nil"/>
              <w:bottom w:val="single" w:sz="4" w:space="0" w:color="auto"/>
              <w:right w:val="nil"/>
            </w:tcBorders>
          </w:tcPr>
          <w:p w14:paraId="35777B3B" w14:textId="59EEAE1D" w:rsidR="00D90D30" w:rsidRPr="00EA7005" w:rsidRDefault="00F9202B" w:rsidP="00CA5B2B">
            <w:pPr>
              <w:pStyle w:val="APVMATableText"/>
            </w:pPr>
            <w:r>
              <w:t>AB</w:t>
            </w:r>
            <w:r w:rsidR="00D90D30" w:rsidRPr="00EA7005">
              <w:tab/>
            </w:r>
            <w:r w:rsidR="00CA5B2B">
              <w:t>0</w:t>
            </w:r>
            <w:r>
              <w:t>269</w:t>
            </w:r>
          </w:p>
        </w:tc>
        <w:tc>
          <w:tcPr>
            <w:tcW w:w="2392" w:type="pct"/>
            <w:tcBorders>
              <w:top w:val="single" w:sz="4" w:space="0" w:color="auto"/>
              <w:left w:val="nil"/>
              <w:bottom w:val="single" w:sz="4" w:space="0" w:color="auto"/>
              <w:right w:val="nil"/>
            </w:tcBorders>
          </w:tcPr>
          <w:p w14:paraId="43BF5F99" w14:textId="7FA300E2" w:rsidR="00D90D30" w:rsidRPr="00EA7005" w:rsidRDefault="00F9202B" w:rsidP="00EA7005">
            <w:pPr>
              <w:pStyle w:val="APVMATableText"/>
            </w:pPr>
            <w:r>
              <w:t>Grape pomace, dry</w:t>
            </w:r>
          </w:p>
        </w:tc>
        <w:tc>
          <w:tcPr>
            <w:tcW w:w="995" w:type="pct"/>
            <w:gridSpan w:val="2"/>
            <w:tcBorders>
              <w:top w:val="single" w:sz="4" w:space="0" w:color="auto"/>
              <w:left w:val="nil"/>
              <w:bottom w:val="single" w:sz="4" w:space="0" w:color="auto"/>
              <w:right w:val="nil"/>
            </w:tcBorders>
          </w:tcPr>
          <w:p w14:paraId="1FC35045" w14:textId="34F3F8FF" w:rsidR="00D90D30" w:rsidRPr="00EA7005" w:rsidRDefault="00CA5B2B" w:rsidP="00DD03C2">
            <w:pPr>
              <w:pStyle w:val="APVMATableText"/>
              <w:jc w:val="right"/>
            </w:pPr>
            <w:r>
              <w:t>0.</w:t>
            </w:r>
            <w:r w:rsidR="00F9202B">
              <w:t>3</w:t>
            </w:r>
          </w:p>
        </w:tc>
      </w:tr>
    </w:tbl>
    <w:p w14:paraId="1D040B9E" w14:textId="77777777" w:rsidR="00D90D30" w:rsidRDefault="00D90D30" w:rsidP="00772458">
      <w:pPr>
        <w:pStyle w:val="APVMAText"/>
        <w:sectPr w:rsidR="00D90D30">
          <w:headerReference w:type="even" r:id="rId48"/>
          <w:headerReference w:type="default" r:id="rId49"/>
          <w:pgSz w:w="11906" w:h="16838" w:code="9"/>
          <w:pgMar w:top="2835" w:right="1134" w:bottom="1134" w:left="1134" w:header="1701" w:footer="680" w:gutter="0"/>
          <w:cols w:space="708"/>
          <w:docGrid w:linePitch="360"/>
        </w:sectPr>
      </w:pPr>
    </w:p>
    <w:p w14:paraId="3F3E6917" w14:textId="77777777" w:rsidR="00D90D30" w:rsidRDefault="00D90D30" w:rsidP="00D90D30">
      <w:pPr>
        <w:pStyle w:val="Heading1"/>
        <w:tabs>
          <w:tab w:val="num" w:pos="907"/>
        </w:tabs>
        <w:ind w:left="907" w:hanging="907"/>
      </w:pPr>
      <w:bookmarkStart w:id="166" w:name="_Toc531181089"/>
      <w:bookmarkStart w:id="167" w:name="_Toc7561258"/>
      <w:bookmarkStart w:id="168" w:name="_Toc137198170"/>
      <w:r>
        <w:lastRenderedPageBreak/>
        <w:t>Assessment of overseas trade aspects of residues in food</w:t>
      </w:r>
      <w:bookmarkEnd w:id="166"/>
      <w:bookmarkEnd w:id="167"/>
      <w:bookmarkEnd w:id="168"/>
    </w:p>
    <w:p w14:paraId="6CDE0D7A" w14:textId="6F233333" w:rsidR="006A20B0" w:rsidRPr="00A70B8C" w:rsidRDefault="006A20B0" w:rsidP="006A20B0">
      <w:pPr>
        <w:pStyle w:val="InstructionalText"/>
        <w:rPr>
          <w:color w:val="auto"/>
          <w:sz w:val="20"/>
          <w:szCs w:val="20"/>
        </w:rPr>
      </w:pPr>
      <w:r w:rsidRPr="00A70B8C">
        <w:rPr>
          <w:color w:val="auto"/>
          <w:sz w:val="20"/>
          <w:szCs w:val="20"/>
        </w:rPr>
        <w:t>Grapes and wine are considered to be major export commodities</w:t>
      </w:r>
      <w:r w:rsidRPr="00A70B8C">
        <w:rPr>
          <w:color w:val="auto"/>
          <w:sz w:val="20"/>
          <w:szCs w:val="20"/>
          <w:vertAlign w:val="superscript"/>
        </w:rPr>
        <w:footnoteReference w:id="3"/>
      </w:r>
      <w:r w:rsidRPr="00A70B8C">
        <w:rPr>
          <w:color w:val="auto"/>
          <w:sz w:val="20"/>
          <w:szCs w:val="20"/>
        </w:rPr>
        <w:t>, as are commodities of animal origin, such as meat, offal and dairy products, which may be derived from livestock fed grape pomace produced from treated fruit or grazed in treated vineyards.</w:t>
      </w:r>
      <w:r w:rsidRPr="00A70B8C">
        <w:rPr>
          <w:color w:val="auto"/>
          <w:sz w:val="20"/>
          <w:szCs w:val="20"/>
          <w:vertAlign w:val="superscript"/>
        </w:rPr>
        <w:t xml:space="preserve"> </w:t>
      </w:r>
      <w:r w:rsidRPr="00A70B8C">
        <w:rPr>
          <w:color w:val="auto"/>
          <w:sz w:val="20"/>
          <w:szCs w:val="20"/>
        </w:rPr>
        <w:t xml:space="preserve">Residues in these commodities resulting from the use of </w:t>
      </w:r>
      <w:r w:rsidR="00C563CE" w:rsidRPr="00DD03C2">
        <w:rPr>
          <w:color w:val="auto"/>
          <w:sz w:val="20"/>
          <w:szCs w:val="20"/>
        </w:rPr>
        <w:t>SEEKER Duo</w:t>
      </w:r>
      <w:r w:rsidRPr="00DD03C2">
        <w:rPr>
          <w:color w:val="auto"/>
          <w:sz w:val="20"/>
          <w:szCs w:val="20"/>
        </w:rPr>
        <w:t xml:space="preserve"> Fungicide</w:t>
      </w:r>
      <w:r w:rsidRPr="00A70B8C">
        <w:rPr>
          <w:i/>
          <w:color w:val="auto"/>
          <w:sz w:val="20"/>
          <w:szCs w:val="20"/>
        </w:rPr>
        <w:t xml:space="preserve"> </w:t>
      </w:r>
      <w:r w:rsidRPr="00A70B8C">
        <w:rPr>
          <w:color w:val="auto"/>
          <w:sz w:val="20"/>
          <w:szCs w:val="20"/>
        </w:rPr>
        <w:t>may have the potential to unduly prejudice trade.</w:t>
      </w:r>
    </w:p>
    <w:p w14:paraId="1DB7EBCC" w14:textId="299FABBE" w:rsidR="006A20B0" w:rsidRPr="00A70B8C" w:rsidRDefault="006A20B0" w:rsidP="006A20B0">
      <w:pPr>
        <w:pStyle w:val="InstructionalText"/>
        <w:rPr>
          <w:color w:val="auto"/>
          <w:sz w:val="20"/>
          <w:szCs w:val="20"/>
        </w:rPr>
      </w:pPr>
      <w:r w:rsidRPr="00A70B8C">
        <w:rPr>
          <w:color w:val="auto"/>
          <w:sz w:val="20"/>
          <w:szCs w:val="20"/>
        </w:rPr>
        <w:t xml:space="preserve">The </w:t>
      </w:r>
      <w:r w:rsidR="00DD03C2">
        <w:rPr>
          <w:color w:val="auto"/>
          <w:sz w:val="20"/>
          <w:szCs w:val="20"/>
        </w:rPr>
        <w:t>a</w:t>
      </w:r>
      <w:r w:rsidRPr="00A70B8C">
        <w:rPr>
          <w:color w:val="auto"/>
          <w:sz w:val="20"/>
          <w:szCs w:val="20"/>
        </w:rPr>
        <w:t>pplicant has proposed the following risk mitigation statement which is considered appropriate and acceptable:</w:t>
      </w:r>
    </w:p>
    <w:p w14:paraId="59A698A9" w14:textId="77777777" w:rsidR="006A20B0" w:rsidRPr="00A70B8C" w:rsidRDefault="006A20B0" w:rsidP="006A20B0">
      <w:pPr>
        <w:pStyle w:val="InstructionalText"/>
        <w:rPr>
          <w:i/>
          <w:iCs/>
          <w:color w:val="auto"/>
          <w:sz w:val="20"/>
          <w:szCs w:val="20"/>
        </w:rPr>
      </w:pPr>
      <w:r w:rsidRPr="00A70B8C">
        <w:rPr>
          <w:i/>
          <w:iCs/>
          <w:color w:val="auto"/>
          <w:sz w:val="20"/>
          <w:szCs w:val="20"/>
        </w:rPr>
        <w:t>EXPORT OF TREATED PRODUCE</w:t>
      </w:r>
    </w:p>
    <w:p w14:paraId="673B824E" w14:textId="77777777" w:rsidR="006A20B0" w:rsidRPr="00A70B8C" w:rsidRDefault="006A20B0" w:rsidP="006A20B0">
      <w:pPr>
        <w:pStyle w:val="InstructionalText"/>
        <w:rPr>
          <w:color w:val="auto"/>
          <w:sz w:val="20"/>
          <w:szCs w:val="20"/>
        </w:rPr>
      </w:pPr>
      <w:r w:rsidRPr="00A70B8C">
        <w:rPr>
          <w:i/>
          <w:iCs/>
          <w:color w:val="auto"/>
          <w:sz w:val="20"/>
          <w:szCs w:val="20"/>
        </w:rPr>
        <w:t>Growers should not that appropriate MRLs or import tolerances may not be established in all markets for fruit harvested from SEEKER</w:t>
      </w:r>
      <w:r w:rsidRPr="00A70B8C">
        <w:rPr>
          <w:i/>
          <w:iCs/>
          <w:color w:val="auto"/>
          <w:sz w:val="20"/>
          <w:szCs w:val="20"/>
          <w:vertAlign w:val="superscript"/>
        </w:rPr>
        <w:t>TM</w:t>
      </w:r>
      <w:r w:rsidRPr="00A70B8C">
        <w:rPr>
          <w:i/>
          <w:iCs/>
          <w:color w:val="auto"/>
          <w:sz w:val="20"/>
          <w:szCs w:val="20"/>
        </w:rPr>
        <w:t xml:space="preserve"> Duo treated grapes. If you are growing grapes for export, please check with the Australian Wine Research Institute (in regard to wine) or Syngenta Australia for the latest information on MRLs and import tolerances before using SEEKER</w:t>
      </w:r>
      <w:r w:rsidRPr="00A70B8C">
        <w:rPr>
          <w:i/>
          <w:iCs/>
          <w:color w:val="auto"/>
          <w:sz w:val="20"/>
          <w:szCs w:val="20"/>
          <w:vertAlign w:val="superscript"/>
        </w:rPr>
        <w:t>TM</w:t>
      </w:r>
      <w:r w:rsidRPr="00A70B8C">
        <w:rPr>
          <w:i/>
          <w:iCs/>
          <w:color w:val="auto"/>
          <w:sz w:val="20"/>
          <w:szCs w:val="20"/>
        </w:rPr>
        <w:t xml:space="preserve"> Duo Fungicide.</w:t>
      </w:r>
    </w:p>
    <w:p w14:paraId="6896A3EA" w14:textId="77777777" w:rsidR="00D90D30" w:rsidRDefault="00D90D30" w:rsidP="00D90D30">
      <w:pPr>
        <w:pStyle w:val="Heading2"/>
        <w:ind w:left="907" w:hanging="907"/>
      </w:pPr>
      <w:bookmarkStart w:id="169" w:name="_Toc531181090"/>
      <w:bookmarkStart w:id="170" w:name="_Toc7561259"/>
      <w:bookmarkStart w:id="171" w:name="_Toc137198171"/>
      <w:r>
        <w:t>Commodities exported and main destinations</w:t>
      </w:r>
      <w:bookmarkEnd w:id="169"/>
      <w:bookmarkEnd w:id="170"/>
      <w:bookmarkEnd w:id="171"/>
    </w:p>
    <w:p w14:paraId="761B2F08" w14:textId="6B9E8B4E" w:rsidR="00D90D30" w:rsidRDefault="006A20B0" w:rsidP="00D90D30">
      <w:pPr>
        <w:pStyle w:val="APVMAText"/>
      </w:pPr>
      <w:r w:rsidRPr="006A20B0">
        <w:t>Australian exports of wine totalled 744 ML and 707 ML ($2,900 m</w:t>
      </w:r>
      <w:r w:rsidR="00DD03C2">
        <w:t>illion</w:t>
      </w:r>
      <w:r w:rsidRPr="006A20B0">
        <w:t xml:space="preserve"> and $2,619 m</w:t>
      </w:r>
      <w:r w:rsidR="00DD03C2">
        <w:t>illion</w:t>
      </w:r>
      <w:r w:rsidRPr="006A20B0">
        <w:t>) in 2019</w:t>
      </w:r>
      <w:r w:rsidR="00DD03C2">
        <w:t>–</w:t>
      </w:r>
      <w:r w:rsidRPr="006A20B0">
        <w:t>20 and 2020</w:t>
      </w:r>
      <w:r w:rsidR="00DD03C2">
        <w:t>–</w:t>
      </w:r>
      <w:r w:rsidRPr="006A20B0">
        <w:t>21 respectively. The major export markets for wine in the year ending June 2021 included China, United Kingdom, United States, Hong Kong, Canada, Singapore, New Zealand, Netherlands, Japan and Denmark</w:t>
      </w:r>
      <w:r w:rsidRPr="006A20B0">
        <w:rPr>
          <w:vertAlign w:val="superscript"/>
        </w:rPr>
        <w:footnoteReference w:id="4"/>
      </w:r>
      <w:r w:rsidRPr="006A20B0">
        <w:t>.</w:t>
      </w:r>
    </w:p>
    <w:p w14:paraId="0BE83CBF" w14:textId="77777777" w:rsidR="00D90D30" w:rsidRDefault="00D90D30" w:rsidP="00D90D30">
      <w:pPr>
        <w:pStyle w:val="Heading2"/>
        <w:ind w:left="907" w:hanging="907"/>
      </w:pPr>
      <w:bookmarkStart w:id="172" w:name="_Toc531181091"/>
      <w:bookmarkStart w:id="173" w:name="_Toc7561260"/>
      <w:bookmarkStart w:id="174" w:name="_Toc137198172"/>
      <w:r>
        <w:t>Overseas registrations and approved label instructions</w:t>
      </w:r>
      <w:bookmarkEnd w:id="172"/>
      <w:bookmarkEnd w:id="173"/>
      <w:bookmarkEnd w:id="174"/>
    </w:p>
    <w:p w14:paraId="0CF03681" w14:textId="5DE0980D" w:rsidR="006A20B0" w:rsidRPr="006A20B0" w:rsidRDefault="006A20B0" w:rsidP="006A20B0">
      <w:pPr>
        <w:pStyle w:val="APVMAText"/>
      </w:pPr>
      <w:r w:rsidRPr="006A20B0">
        <w:t xml:space="preserve">The </w:t>
      </w:r>
      <w:r w:rsidR="00DD03C2">
        <w:t>a</w:t>
      </w:r>
      <w:r w:rsidRPr="006A20B0">
        <w:t>pplicant indicated that fenpropidin products are registered for use worldwide (including in grapes in Switzerland) for foliar use in broadacre and horticultural crops for control of powdery mildews, rusts, and leaf spots.</w:t>
      </w:r>
    </w:p>
    <w:p w14:paraId="2D7E5045" w14:textId="77777777" w:rsidR="00D90D30" w:rsidRDefault="00D90D30" w:rsidP="00D90D30">
      <w:pPr>
        <w:pStyle w:val="Heading2"/>
        <w:ind w:left="907" w:hanging="907"/>
      </w:pPr>
      <w:bookmarkStart w:id="175" w:name="_Toc531181092"/>
      <w:bookmarkStart w:id="176" w:name="_Toc7561261"/>
      <w:bookmarkStart w:id="177" w:name="_Toc137198173"/>
      <w:r>
        <w:t>Comparison of Australian MRLs with Codex and international MRLs</w:t>
      </w:r>
      <w:bookmarkEnd w:id="175"/>
      <w:bookmarkEnd w:id="176"/>
      <w:bookmarkEnd w:id="177"/>
    </w:p>
    <w:p w14:paraId="61DA2495" w14:textId="23AD0BAA" w:rsidR="00D90D30" w:rsidRDefault="00D90D30" w:rsidP="00D90D30">
      <w:pPr>
        <w:pStyle w:val="APVMAText"/>
        <w:rPr>
          <w:szCs w:val="20"/>
        </w:rPr>
      </w:pPr>
      <w:r>
        <w:rPr>
          <w:szCs w:val="20"/>
        </w:rPr>
        <w:t xml:space="preserve">The Codex Alimentarius Commission (Codex) is responsible for establishing Codex Maximum Residue Limits (CXLs) for pesticides. CXLs are primarily intended to facilitate international </w:t>
      </w:r>
      <w:r w:rsidR="00772458">
        <w:rPr>
          <w:szCs w:val="20"/>
        </w:rPr>
        <w:t>trade and</w:t>
      </w:r>
      <w:r>
        <w:rPr>
          <w:szCs w:val="20"/>
        </w:rPr>
        <w:t xml:space="preserve"> accommodate differences in Good Agricultural Practice (GAP) employed by various countries. Some countries may accept Codex CXLs when importing foods. </w:t>
      </w:r>
      <w:r w:rsidR="006A20B0">
        <w:rPr>
          <w:szCs w:val="20"/>
        </w:rPr>
        <w:t>Fenpropidin has not</w:t>
      </w:r>
      <w:r w:rsidR="00CA5B2B">
        <w:rPr>
          <w:szCs w:val="20"/>
        </w:rPr>
        <w:t xml:space="preserve"> been considered by Codex. </w:t>
      </w:r>
      <w:r>
        <w:rPr>
          <w:szCs w:val="20"/>
        </w:rPr>
        <w:t xml:space="preserve">The following relevant international MRLs have been established for </w:t>
      </w:r>
      <w:r w:rsidR="006A20B0">
        <w:rPr>
          <w:szCs w:val="20"/>
        </w:rPr>
        <w:t>fenpropidin</w:t>
      </w:r>
      <w:r w:rsidR="00CA5B2B">
        <w:rPr>
          <w:szCs w:val="20"/>
        </w:rPr>
        <w:t xml:space="preserve"> (Table </w:t>
      </w:r>
      <w:r w:rsidR="00E80A49">
        <w:rPr>
          <w:szCs w:val="20"/>
        </w:rPr>
        <w:t>7</w:t>
      </w:r>
      <w:r>
        <w:rPr>
          <w:szCs w:val="20"/>
        </w:rPr>
        <w:t>).</w:t>
      </w:r>
    </w:p>
    <w:p w14:paraId="08BA46D8" w14:textId="1D7807BE" w:rsidR="00D90D30" w:rsidRDefault="00DD03C2" w:rsidP="00DD03C2">
      <w:pPr>
        <w:pStyle w:val="Caption"/>
      </w:pPr>
      <w:bookmarkStart w:id="178" w:name="_Toc523995127"/>
      <w:bookmarkStart w:id="179" w:name="_Toc56686271"/>
      <w:bookmarkStart w:id="180" w:name="_Toc56686284"/>
      <w:bookmarkStart w:id="181" w:name="_Toc137198204"/>
      <w:r>
        <w:lastRenderedPageBreak/>
        <w:t xml:space="preserve">Table </w:t>
      </w:r>
      <w:fldSimple w:instr=" SEQ Table \* ARABIC ">
        <w:r>
          <w:rPr>
            <w:noProof/>
          </w:rPr>
          <w:t>7</w:t>
        </w:r>
      </w:fldSimple>
      <w:r w:rsidR="00D90D30">
        <w:t>:</w:t>
      </w:r>
      <w:r w:rsidR="00D90D30" w:rsidRPr="001D4D17">
        <w:t xml:space="preserve"> </w:t>
      </w:r>
      <w:r w:rsidR="00D90D30">
        <w:t xml:space="preserve">Proposed Australian and current international MRLs for </w:t>
      </w:r>
      <w:bookmarkEnd w:id="178"/>
      <w:r w:rsidR="006A20B0">
        <w:t>fenpropidin</w:t>
      </w:r>
      <w:bookmarkEnd w:id="179"/>
      <w:bookmarkEnd w:id="180"/>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roposed Australian and current international Maximum Residue Limits (MRLs) for the active constituent"/>
        <w:tblDescription w:val="List of proposed Australian MRLs and current international MRLs for the active consistituent"/>
      </w:tblPr>
      <w:tblGrid>
        <w:gridCol w:w="1928"/>
        <w:gridCol w:w="3743"/>
        <w:gridCol w:w="2550"/>
        <w:gridCol w:w="1417"/>
      </w:tblGrid>
      <w:tr w:rsidR="00D90D30" w14:paraId="4750F84C" w14:textId="77777777" w:rsidTr="00DD03C2">
        <w:trPr>
          <w:tblHeader/>
        </w:trPr>
        <w:tc>
          <w:tcPr>
            <w:tcW w:w="1000" w:type="pct"/>
            <w:tcBorders>
              <w:top w:val="single" w:sz="4" w:space="0" w:color="auto"/>
              <w:left w:val="nil"/>
              <w:bottom w:val="single" w:sz="4" w:space="0" w:color="auto"/>
              <w:right w:val="nil"/>
            </w:tcBorders>
            <w:shd w:val="clear" w:color="auto" w:fill="00747A" w:themeFill="background2"/>
          </w:tcPr>
          <w:p w14:paraId="6D3C705B" w14:textId="77777777" w:rsidR="00D90D30" w:rsidRDefault="00D90D30" w:rsidP="00323CDE">
            <w:pPr>
              <w:pStyle w:val="APVMATableHead"/>
            </w:pPr>
            <w:r>
              <w:t>Country</w:t>
            </w:r>
          </w:p>
        </w:tc>
        <w:tc>
          <w:tcPr>
            <w:tcW w:w="1942" w:type="pct"/>
            <w:tcBorders>
              <w:top w:val="single" w:sz="4" w:space="0" w:color="auto"/>
              <w:left w:val="nil"/>
              <w:bottom w:val="single" w:sz="4" w:space="0" w:color="auto"/>
              <w:right w:val="nil"/>
            </w:tcBorders>
            <w:shd w:val="clear" w:color="auto" w:fill="00747A" w:themeFill="background2"/>
          </w:tcPr>
          <w:p w14:paraId="42AF537C" w14:textId="77777777" w:rsidR="00D90D30" w:rsidRDefault="00F2357D" w:rsidP="00323CDE">
            <w:pPr>
              <w:pStyle w:val="APVMATableHead"/>
            </w:pPr>
            <w:r>
              <w:t>R</w:t>
            </w:r>
            <w:r w:rsidR="00D90D30">
              <w:t>esidue definition</w:t>
            </w:r>
          </w:p>
        </w:tc>
        <w:tc>
          <w:tcPr>
            <w:tcW w:w="1323" w:type="pct"/>
            <w:tcBorders>
              <w:top w:val="single" w:sz="4" w:space="0" w:color="auto"/>
              <w:left w:val="nil"/>
              <w:bottom w:val="single" w:sz="4" w:space="0" w:color="auto"/>
              <w:right w:val="nil"/>
            </w:tcBorders>
            <w:shd w:val="clear" w:color="auto" w:fill="00747A" w:themeFill="background2"/>
          </w:tcPr>
          <w:p w14:paraId="5B22A2C6" w14:textId="77777777" w:rsidR="00D90D30" w:rsidRDefault="00D90D30" w:rsidP="00323CDE">
            <w:pPr>
              <w:pStyle w:val="APVMATableHead"/>
            </w:pPr>
            <w:r>
              <w:t>Commodity</w:t>
            </w:r>
          </w:p>
        </w:tc>
        <w:tc>
          <w:tcPr>
            <w:tcW w:w="735" w:type="pct"/>
            <w:tcBorders>
              <w:top w:val="single" w:sz="4" w:space="0" w:color="auto"/>
              <w:left w:val="nil"/>
              <w:bottom w:val="single" w:sz="4" w:space="0" w:color="auto"/>
              <w:right w:val="nil"/>
            </w:tcBorders>
            <w:shd w:val="clear" w:color="auto" w:fill="00747A" w:themeFill="background2"/>
          </w:tcPr>
          <w:p w14:paraId="5ACB60E4" w14:textId="77777777" w:rsidR="00D90D30" w:rsidRDefault="00D90D30" w:rsidP="00DD03C2">
            <w:pPr>
              <w:pStyle w:val="APVMATableHead"/>
              <w:jc w:val="right"/>
            </w:pPr>
            <w:r>
              <w:t>MRL (mg/kg)</w:t>
            </w:r>
          </w:p>
        </w:tc>
      </w:tr>
      <w:tr w:rsidR="00D90D30" w14:paraId="3B0FB4CD" w14:textId="77777777" w:rsidTr="00DD03C2">
        <w:trPr>
          <w:trHeight w:val="2516"/>
        </w:trPr>
        <w:tc>
          <w:tcPr>
            <w:tcW w:w="1000" w:type="pct"/>
            <w:tcBorders>
              <w:top w:val="single" w:sz="4" w:space="0" w:color="auto"/>
              <w:left w:val="nil"/>
              <w:bottom w:val="single" w:sz="4" w:space="0" w:color="auto"/>
              <w:right w:val="nil"/>
            </w:tcBorders>
          </w:tcPr>
          <w:p w14:paraId="085263EA" w14:textId="77777777" w:rsidR="00D90D30" w:rsidRDefault="00D90D30" w:rsidP="00323CDE">
            <w:pPr>
              <w:pStyle w:val="APVMATableText"/>
            </w:pPr>
            <w:r>
              <w:t>Australia (proposed)</w:t>
            </w:r>
          </w:p>
        </w:tc>
        <w:tc>
          <w:tcPr>
            <w:tcW w:w="1942" w:type="pct"/>
            <w:tcBorders>
              <w:top w:val="single" w:sz="4" w:space="0" w:color="auto"/>
              <w:left w:val="nil"/>
              <w:bottom w:val="single" w:sz="4" w:space="0" w:color="auto"/>
              <w:right w:val="nil"/>
            </w:tcBorders>
          </w:tcPr>
          <w:p w14:paraId="443A039E" w14:textId="2CA8970F" w:rsidR="006A20B0" w:rsidRPr="006A20B0" w:rsidRDefault="006A20B0" w:rsidP="006A20B0">
            <w:pPr>
              <w:pStyle w:val="APVMATableText"/>
            </w:pPr>
            <w:r w:rsidRPr="006A20B0">
              <w:t>Commodities of plant</w:t>
            </w:r>
            <w:r>
              <w:t xml:space="preserve"> </w:t>
            </w:r>
            <w:r w:rsidRPr="006A20B0">
              <w:t>origin: Fenpropidin</w:t>
            </w:r>
            <w:r>
              <w:t>.</w:t>
            </w:r>
          </w:p>
          <w:p w14:paraId="5BCFB57D" w14:textId="00A9AEE0" w:rsidR="00D90D30" w:rsidRDefault="006A20B0" w:rsidP="006A20B0">
            <w:pPr>
              <w:pStyle w:val="APVMATableText"/>
            </w:pPr>
            <w:r w:rsidRPr="006A20B0">
              <w:t>Commodities of animal origin for enforcement: Sum of fenpropidin and 2-methyl-2- [4-(2-methyl-3- piperidin-1-ylpropyl)-phenyl]-propanoic acid (CGA 289267), expressed as fenpropidin.</w:t>
            </w:r>
          </w:p>
        </w:tc>
        <w:tc>
          <w:tcPr>
            <w:tcW w:w="1323" w:type="pct"/>
            <w:tcBorders>
              <w:top w:val="single" w:sz="4" w:space="0" w:color="auto"/>
              <w:left w:val="nil"/>
              <w:bottom w:val="single" w:sz="4" w:space="0" w:color="auto"/>
              <w:right w:val="nil"/>
            </w:tcBorders>
          </w:tcPr>
          <w:p w14:paraId="6EA1692C" w14:textId="77777777" w:rsidR="00D90D30" w:rsidRDefault="006A20B0" w:rsidP="00323CDE">
            <w:pPr>
              <w:pStyle w:val="APVMATableText"/>
            </w:pPr>
            <w:r>
              <w:t>Edible offal (mammalian)</w:t>
            </w:r>
          </w:p>
          <w:p w14:paraId="24859E63" w14:textId="0A0D044B" w:rsidR="006A20B0" w:rsidRDefault="006A20B0" w:rsidP="00323CDE">
            <w:pPr>
              <w:pStyle w:val="APVMATableText"/>
            </w:pPr>
            <w:r>
              <w:t>Eggs</w:t>
            </w:r>
          </w:p>
          <w:p w14:paraId="7FEB593E" w14:textId="0761E28C" w:rsidR="006A20B0" w:rsidRDefault="006A20B0" w:rsidP="00323CDE">
            <w:pPr>
              <w:pStyle w:val="APVMATableText"/>
            </w:pPr>
            <w:r>
              <w:t>Meat (mammalian)</w:t>
            </w:r>
          </w:p>
          <w:p w14:paraId="2656C077" w14:textId="600B9A9F" w:rsidR="006A20B0" w:rsidRDefault="006A20B0" w:rsidP="00323CDE">
            <w:pPr>
              <w:pStyle w:val="APVMATableText"/>
            </w:pPr>
            <w:r>
              <w:t>Milks</w:t>
            </w:r>
          </w:p>
          <w:p w14:paraId="4E0BADE7" w14:textId="5DDE025C" w:rsidR="006A20B0" w:rsidRDefault="006A20B0" w:rsidP="00323CDE">
            <w:pPr>
              <w:pStyle w:val="APVMATableText"/>
            </w:pPr>
            <w:r>
              <w:t>Poultry meat</w:t>
            </w:r>
          </w:p>
          <w:p w14:paraId="03B0C322" w14:textId="53E1CD8E" w:rsidR="006A20B0" w:rsidRDefault="006A20B0" w:rsidP="00323CDE">
            <w:pPr>
              <w:pStyle w:val="APVMATableText"/>
            </w:pPr>
            <w:r>
              <w:t>Poultry, edible offal of</w:t>
            </w:r>
          </w:p>
          <w:p w14:paraId="4A726011" w14:textId="26C2ECFE" w:rsidR="006A20B0" w:rsidRDefault="006A20B0" w:rsidP="006A20B0">
            <w:pPr>
              <w:pStyle w:val="APVMATableText"/>
            </w:pPr>
            <w:r>
              <w:t>Wine-grapes</w:t>
            </w:r>
          </w:p>
        </w:tc>
        <w:tc>
          <w:tcPr>
            <w:tcW w:w="735" w:type="pct"/>
            <w:tcBorders>
              <w:top w:val="single" w:sz="4" w:space="0" w:color="auto"/>
              <w:left w:val="nil"/>
              <w:bottom w:val="single" w:sz="4" w:space="0" w:color="auto"/>
              <w:right w:val="nil"/>
            </w:tcBorders>
          </w:tcPr>
          <w:p w14:paraId="0F2D8DA1" w14:textId="77777777" w:rsidR="00D90D30" w:rsidRDefault="006A20B0" w:rsidP="00DD03C2">
            <w:pPr>
              <w:pStyle w:val="APVMATableText"/>
              <w:jc w:val="right"/>
            </w:pPr>
            <w:r>
              <w:t>*0.02</w:t>
            </w:r>
          </w:p>
          <w:p w14:paraId="74BB6494" w14:textId="77777777" w:rsidR="006A20B0" w:rsidRDefault="006A20B0" w:rsidP="00DD03C2">
            <w:pPr>
              <w:pStyle w:val="APVMATableText"/>
              <w:jc w:val="right"/>
            </w:pPr>
            <w:r>
              <w:t>*0.02</w:t>
            </w:r>
          </w:p>
          <w:p w14:paraId="49E2250D" w14:textId="77777777" w:rsidR="006A20B0" w:rsidRDefault="006A20B0" w:rsidP="00DD03C2">
            <w:pPr>
              <w:pStyle w:val="APVMATableText"/>
              <w:jc w:val="right"/>
            </w:pPr>
            <w:r>
              <w:t>*0.02</w:t>
            </w:r>
          </w:p>
          <w:p w14:paraId="2229DBBC" w14:textId="77777777" w:rsidR="006A20B0" w:rsidRDefault="006A20B0" w:rsidP="00DD03C2">
            <w:pPr>
              <w:pStyle w:val="APVMATableText"/>
              <w:jc w:val="right"/>
            </w:pPr>
            <w:r>
              <w:t>*0.01</w:t>
            </w:r>
          </w:p>
          <w:p w14:paraId="5F994D0A" w14:textId="77777777" w:rsidR="006A20B0" w:rsidRDefault="006A20B0" w:rsidP="00DD03C2">
            <w:pPr>
              <w:pStyle w:val="APVMATableText"/>
              <w:jc w:val="right"/>
            </w:pPr>
            <w:r>
              <w:t>*0.02</w:t>
            </w:r>
          </w:p>
          <w:p w14:paraId="11ED89E6" w14:textId="77777777" w:rsidR="006A20B0" w:rsidRDefault="006A20B0" w:rsidP="00DD03C2">
            <w:pPr>
              <w:pStyle w:val="APVMATableText"/>
              <w:jc w:val="right"/>
            </w:pPr>
            <w:r>
              <w:t>*0.02</w:t>
            </w:r>
          </w:p>
          <w:p w14:paraId="20DC35FB" w14:textId="6D0996FD" w:rsidR="006A20B0" w:rsidRDefault="006A20B0" w:rsidP="00DD03C2">
            <w:pPr>
              <w:pStyle w:val="APVMATableText"/>
              <w:jc w:val="right"/>
            </w:pPr>
            <w:r>
              <w:t xml:space="preserve"> 0.03</w:t>
            </w:r>
          </w:p>
        </w:tc>
      </w:tr>
      <w:tr w:rsidR="00D90D30" w14:paraId="06F47D96" w14:textId="77777777" w:rsidTr="00DD03C2">
        <w:tc>
          <w:tcPr>
            <w:tcW w:w="1000" w:type="pct"/>
            <w:tcBorders>
              <w:top w:val="single" w:sz="4" w:space="0" w:color="auto"/>
              <w:left w:val="nil"/>
              <w:bottom w:val="single" w:sz="4" w:space="0" w:color="auto"/>
              <w:right w:val="nil"/>
            </w:tcBorders>
          </w:tcPr>
          <w:p w14:paraId="6497F569" w14:textId="77777777" w:rsidR="00D90D30" w:rsidRDefault="00D90D30" w:rsidP="00323CDE">
            <w:pPr>
              <w:pStyle w:val="APVMATableText"/>
            </w:pPr>
            <w:r>
              <w:t>Codex</w:t>
            </w:r>
          </w:p>
        </w:tc>
        <w:tc>
          <w:tcPr>
            <w:tcW w:w="1942" w:type="pct"/>
            <w:tcBorders>
              <w:top w:val="single" w:sz="4" w:space="0" w:color="auto"/>
              <w:left w:val="nil"/>
              <w:bottom w:val="single" w:sz="4" w:space="0" w:color="auto"/>
              <w:right w:val="nil"/>
            </w:tcBorders>
          </w:tcPr>
          <w:p w14:paraId="34AEAE4A" w14:textId="750505F0" w:rsidR="00D90D30" w:rsidRDefault="00DD03C2" w:rsidP="00323CDE">
            <w:pPr>
              <w:pStyle w:val="APVMATableText"/>
            </w:pPr>
            <w:r>
              <w:t>–</w:t>
            </w:r>
          </w:p>
        </w:tc>
        <w:tc>
          <w:tcPr>
            <w:tcW w:w="1323" w:type="pct"/>
            <w:tcBorders>
              <w:top w:val="single" w:sz="4" w:space="0" w:color="auto"/>
              <w:left w:val="nil"/>
              <w:bottom w:val="single" w:sz="4" w:space="0" w:color="auto"/>
              <w:right w:val="nil"/>
            </w:tcBorders>
          </w:tcPr>
          <w:p w14:paraId="2C610B00" w14:textId="0E37B86D" w:rsidR="00D90D30" w:rsidRDefault="00DD03C2" w:rsidP="00323CDE">
            <w:pPr>
              <w:pStyle w:val="APVMATableText"/>
            </w:pPr>
            <w:r>
              <w:t>–</w:t>
            </w:r>
          </w:p>
        </w:tc>
        <w:tc>
          <w:tcPr>
            <w:tcW w:w="735" w:type="pct"/>
            <w:tcBorders>
              <w:top w:val="single" w:sz="4" w:space="0" w:color="auto"/>
              <w:left w:val="nil"/>
              <w:bottom w:val="single" w:sz="4" w:space="0" w:color="auto"/>
              <w:right w:val="nil"/>
            </w:tcBorders>
          </w:tcPr>
          <w:p w14:paraId="21EFC8BB" w14:textId="577E139A" w:rsidR="00D90D30" w:rsidRDefault="00DD03C2" w:rsidP="00DD03C2">
            <w:pPr>
              <w:pStyle w:val="APVMATableText"/>
              <w:jc w:val="right"/>
            </w:pPr>
            <w:r>
              <w:t>–</w:t>
            </w:r>
          </w:p>
        </w:tc>
      </w:tr>
      <w:tr w:rsidR="00D90D30" w14:paraId="67F9EDEC" w14:textId="77777777" w:rsidTr="00DD03C2">
        <w:tc>
          <w:tcPr>
            <w:tcW w:w="1000" w:type="pct"/>
            <w:tcBorders>
              <w:top w:val="single" w:sz="4" w:space="0" w:color="auto"/>
              <w:left w:val="nil"/>
              <w:bottom w:val="single" w:sz="4" w:space="0" w:color="auto"/>
              <w:right w:val="nil"/>
            </w:tcBorders>
          </w:tcPr>
          <w:p w14:paraId="6C829A30" w14:textId="11552881" w:rsidR="00D90D30" w:rsidRDefault="006A20B0" w:rsidP="00323CDE">
            <w:pPr>
              <w:pStyle w:val="APVMATableText"/>
            </w:pPr>
            <w:r>
              <w:t>European Union</w:t>
            </w:r>
            <w:r w:rsidRPr="006A20B0">
              <w:rPr>
                <w:vertAlign w:val="superscript"/>
              </w:rPr>
              <w:footnoteReference w:id="5"/>
            </w:r>
          </w:p>
        </w:tc>
        <w:tc>
          <w:tcPr>
            <w:tcW w:w="1942" w:type="pct"/>
            <w:tcBorders>
              <w:top w:val="single" w:sz="4" w:space="0" w:color="auto"/>
              <w:left w:val="nil"/>
              <w:bottom w:val="single" w:sz="4" w:space="0" w:color="auto"/>
              <w:right w:val="nil"/>
            </w:tcBorders>
          </w:tcPr>
          <w:p w14:paraId="3853BDC2" w14:textId="77777777" w:rsidR="006A20B0" w:rsidRPr="006A20B0" w:rsidRDefault="006A20B0" w:rsidP="006A20B0">
            <w:pPr>
              <w:pStyle w:val="APVMATableText"/>
            </w:pPr>
            <w:r w:rsidRPr="006A20B0">
              <w:t>Commodities of plant origin: Sum of fenpropidin and its salts, expressed as fenpropidin.</w:t>
            </w:r>
          </w:p>
          <w:p w14:paraId="69621434" w14:textId="7FA38E0B" w:rsidR="00D90D30" w:rsidRDefault="006A20B0" w:rsidP="006A20B0">
            <w:pPr>
              <w:pStyle w:val="APVMATableText"/>
            </w:pPr>
            <w:r w:rsidRPr="006A20B0">
              <w:t>Commodities of animal origin: Sum of fenpropidin, CGA 289267, and their salts, expressed as fenpropidin.</w:t>
            </w:r>
          </w:p>
        </w:tc>
        <w:tc>
          <w:tcPr>
            <w:tcW w:w="1323" w:type="pct"/>
            <w:tcBorders>
              <w:top w:val="single" w:sz="4" w:space="0" w:color="auto"/>
              <w:left w:val="nil"/>
              <w:bottom w:val="single" w:sz="4" w:space="0" w:color="auto"/>
              <w:right w:val="nil"/>
            </w:tcBorders>
          </w:tcPr>
          <w:p w14:paraId="55E68C1D" w14:textId="77777777" w:rsidR="006A20B0" w:rsidRDefault="006A20B0" w:rsidP="006A20B0">
            <w:pPr>
              <w:pStyle w:val="APVMATableText"/>
            </w:pPr>
            <w:r>
              <w:t>Edible offal (mammalian)</w:t>
            </w:r>
          </w:p>
          <w:p w14:paraId="07D6592E" w14:textId="77777777" w:rsidR="006A20B0" w:rsidRDefault="006A20B0" w:rsidP="006A20B0">
            <w:pPr>
              <w:pStyle w:val="APVMATableText"/>
            </w:pPr>
          </w:p>
          <w:p w14:paraId="25E5F194" w14:textId="29D27397" w:rsidR="006A20B0" w:rsidRDefault="006A20B0" w:rsidP="006A20B0">
            <w:pPr>
              <w:pStyle w:val="APVMATableText"/>
            </w:pPr>
            <w:r>
              <w:t>Eggs</w:t>
            </w:r>
          </w:p>
          <w:p w14:paraId="295A15EE" w14:textId="6EE1DA49" w:rsidR="006A20B0" w:rsidRDefault="006A20B0" w:rsidP="006A20B0">
            <w:pPr>
              <w:pStyle w:val="APVMATableText"/>
            </w:pPr>
            <w:r>
              <w:t>Meat (mammalian)</w:t>
            </w:r>
          </w:p>
          <w:p w14:paraId="70F71178" w14:textId="77777777" w:rsidR="006A20B0" w:rsidRDefault="006A20B0" w:rsidP="006A20B0">
            <w:pPr>
              <w:pStyle w:val="APVMATableText"/>
            </w:pPr>
          </w:p>
          <w:p w14:paraId="563AF73C" w14:textId="5B32F97B" w:rsidR="006A20B0" w:rsidRDefault="006A20B0" w:rsidP="006A20B0">
            <w:pPr>
              <w:pStyle w:val="APVMATableText"/>
            </w:pPr>
            <w:r>
              <w:t>Milks</w:t>
            </w:r>
          </w:p>
          <w:p w14:paraId="1FC33B70" w14:textId="6526FA92" w:rsidR="006A20B0" w:rsidRDefault="006A20B0" w:rsidP="006A20B0">
            <w:pPr>
              <w:pStyle w:val="APVMATableText"/>
            </w:pPr>
            <w:r>
              <w:t>Poultry meat</w:t>
            </w:r>
          </w:p>
          <w:p w14:paraId="34556C91" w14:textId="77777777" w:rsidR="006A20B0" w:rsidRDefault="006A20B0" w:rsidP="006A20B0">
            <w:pPr>
              <w:pStyle w:val="APVMATableText"/>
            </w:pPr>
          </w:p>
          <w:p w14:paraId="4A0485B6" w14:textId="77777777" w:rsidR="00D90D30" w:rsidRDefault="006A20B0" w:rsidP="00323CDE">
            <w:pPr>
              <w:pStyle w:val="APVMATableText"/>
            </w:pPr>
            <w:r>
              <w:t>Poultry, edible offal of</w:t>
            </w:r>
          </w:p>
          <w:p w14:paraId="225D9E76" w14:textId="77777777" w:rsidR="006A20B0" w:rsidRDefault="006A20B0" w:rsidP="00323CDE">
            <w:pPr>
              <w:pStyle w:val="APVMATableText"/>
            </w:pPr>
          </w:p>
          <w:p w14:paraId="72ADF6F7" w14:textId="76DD5C1E" w:rsidR="006A20B0" w:rsidRDefault="006A20B0" w:rsidP="00323CDE">
            <w:pPr>
              <w:pStyle w:val="APVMATableText"/>
            </w:pPr>
            <w:r>
              <w:t>Wine-grapes</w:t>
            </w:r>
          </w:p>
        </w:tc>
        <w:tc>
          <w:tcPr>
            <w:tcW w:w="735" w:type="pct"/>
            <w:tcBorders>
              <w:top w:val="single" w:sz="4" w:space="0" w:color="auto"/>
              <w:left w:val="nil"/>
              <w:bottom w:val="single" w:sz="4" w:space="0" w:color="auto"/>
              <w:right w:val="nil"/>
            </w:tcBorders>
          </w:tcPr>
          <w:p w14:paraId="737785FF" w14:textId="77777777" w:rsidR="006A20B0" w:rsidRDefault="006A20B0" w:rsidP="00DD03C2">
            <w:pPr>
              <w:pStyle w:val="APVMATableText"/>
              <w:jc w:val="right"/>
            </w:pPr>
            <w:r>
              <w:t>0.2 (liver)</w:t>
            </w:r>
          </w:p>
          <w:p w14:paraId="59BB7850" w14:textId="77777777" w:rsidR="006A20B0" w:rsidRDefault="006A20B0" w:rsidP="00DD03C2">
            <w:pPr>
              <w:pStyle w:val="APVMATableText"/>
              <w:jc w:val="right"/>
            </w:pPr>
            <w:r>
              <w:t>0.05 (kidney)</w:t>
            </w:r>
          </w:p>
          <w:p w14:paraId="2F46EF01" w14:textId="77777777" w:rsidR="00D90D30" w:rsidRDefault="00CA5B2B" w:rsidP="00DD03C2">
            <w:pPr>
              <w:pStyle w:val="APVMATableText"/>
              <w:jc w:val="right"/>
            </w:pPr>
            <w:r>
              <w:t>0.0</w:t>
            </w:r>
            <w:r w:rsidR="006A20B0">
              <w:t>2*</w:t>
            </w:r>
          </w:p>
          <w:p w14:paraId="749BB98E" w14:textId="77777777" w:rsidR="006A20B0" w:rsidRDefault="006A20B0" w:rsidP="00DD03C2">
            <w:pPr>
              <w:pStyle w:val="APVMATableText"/>
              <w:jc w:val="right"/>
            </w:pPr>
            <w:r>
              <w:t>0.02* (muscle)</w:t>
            </w:r>
          </w:p>
          <w:p w14:paraId="13AEF717" w14:textId="77777777" w:rsidR="006A20B0" w:rsidRDefault="006A20B0" w:rsidP="00DD03C2">
            <w:pPr>
              <w:pStyle w:val="APVMATableText"/>
              <w:jc w:val="right"/>
            </w:pPr>
            <w:r>
              <w:t>0.02* (fat)</w:t>
            </w:r>
          </w:p>
          <w:p w14:paraId="6D4FBE27" w14:textId="77777777" w:rsidR="006A20B0" w:rsidRDefault="006A20B0" w:rsidP="00DD03C2">
            <w:pPr>
              <w:pStyle w:val="APVMATableText"/>
              <w:jc w:val="right"/>
            </w:pPr>
            <w:r>
              <w:t>0.02</w:t>
            </w:r>
          </w:p>
          <w:p w14:paraId="39679A38" w14:textId="77777777" w:rsidR="006A20B0" w:rsidRDefault="006A20B0" w:rsidP="00DD03C2">
            <w:pPr>
              <w:pStyle w:val="APVMATableText"/>
              <w:jc w:val="right"/>
            </w:pPr>
            <w:r>
              <w:t>0.02* (muscle)</w:t>
            </w:r>
          </w:p>
          <w:p w14:paraId="54B846A6" w14:textId="77777777" w:rsidR="006A20B0" w:rsidRDefault="006A20B0" w:rsidP="00DD03C2">
            <w:pPr>
              <w:pStyle w:val="APVMATableText"/>
              <w:jc w:val="right"/>
            </w:pPr>
            <w:r>
              <w:t>0.02* (fat)</w:t>
            </w:r>
          </w:p>
          <w:p w14:paraId="30359931" w14:textId="77777777" w:rsidR="006A20B0" w:rsidRDefault="006A20B0" w:rsidP="00DD03C2">
            <w:pPr>
              <w:pStyle w:val="APVMATableText"/>
              <w:jc w:val="right"/>
            </w:pPr>
            <w:r>
              <w:t>0.02* (liver)</w:t>
            </w:r>
          </w:p>
          <w:p w14:paraId="33846B35" w14:textId="77777777" w:rsidR="006A20B0" w:rsidRDefault="006A20B0" w:rsidP="00DD03C2">
            <w:pPr>
              <w:pStyle w:val="APVMATableText"/>
              <w:jc w:val="right"/>
            </w:pPr>
            <w:r>
              <w:t>0.02* (kidney)</w:t>
            </w:r>
          </w:p>
          <w:p w14:paraId="16E84709" w14:textId="6F758EB4" w:rsidR="006A20B0" w:rsidRDefault="006A20B0" w:rsidP="00DD03C2">
            <w:pPr>
              <w:pStyle w:val="APVMATableText"/>
              <w:jc w:val="right"/>
            </w:pPr>
            <w:r>
              <w:t>0.01*</w:t>
            </w:r>
          </w:p>
        </w:tc>
      </w:tr>
      <w:tr w:rsidR="00D90D30" w14:paraId="616EBB06" w14:textId="77777777" w:rsidTr="00DD03C2">
        <w:tc>
          <w:tcPr>
            <w:tcW w:w="1000" w:type="pct"/>
            <w:tcBorders>
              <w:top w:val="single" w:sz="4" w:space="0" w:color="auto"/>
              <w:left w:val="nil"/>
              <w:bottom w:val="single" w:sz="4" w:space="0" w:color="auto"/>
              <w:right w:val="nil"/>
            </w:tcBorders>
          </w:tcPr>
          <w:p w14:paraId="7A2965C6" w14:textId="5CAD8421" w:rsidR="00D90D30" w:rsidRDefault="006A20B0" w:rsidP="00323CDE">
            <w:pPr>
              <w:pStyle w:val="APVMATableText"/>
            </w:pPr>
            <w:r>
              <w:t>United States of America</w:t>
            </w:r>
            <w:r w:rsidRPr="006A20B0">
              <w:rPr>
                <w:vertAlign w:val="superscript"/>
              </w:rPr>
              <w:footnoteReference w:id="6"/>
            </w:r>
            <w:r w:rsidRPr="006A20B0">
              <w:t xml:space="preserve"> #</w:t>
            </w:r>
          </w:p>
        </w:tc>
        <w:tc>
          <w:tcPr>
            <w:tcW w:w="1942" w:type="pct"/>
            <w:tcBorders>
              <w:top w:val="single" w:sz="4" w:space="0" w:color="auto"/>
              <w:left w:val="nil"/>
              <w:bottom w:val="single" w:sz="4" w:space="0" w:color="auto"/>
              <w:right w:val="nil"/>
            </w:tcBorders>
          </w:tcPr>
          <w:p w14:paraId="2132647A" w14:textId="7480EB67" w:rsidR="00D90D30" w:rsidRDefault="006A20B0" w:rsidP="00323CDE">
            <w:pPr>
              <w:pStyle w:val="APVMATableText"/>
            </w:pPr>
            <w:r w:rsidRPr="006A20B0">
              <w:t xml:space="preserve">Tolerances are established for the residues of fenpropidin, including its metabolites and </w:t>
            </w:r>
            <w:proofErr w:type="spellStart"/>
            <w:r w:rsidRPr="006A20B0">
              <w:t>degradates</w:t>
            </w:r>
            <w:proofErr w:type="spellEnd"/>
            <w:r w:rsidRPr="006A20B0">
              <w:t>, in or on the commodities in the table below. Compliance with the tolerance levels specified below is to be determined by measuring only fenpropidin (1-[3-[4-(1,1-</w:t>
            </w:r>
            <w:proofErr w:type="gramStart"/>
            <w:r w:rsidRPr="006A20B0">
              <w:t>dimethylethyl)phenyl</w:t>
            </w:r>
            <w:proofErr w:type="gramEnd"/>
            <w:r w:rsidRPr="006A20B0">
              <w:t>]-2-methylpropyl]piperidine).</w:t>
            </w:r>
          </w:p>
        </w:tc>
        <w:tc>
          <w:tcPr>
            <w:tcW w:w="1323" w:type="pct"/>
            <w:tcBorders>
              <w:top w:val="single" w:sz="4" w:space="0" w:color="auto"/>
              <w:left w:val="nil"/>
              <w:bottom w:val="single" w:sz="4" w:space="0" w:color="auto"/>
              <w:right w:val="nil"/>
            </w:tcBorders>
          </w:tcPr>
          <w:p w14:paraId="2545666D" w14:textId="361A051E" w:rsidR="00D90D30" w:rsidRDefault="00DD03C2" w:rsidP="00323CDE">
            <w:pPr>
              <w:pStyle w:val="APVMATableText"/>
            </w:pPr>
            <w:r>
              <w:t>–</w:t>
            </w:r>
          </w:p>
        </w:tc>
        <w:tc>
          <w:tcPr>
            <w:tcW w:w="735" w:type="pct"/>
            <w:tcBorders>
              <w:top w:val="single" w:sz="4" w:space="0" w:color="auto"/>
              <w:left w:val="nil"/>
              <w:bottom w:val="single" w:sz="4" w:space="0" w:color="auto"/>
              <w:right w:val="nil"/>
            </w:tcBorders>
          </w:tcPr>
          <w:p w14:paraId="72772FB9" w14:textId="6C6BE2F0" w:rsidR="00D90D30" w:rsidRDefault="00DD03C2" w:rsidP="00DD03C2">
            <w:pPr>
              <w:pStyle w:val="APVMATableText"/>
              <w:jc w:val="right"/>
            </w:pPr>
            <w:r>
              <w:t>–</w:t>
            </w:r>
          </w:p>
        </w:tc>
      </w:tr>
    </w:tbl>
    <w:p w14:paraId="0D894B0A" w14:textId="153AC610" w:rsidR="006A20B0" w:rsidRPr="006A20B0" w:rsidRDefault="006A20B0" w:rsidP="006A20B0">
      <w:pPr>
        <w:pStyle w:val="APVMAText"/>
        <w:spacing w:before="0"/>
        <w:rPr>
          <w:sz w:val="16"/>
          <w:szCs w:val="16"/>
        </w:rPr>
      </w:pPr>
      <w:bookmarkStart w:id="182" w:name="_Toc531181093"/>
      <w:bookmarkStart w:id="183" w:name="_Toc7561262"/>
      <w:r w:rsidRPr="006A20B0">
        <w:rPr>
          <w:sz w:val="16"/>
          <w:szCs w:val="16"/>
        </w:rPr>
        <w:t># There are no U.S. registrations as of 13</w:t>
      </w:r>
      <w:r w:rsidR="00DD03C2">
        <w:rPr>
          <w:sz w:val="16"/>
          <w:szCs w:val="16"/>
        </w:rPr>
        <w:t xml:space="preserve"> December</w:t>
      </w:r>
      <w:r w:rsidRPr="006A20B0">
        <w:rPr>
          <w:sz w:val="16"/>
          <w:szCs w:val="16"/>
        </w:rPr>
        <w:t xml:space="preserve"> 2013. The residue definition is established due to an import tolerance established for banana.</w:t>
      </w:r>
    </w:p>
    <w:p w14:paraId="7009C7E4" w14:textId="77777777" w:rsidR="00F2357D" w:rsidRDefault="00F2357D" w:rsidP="00F2357D">
      <w:pPr>
        <w:pStyle w:val="Heading2"/>
        <w:ind w:left="907" w:hanging="907"/>
      </w:pPr>
      <w:bookmarkStart w:id="184" w:name="_Toc137198174"/>
      <w:r>
        <w:lastRenderedPageBreak/>
        <w:t>Potential risk to trade</w:t>
      </w:r>
      <w:bookmarkEnd w:id="182"/>
      <w:bookmarkEnd w:id="183"/>
      <w:bookmarkEnd w:id="184"/>
    </w:p>
    <w:p w14:paraId="59EACA7C" w14:textId="77777777" w:rsidR="006A20B0" w:rsidRDefault="006A20B0" w:rsidP="006A20B0">
      <w:pPr>
        <w:pStyle w:val="APVMAText"/>
      </w:pPr>
      <w:r w:rsidRPr="006A20B0">
        <w:t>Export of treated produce containing finite (measurable) residues of fenpropidin may pose a risk to Australian trade in situations where (i) no residue tolerance (import tolerance) is established in the importing country or (ii) where residues in Australian produce are likely to exceed a residue tolerance (import tolerance) established in the importing country.</w:t>
      </w:r>
    </w:p>
    <w:p w14:paraId="5AD9EB3A" w14:textId="0FA48714" w:rsidR="006A20B0" w:rsidRPr="006A20B0" w:rsidRDefault="006A20B0" w:rsidP="006A20B0">
      <w:pPr>
        <w:pStyle w:val="APVMAText"/>
      </w:pPr>
      <w:bookmarkStart w:id="185" w:name="_Hlk135903574"/>
      <w:r>
        <w:t xml:space="preserve">As shown in Table </w:t>
      </w:r>
      <w:bookmarkStart w:id="186" w:name="_Hlk135903616"/>
      <w:r w:rsidR="00E80A49">
        <w:t>7</w:t>
      </w:r>
      <w:r w:rsidR="008471A3">
        <w:t xml:space="preserve">, international </w:t>
      </w:r>
      <w:r>
        <w:t xml:space="preserve">MRL coverage for wine-grapes is limited to the European Union (EU) only and </w:t>
      </w:r>
      <w:r w:rsidR="00A73871">
        <w:t xml:space="preserve">the </w:t>
      </w:r>
      <w:r>
        <w:t>fenpropidin MRL for Wine grapes is established at the LOQ (&lt;0.01 mg/kg).</w:t>
      </w:r>
    </w:p>
    <w:p w14:paraId="4A3B0FA7" w14:textId="35DECF6D" w:rsidR="006A20B0" w:rsidRPr="006A20B0" w:rsidRDefault="006A20B0" w:rsidP="006A20B0">
      <w:pPr>
        <w:pStyle w:val="APVMAText"/>
      </w:pPr>
      <w:r w:rsidRPr="006A20B0">
        <w:t xml:space="preserve">When a single foliar application, applied pre-flowering (E-L 18, BBCH 60), residues of fenpropidin </w:t>
      </w:r>
      <w:r>
        <w:t>are expected at</w:t>
      </w:r>
      <w:r w:rsidRPr="006A20B0">
        <w:t xml:space="preserve"> &lt;0.003 mg/kg (LOD) (n=6) in grapes (whole fruit) and wine.</w:t>
      </w:r>
    </w:p>
    <w:p w14:paraId="0B2EE5D4" w14:textId="3DB7502A" w:rsidR="006A20B0" w:rsidRDefault="006A20B0" w:rsidP="006A20B0">
      <w:pPr>
        <w:pStyle w:val="APVMAText"/>
      </w:pPr>
      <w:r>
        <w:t xml:space="preserve">When </w:t>
      </w:r>
      <w:r w:rsidRPr="006A20B0">
        <w:t xml:space="preserve">a single foliar application applied at 80% </w:t>
      </w:r>
      <w:proofErr w:type="spellStart"/>
      <w:r w:rsidRPr="006A20B0">
        <w:t>capfall</w:t>
      </w:r>
      <w:proofErr w:type="spellEnd"/>
      <w:r w:rsidRPr="006A20B0">
        <w:t xml:space="preserve"> (E-L 25, BBCH 68)</w:t>
      </w:r>
      <w:r>
        <w:t>, at the proposed critical GAP,</w:t>
      </w:r>
      <w:r w:rsidRPr="006A20B0">
        <w:t xml:space="preserve"> low level finite residues of fenpropidin may occur in wine (</w:t>
      </w:r>
      <w:r w:rsidR="006137FE">
        <w:t>High Residue (</w:t>
      </w:r>
      <w:r w:rsidRPr="006A20B0">
        <w:t>HR</w:t>
      </w:r>
      <w:r w:rsidR="006137FE">
        <w:t>)</w:t>
      </w:r>
      <w:r w:rsidRPr="006A20B0">
        <w:t xml:space="preserve"> = 0.007 mg/kg, STMR = 0.006</w:t>
      </w:r>
      <w:r w:rsidR="00DD03C2">
        <w:t> </w:t>
      </w:r>
      <w:r w:rsidRPr="006A20B0">
        <w:t>mg/kg</w:t>
      </w:r>
      <w:r w:rsidR="008471A3">
        <w:t>, LOQ = 0.005 mg/kg</w:t>
      </w:r>
      <w:r w:rsidRPr="006A20B0">
        <w:t>).</w:t>
      </w:r>
    </w:p>
    <w:p w14:paraId="5B3651C2" w14:textId="7E8F0AB5" w:rsidR="00F2357D" w:rsidRDefault="006A20B0" w:rsidP="006A20B0">
      <w:pPr>
        <w:pStyle w:val="APVMAText"/>
        <w:sectPr w:rsidR="00F2357D">
          <w:headerReference w:type="even" r:id="rId50"/>
          <w:headerReference w:type="default" r:id="rId51"/>
          <w:pgSz w:w="11906" w:h="16838" w:code="9"/>
          <w:pgMar w:top="2835" w:right="1134" w:bottom="1134" w:left="1134" w:header="1701" w:footer="680" w:gutter="0"/>
          <w:cols w:space="708"/>
          <w:docGrid w:linePitch="360"/>
        </w:sectPr>
      </w:pPr>
      <w:r>
        <w:t>Comment is sought from industry on the potential for industry to manage this potential trade risk associated with the proposed establishment of a finite fenpropidin MRL for Wine grapes and the potential for low level residues in wine</w:t>
      </w:r>
      <w:bookmarkEnd w:id="186"/>
      <w:r>
        <w:t>.</w:t>
      </w:r>
    </w:p>
    <w:p w14:paraId="4DEB5711" w14:textId="6815805E" w:rsidR="00A6683A" w:rsidRDefault="00CA5B2B" w:rsidP="00A6683A">
      <w:pPr>
        <w:pStyle w:val="Heading1"/>
        <w:tabs>
          <w:tab w:val="num" w:pos="907"/>
        </w:tabs>
        <w:ind w:left="907" w:hanging="907"/>
      </w:pPr>
      <w:bookmarkStart w:id="187" w:name="_Toc531181094"/>
      <w:bookmarkStart w:id="188" w:name="_Toc7561263"/>
      <w:bookmarkStart w:id="189" w:name="_Toc137198175"/>
      <w:bookmarkEnd w:id="185"/>
      <w:r>
        <w:lastRenderedPageBreak/>
        <w:t>W</w:t>
      </w:r>
      <w:r w:rsidR="00A6683A">
        <w:t xml:space="preserve">ork </w:t>
      </w:r>
      <w:r>
        <w:t>h</w:t>
      </w:r>
      <w:r w:rsidR="00A6683A">
        <w:t xml:space="preserve">ealth and </w:t>
      </w:r>
      <w:r>
        <w:t>s</w:t>
      </w:r>
      <w:r w:rsidR="00A6683A">
        <w:t>afety assessment</w:t>
      </w:r>
      <w:bookmarkEnd w:id="187"/>
      <w:bookmarkEnd w:id="188"/>
      <w:bookmarkEnd w:id="189"/>
    </w:p>
    <w:p w14:paraId="54CB8D71" w14:textId="1534FE5F" w:rsidR="000E0D1A" w:rsidRPr="000E0D1A" w:rsidRDefault="000E0D1A" w:rsidP="00DD03C2">
      <w:pPr>
        <w:pStyle w:val="APVMAText"/>
      </w:pPr>
      <w:r w:rsidRPr="000E0D1A">
        <w:t>Occupational risk assessment is based on both acute exposure to the product formulation and repeat exposure to the active constituent</w:t>
      </w:r>
      <w:r>
        <w:t>s</w:t>
      </w:r>
      <w:r w:rsidRPr="000E0D1A">
        <w:t xml:space="preserve">. Workers may be exposed repeatedly to the product </w:t>
      </w:r>
      <w:r>
        <w:t xml:space="preserve">through the </w:t>
      </w:r>
      <w:r w:rsidRPr="000E0D1A">
        <w:t>dermal and/or inhalation routes during mixing, loading and application (M/L/A) and dermal exposure during post-application activities. Minor or accidental ocular exposure may also occur.</w:t>
      </w:r>
    </w:p>
    <w:p w14:paraId="10BD11C1" w14:textId="77777777" w:rsidR="00A6683A" w:rsidRDefault="00A6683A" w:rsidP="00A6683A">
      <w:pPr>
        <w:pStyle w:val="Heading2"/>
        <w:ind w:left="907" w:hanging="907"/>
      </w:pPr>
      <w:bookmarkStart w:id="190" w:name="_Toc531181095"/>
      <w:bookmarkStart w:id="191" w:name="_Toc7561264"/>
      <w:bookmarkStart w:id="192" w:name="_Toc137198176"/>
      <w:r>
        <w:t>Health hazards</w:t>
      </w:r>
      <w:bookmarkEnd w:id="190"/>
      <w:bookmarkEnd w:id="191"/>
      <w:bookmarkEnd w:id="192"/>
    </w:p>
    <w:p w14:paraId="0413AB7B" w14:textId="5263D03A" w:rsidR="000E299F" w:rsidRDefault="00C563CE" w:rsidP="00A6683A">
      <w:pPr>
        <w:pStyle w:val="APVMAText"/>
      </w:pPr>
      <w:r>
        <w:t>SEEKER Duo</w:t>
      </w:r>
      <w:r w:rsidR="000E299F" w:rsidRPr="000E299F">
        <w:t xml:space="preserve"> Fungicide has low acute toxicity by the oral and dermal routes, moderate to severe skin irritation potential, severe eye irritation potential, is a respiratory irritant and a skin sensitiser in Guinea pig (GPMT).</w:t>
      </w:r>
      <w:r w:rsidR="000E299F">
        <w:t xml:space="preserve"> </w:t>
      </w:r>
      <w:r>
        <w:t>SEEKER Duo</w:t>
      </w:r>
      <w:r w:rsidR="00FB1455">
        <w:t xml:space="preserve"> a</w:t>
      </w:r>
      <w:r w:rsidR="000E299F" w:rsidRPr="000E299F">
        <w:t>cute toxicity by the inhalation route</w:t>
      </w:r>
      <w:r w:rsidR="000E299F">
        <w:t xml:space="preserve"> was estimated to be </w:t>
      </w:r>
      <w:r w:rsidR="000E299F" w:rsidRPr="000E299F">
        <w:t>low to moderate</w:t>
      </w:r>
      <w:r w:rsidR="000E299F">
        <w:t xml:space="preserve">; </w:t>
      </w:r>
      <w:r w:rsidR="000E299F" w:rsidRPr="000E299F">
        <w:t>due to its designated solvent content, the formulated product is considered an aspiration hazard.</w:t>
      </w:r>
    </w:p>
    <w:p w14:paraId="21940B1C" w14:textId="22BD23AB" w:rsidR="0059767D" w:rsidRDefault="00C563CE" w:rsidP="000E299F">
      <w:pPr>
        <w:pStyle w:val="APVMAText"/>
      </w:pPr>
      <w:r>
        <w:t>SEEKER Duo</w:t>
      </w:r>
      <w:r w:rsidR="0059767D">
        <w:t xml:space="preserve"> Fungicide contains </w:t>
      </w:r>
      <w:r w:rsidR="00DD03C2">
        <w:t>2</w:t>
      </w:r>
      <w:r w:rsidR="0059767D">
        <w:t xml:space="preserve"> active constituents which, </w:t>
      </w:r>
      <w:r w:rsidR="000E299F">
        <w:t>in</w:t>
      </w:r>
      <w:r w:rsidR="0059767D">
        <w:t xml:space="preserve"> Australia, form a novel combination. Therefore, the possibility that these active constituents enhance each other’s toxicity </w:t>
      </w:r>
      <w:r w:rsidR="000E299F">
        <w:t>was</w:t>
      </w:r>
      <w:r w:rsidR="0059767D">
        <w:t xml:space="preserve"> considered.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3544"/>
      </w:tblGrid>
      <w:tr w:rsidR="0059767D" w14:paraId="688B68C5" w14:textId="77777777" w:rsidTr="000E299F">
        <w:trPr>
          <w:jc w:val="center"/>
        </w:trPr>
        <w:tc>
          <w:tcPr>
            <w:tcW w:w="4106" w:type="dxa"/>
            <w:vAlign w:val="center"/>
          </w:tcPr>
          <w:p w14:paraId="05C8909E" w14:textId="77777777" w:rsidR="0059767D" w:rsidRPr="0059767D" w:rsidRDefault="0059767D" w:rsidP="00A449AF">
            <w:pPr>
              <w:autoSpaceDE w:val="0"/>
              <w:autoSpaceDN w:val="0"/>
              <w:adjustRightInd w:val="0"/>
              <w:spacing w:before="120" w:after="120" w:line="240" w:lineRule="auto"/>
              <w:rPr>
                <w:rFonts w:cs="Times New Roman"/>
                <w:iCs/>
                <w:sz w:val="20"/>
                <w:szCs w:val="20"/>
              </w:rPr>
            </w:pPr>
            <w:r w:rsidRPr="0059767D">
              <w:rPr>
                <w:rFonts w:cs="Times New Roman"/>
                <w:iCs/>
                <w:sz w:val="20"/>
                <w:szCs w:val="20"/>
              </w:rPr>
              <w:t>Fenpropidin</w:t>
            </w:r>
          </w:p>
        </w:tc>
        <w:tc>
          <w:tcPr>
            <w:tcW w:w="3544" w:type="dxa"/>
            <w:vAlign w:val="center"/>
          </w:tcPr>
          <w:p w14:paraId="7A60A448" w14:textId="77777777" w:rsidR="0059767D" w:rsidRPr="0059767D" w:rsidRDefault="0059767D" w:rsidP="00A449AF">
            <w:pPr>
              <w:autoSpaceDE w:val="0"/>
              <w:autoSpaceDN w:val="0"/>
              <w:adjustRightInd w:val="0"/>
              <w:spacing w:before="120" w:after="120" w:line="240" w:lineRule="auto"/>
              <w:rPr>
                <w:rFonts w:cs="Times New Roman"/>
                <w:iCs/>
                <w:sz w:val="20"/>
                <w:szCs w:val="20"/>
              </w:rPr>
            </w:pPr>
            <w:r w:rsidRPr="0059767D">
              <w:rPr>
                <w:rFonts w:cs="Times New Roman"/>
                <w:iCs/>
                <w:sz w:val="20"/>
                <w:szCs w:val="20"/>
              </w:rPr>
              <w:t>Difenoconazole</w:t>
            </w:r>
          </w:p>
        </w:tc>
      </w:tr>
      <w:tr w:rsidR="0059767D" w14:paraId="7F6E535C" w14:textId="77777777" w:rsidTr="000E299F">
        <w:trPr>
          <w:jc w:val="center"/>
        </w:trPr>
        <w:tc>
          <w:tcPr>
            <w:tcW w:w="4106" w:type="dxa"/>
            <w:vAlign w:val="center"/>
          </w:tcPr>
          <w:p w14:paraId="473F4F44" w14:textId="77777777" w:rsidR="0059767D" w:rsidRDefault="0059767D" w:rsidP="00A449AF">
            <w:pPr>
              <w:autoSpaceDE w:val="0"/>
              <w:autoSpaceDN w:val="0"/>
              <w:adjustRightInd w:val="0"/>
              <w:spacing w:before="120" w:after="120" w:line="240" w:lineRule="auto"/>
              <w:rPr>
                <w:rFonts w:cs="Times New Roman"/>
                <w:iCs/>
              </w:rPr>
            </w:pPr>
            <w:r>
              <w:rPr>
                <w:iCs/>
                <w:noProof/>
              </w:rPr>
              <w:drawing>
                <wp:inline distT="0" distB="0" distL="0" distR="0" wp14:anchorId="4680EC81" wp14:editId="0A2E5762">
                  <wp:extent cx="2394000" cy="648000"/>
                  <wp:effectExtent l="0" t="0" r="6350" b="0"/>
                  <wp:docPr id="20" name="Picture 20" descr="Fenpropi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enpropidi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4000" cy="648000"/>
                          </a:xfrm>
                          <a:prstGeom prst="rect">
                            <a:avLst/>
                          </a:prstGeom>
                          <a:noFill/>
                        </pic:spPr>
                      </pic:pic>
                    </a:graphicData>
                  </a:graphic>
                </wp:inline>
              </w:drawing>
            </w:r>
          </w:p>
        </w:tc>
        <w:tc>
          <w:tcPr>
            <w:tcW w:w="3544" w:type="dxa"/>
            <w:vAlign w:val="center"/>
          </w:tcPr>
          <w:p w14:paraId="62D0CDA6" w14:textId="77777777" w:rsidR="0059767D" w:rsidRDefault="0059767D" w:rsidP="00A449AF">
            <w:pPr>
              <w:autoSpaceDE w:val="0"/>
              <w:autoSpaceDN w:val="0"/>
              <w:adjustRightInd w:val="0"/>
              <w:spacing w:before="120" w:after="120" w:line="240" w:lineRule="auto"/>
              <w:rPr>
                <w:rFonts w:cs="Times New Roman"/>
                <w:iCs/>
              </w:rPr>
            </w:pPr>
            <w:r>
              <w:rPr>
                <w:noProof/>
              </w:rPr>
              <w:drawing>
                <wp:inline distT="0" distB="0" distL="0" distR="0" wp14:anchorId="58F6DA83" wp14:editId="03052E8C">
                  <wp:extent cx="2085975" cy="876300"/>
                  <wp:effectExtent l="0" t="0" r="9525" b="0"/>
                  <wp:docPr id="12" name="Picture 12" descr="Difenocon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fenoconazole"/>
                          <pic:cNvPicPr/>
                        </pic:nvPicPr>
                        <pic:blipFill>
                          <a:blip r:embed="rId53"/>
                          <a:stretch>
                            <a:fillRect/>
                          </a:stretch>
                        </pic:blipFill>
                        <pic:spPr>
                          <a:xfrm>
                            <a:off x="0" y="0"/>
                            <a:ext cx="2085975" cy="876300"/>
                          </a:xfrm>
                          <a:prstGeom prst="rect">
                            <a:avLst/>
                          </a:prstGeom>
                        </pic:spPr>
                      </pic:pic>
                    </a:graphicData>
                  </a:graphic>
                </wp:inline>
              </w:drawing>
            </w:r>
          </w:p>
        </w:tc>
      </w:tr>
    </w:tbl>
    <w:p w14:paraId="0CBCE14C" w14:textId="4273E8AE" w:rsidR="0059767D" w:rsidRDefault="000E299F" w:rsidP="0059767D">
      <w:pPr>
        <w:pStyle w:val="APVMAText"/>
      </w:pPr>
      <w:r w:rsidRPr="000E299F">
        <w:t xml:space="preserve">Fenpropidin and difenoconazole </w:t>
      </w:r>
      <w:r>
        <w:t xml:space="preserve">have markedly </w:t>
      </w:r>
      <w:r w:rsidRPr="000E299F">
        <w:t>different chemical structures</w:t>
      </w:r>
      <w:r>
        <w:t>; a</w:t>
      </w:r>
      <w:r w:rsidRPr="000E299F">
        <w:t>lthough th</w:t>
      </w:r>
      <w:r>
        <w:t>eir</w:t>
      </w:r>
      <w:r w:rsidRPr="000E299F">
        <w:t xml:space="preserve"> pesticidal action is based on the disruption of ergosterol synthesis, their pesticidal molecular targets are different.</w:t>
      </w:r>
      <w:r>
        <w:t xml:space="preserve"> Difenoconazole is a demethylation inhibitor (fungicides FRAC group 3), while fenpropidin inhibits the </w:t>
      </w:r>
      <w:r w:rsidRPr="00E408D3">
        <w:t>Δ</w:t>
      </w:r>
      <w:r w:rsidRPr="00E408D3">
        <w:rPr>
          <w:vertAlign w:val="superscript"/>
        </w:rPr>
        <w:t>14</w:t>
      </w:r>
      <w:r>
        <w:noBreakHyphen/>
      </w:r>
      <w:r w:rsidRPr="00E408D3">
        <w:t>reductase and Δ</w:t>
      </w:r>
      <w:r w:rsidRPr="00E408D3">
        <w:rPr>
          <w:vertAlign w:val="superscript"/>
        </w:rPr>
        <w:t>8</w:t>
      </w:r>
      <w:r w:rsidRPr="00E408D3">
        <w:t>→Δ</w:t>
      </w:r>
      <w:r w:rsidRPr="00E408D3">
        <w:rPr>
          <w:vertAlign w:val="superscript"/>
        </w:rPr>
        <w:t>7</w:t>
      </w:r>
      <w:r w:rsidRPr="00E408D3">
        <w:t xml:space="preserve"> isomerase</w:t>
      </w:r>
      <w:r w:rsidR="00C563CE">
        <w:t xml:space="preserve"> in sterol biosynthesis</w:t>
      </w:r>
      <w:r>
        <w:t xml:space="preserve"> (fungicides FRAC group 5). </w:t>
      </w:r>
      <w:r w:rsidR="0059767D">
        <w:t>The acute toxicity of the product is largely predictable, based on the toxicity profile of its constituents. Although acute toxicity studies have limited sensitivity to assess potential toxicity enhancements that may result from a combination of chemicals, taking these results together with above considerations indicates that considerable toxicity enhancement (</w:t>
      </w:r>
      <w:r w:rsidR="0059767D" w:rsidRPr="00C73889">
        <w:t>e.g</w:t>
      </w:r>
      <w:r w:rsidR="0059767D" w:rsidRPr="00545899">
        <w:t>.</w:t>
      </w:r>
      <w:r w:rsidR="00545899">
        <w:t>,</w:t>
      </w:r>
      <w:r w:rsidR="0059767D" w:rsidRPr="00545899">
        <w:t xml:space="preserve"> </w:t>
      </w:r>
      <w:r w:rsidR="0059767D">
        <w:t xml:space="preserve">through synergism or potentiation) is unlikely to result from the combination of fenpropidin and difenoconazole in </w:t>
      </w:r>
      <w:r w:rsidR="00C563CE">
        <w:t>SEEKER Duo</w:t>
      </w:r>
      <w:r w:rsidR="0059767D">
        <w:t xml:space="preserve"> Fungicide.</w:t>
      </w:r>
      <w:r>
        <w:t xml:space="preserve"> Furthermore, i</w:t>
      </w:r>
      <w:r w:rsidR="0059767D">
        <w:t xml:space="preserve">n laboratory animals repeat dose studies, fenpropidin and difenoconazole main targets are different. Liver toxicity, which was essentially negligible in most fenpropidin studies, was generally the most significant finding in difenoconazole studies. On the other hand, irritation/inflammation was the most prominent effect of fenpropidin, while difenoconazole potential for irritation was limited. Therefore, it appears unlikely that fenpropidin and difenoconazole present in </w:t>
      </w:r>
      <w:r w:rsidR="00C563CE">
        <w:t>SEEKER Duo</w:t>
      </w:r>
      <w:r w:rsidR="0059767D">
        <w:t xml:space="preserve"> Fungicide may enhance each other’s effects on these endpoints.</w:t>
      </w:r>
    </w:p>
    <w:p w14:paraId="3509D2BA" w14:textId="78D765A5" w:rsidR="0059767D" w:rsidRDefault="000E299F" w:rsidP="0059767D">
      <w:pPr>
        <w:pStyle w:val="APVMAText"/>
      </w:pPr>
      <w:r>
        <w:t>Conversely</w:t>
      </w:r>
      <w:r w:rsidR="0059767D">
        <w:t xml:space="preserve">, eye lens cataract was observed following repeat dose studies with fenpropidin and/or difenoconazole, and these effects may be related to both fungicides’ general mode of action, </w:t>
      </w:r>
      <w:r w:rsidR="0059767D" w:rsidRPr="00C73889">
        <w:t>i.e</w:t>
      </w:r>
      <w:r w:rsidR="0059767D" w:rsidRPr="000E299F">
        <w:rPr>
          <w:i/>
          <w:iCs/>
        </w:rPr>
        <w:t>.</w:t>
      </w:r>
      <w:r w:rsidR="0059767D">
        <w:t xml:space="preserve"> disruption of sterols metabolism. Therefore, toxicity enhancement that may result from the combination of fenpropidin and difenoconazole in </w:t>
      </w:r>
      <w:r w:rsidR="00C563CE">
        <w:t>SEEKER Duo</w:t>
      </w:r>
      <w:r w:rsidR="0059767D">
        <w:t xml:space="preserve"> Fungicide cannot be excluded for this endpoint. Nevertheless, based on the different chemical structures and fungal molecular targets of fenpropidin and difenoconazole, it is </w:t>
      </w:r>
      <w:r w:rsidR="0059767D">
        <w:lastRenderedPageBreak/>
        <w:t xml:space="preserve">likely that their mammalian molecular targets relevant to the development of cataract are also different. On this basis, APVMA consider plausible that some toxicological effects, especially eye lens cataract, resulting from repeated exposure to the active constituents fenpropidin and difenoconazole in </w:t>
      </w:r>
      <w:r w:rsidR="00C563CE">
        <w:t>SEEKER Duo</w:t>
      </w:r>
      <w:r w:rsidR="0059767D">
        <w:t xml:space="preserve"> Fungicide may be ‘additive’ in nature. However, as cataractous effects were only seen following repeat exposure to fenpropidin and/or difenoconazole</w:t>
      </w:r>
      <w:r w:rsidR="00BA11BE">
        <w:t xml:space="preserve"> in high doses</w:t>
      </w:r>
      <w:r w:rsidR="0059767D">
        <w:t xml:space="preserve">, </w:t>
      </w:r>
      <w:r w:rsidR="00BA11BE">
        <w:t xml:space="preserve">the </w:t>
      </w:r>
      <w:r w:rsidR="0059767D">
        <w:t>human health risk assessment is based on other, more sensitive endpoints.</w:t>
      </w:r>
    </w:p>
    <w:p w14:paraId="122E93C3" w14:textId="23CEF37F" w:rsidR="00A6683A" w:rsidRDefault="00A6683A" w:rsidP="00A6683A">
      <w:pPr>
        <w:pStyle w:val="Heading2"/>
        <w:ind w:left="907" w:hanging="907"/>
      </w:pPr>
      <w:bookmarkStart w:id="193" w:name="_Toc531181096"/>
      <w:bookmarkStart w:id="194" w:name="_Toc7561265"/>
      <w:bookmarkStart w:id="195" w:name="_Toc137198177"/>
      <w:r>
        <w:t>Occupational exposure</w:t>
      </w:r>
      <w:bookmarkEnd w:id="193"/>
      <w:bookmarkEnd w:id="194"/>
      <w:bookmarkEnd w:id="195"/>
    </w:p>
    <w:p w14:paraId="5C63C619" w14:textId="6D26FD46" w:rsidR="00A11036" w:rsidRDefault="00C563CE" w:rsidP="00493EEA">
      <w:pPr>
        <w:pStyle w:val="APVMAText"/>
      </w:pPr>
      <w:r>
        <w:t>SEEKER Duo</w:t>
      </w:r>
      <w:r w:rsidR="00493EEA" w:rsidRPr="0009735B">
        <w:t xml:space="preserve"> Fungicide, containing 375 g/L fenpropidin and 100 g/L difenoconazole in an emulsifiable concentrate (EC) formulation, is intended for the control of powdery mildew (</w:t>
      </w:r>
      <w:r w:rsidR="00493EEA" w:rsidRPr="000E0D1A">
        <w:rPr>
          <w:i/>
          <w:iCs/>
        </w:rPr>
        <w:t xml:space="preserve">Erysiphe </w:t>
      </w:r>
      <w:proofErr w:type="spellStart"/>
      <w:r w:rsidR="00493EEA" w:rsidRPr="000E0D1A">
        <w:rPr>
          <w:i/>
          <w:iCs/>
        </w:rPr>
        <w:t>necator</w:t>
      </w:r>
      <w:proofErr w:type="spellEnd"/>
      <w:r w:rsidR="00493EEA" w:rsidRPr="0009735B">
        <w:t>) in wine grapes.</w:t>
      </w:r>
      <w:r w:rsidR="00A11036">
        <w:t xml:space="preserve"> </w:t>
      </w:r>
      <w:r>
        <w:t>SEEKER Duo</w:t>
      </w:r>
      <w:r w:rsidR="00493EEA" w:rsidRPr="0009735B">
        <w:t xml:space="preserve"> Fungicide will </w:t>
      </w:r>
      <w:r w:rsidR="00A11036">
        <w:t xml:space="preserve">primarily </w:t>
      </w:r>
      <w:r w:rsidR="00493EEA" w:rsidRPr="0009735B">
        <w:t xml:space="preserve">be applied </w:t>
      </w:r>
      <w:r w:rsidR="00A11036">
        <w:t xml:space="preserve">by professionals using </w:t>
      </w:r>
      <w:r w:rsidR="00493EEA" w:rsidRPr="0009735B">
        <w:t>airblast</w:t>
      </w:r>
      <w:r w:rsidR="00686318">
        <w:t xml:space="preserve"> spray equipment</w:t>
      </w:r>
      <w:r w:rsidR="00A11036">
        <w:t xml:space="preserve">, although </w:t>
      </w:r>
      <w:r w:rsidR="00A11036" w:rsidRPr="00A11036">
        <w:t>mechanically pressured handgun/wand and backpack spray</w:t>
      </w:r>
      <w:r w:rsidR="00A11036">
        <w:t>ing</w:t>
      </w:r>
      <w:r w:rsidR="00A11036" w:rsidRPr="00A11036">
        <w:t xml:space="preserve"> equipment</w:t>
      </w:r>
      <w:r w:rsidR="00A11036">
        <w:t xml:space="preserve"> may </w:t>
      </w:r>
      <w:r w:rsidR="00A11036" w:rsidRPr="0009735B">
        <w:t xml:space="preserve">also </w:t>
      </w:r>
      <w:r w:rsidR="00A11036">
        <w:t xml:space="preserve">be </w:t>
      </w:r>
      <w:r w:rsidR="00A11036" w:rsidRPr="0009735B">
        <w:t>employed</w:t>
      </w:r>
      <w:r w:rsidR="00A11036">
        <w:t xml:space="preserve">. Based on the product use instructions, </w:t>
      </w:r>
      <w:r w:rsidR="00A11036" w:rsidRPr="00A11036">
        <w:t xml:space="preserve">the pattern of exposure </w:t>
      </w:r>
      <w:r w:rsidR="00A11036">
        <w:t>was</w:t>
      </w:r>
      <w:r w:rsidR="00A11036" w:rsidRPr="00A11036">
        <w:t xml:space="preserve"> considered to be of short-term duration.</w:t>
      </w:r>
    </w:p>
    <w:p w14:paraId="23BE73A9" w14:textId="68A1F754" w:rsidR="00F920F8" w:rsidRDefault="00F920F8" w:rsidP="00F920F8">
      <w:pPr>
        <w:pStyle w:val="Heading3"/>
      </w:pPr>
      <w:r>
        <w:t xml:space="preserve">Selection of parameters for </w:t>
      </w:r>
      <w:r w:rsidR="00493EEA">
        <w:t>occupational health risk assessment.</w:t>
      </w:r>
    </w:p>
    <w:p w14:paraId="66910806" w14:textId="034A8C02" w:rsidR="000A00BA" w:rsidRDefault="00DD03C2" w:rsidP="00DD03C2">
      <w:pPr>
        <w:pStyle w:val="APVMAText"/>
      </w:pPr>
      <w:r>
        <w:t xml:space="preserve">The </w:t>
      </w:r>
      <w:r w:rsidR="00A11036">
        <w:t xml:space="preserve">APVMA considered unlikely that </w:t>
      </w:r>
      <w:r w:rsidR="00A11036" w:rsidRPr="00C37904">
        <w:t xml:space="preserve">fenpropidin and difenoconazole present in </w:t>
      </w:r>
      <w:r w:rsidR="00C563CE">
        <w:t>SEEKER Duo</w:t>
      </w:r>
      <w:r w:rsidR="00A11036" w:rsidRPr="00C37904">
        <w:t xml:space="preserve"> Fungicide may enhance each other</w:t>
      </w:r>
      <w:r w:rsidR="00A11036">
        <w:t>’s</w:t>
      </w:r>
      <w:r w:rsidR="00A11036" w:rsidRPr="00C37904">
        <w:t xml:space="preserve"> effects on the endpoints</w:t>
      </w:r>
      <w:r w:rsidR="00A11036">
        <w:t xml:space="preserve"> selected for systemic </w:t>
      </w:r>
      <w:r w:rsidR="00CC1D73">
        <w:t xml:space="preserve">and/or local </w:t>
      </w:r>
      <w:r w:rsidR="00A11036">
        <w:t>exposure</w:t>
      </w:r>
      <w:r w:rsidR="00A11036" w:rsidRPr="00A11036">
        <w:t xml:space="preserve"> </w:t>
      </w:r>
      <w:r w:rsidR="00A11036">
        <w:t>risk assessment. Therefore, health risk</w:t>
      </w:r>
      <w:r w:rsidR="000A00BA">
        <w:t>s</w:t>
      </w:r>
      <w:r w:rsidR="00A11036">
        <w:t xml:space="preserve"> resulting from exposure to each </w:t>
      </w:r>
      <w:r w:rsidR="000A00BA">
        <w:t>active constituent were evaluated separately. Furthermore, a</w:t>
      </w:r>
      <w:r w:rsidR="00A11036">
        <w:t xml:space="preserve">ssuming the same level of concern for both ingredients, fenpropidin was considered to drive repeat exposure effects </w:t>
      </w:r>
      <w:r w:rsidR="000A00BA">
        <w:t>(i.e.</w:t>
      </w:r>
      <w:r w:rsidR="00EA7EEA">
        <w:t>,</w:t>
      </w:r>
      <w:r w:rsidR="000A00BA">
        <w:t xml:space="preserve"> conditions resulting in acceptable risks from fenpropidin </w:t>
      </w:r>
      <w:r w:rsidR="00CC1D73">
        <w:t xml:space="preserve">repeat </w:t>
      </w:r>
      <w:r w:rsidR="000A00BA">
        <w:t xml:space="preserve">exposure also result in acceptable risks from difenoconazole repeat exposure) </w:t>
      </w:r>
      <w:r w:rsidR="00A11036">
        <w:t>and the corresponding risk assessment</w:t>
      </w:r>
      <w:r w:rsidR="000A00BA">
        <w:t xml:space="preserve"> is only presented for </w:t>
      </w:r>
      <w:r w:rsidR="00A11036">
        <w:t>fenpropidin</w:t>
      </w:r>
      <w:r w:rsidR="000A00BA">
        <w:t>.</w:t>
      </w:r>
    </w:p>
    <w:p w14:paraId="50A59FD5" w14:textId="74115D80" w:rsidR="000A00BA" w:rsidRDefault="000A00BA" w:rsidP="00DD03C2">
      <w:pPr>
        <w:pStyle w:val="APVMAText"/>
      </w:pPr>
      <w:r>
        <w:t>Considering fenpropidin potential for irritation/inflammation, points of departure (PODs) for fenpropidin occupational health risk assessment were selected for local and systemic effects as follows.</w:t>
      </w:r>
    </w:p>
    <w:p w14:paraId="7CF19D32" w14:textId="34A29F62" w:rsidR="000A00BA" w:rsidRDefault="00FD1609" w:rsidP="00DD03C2">
      <w:pPr>
        <w:pStyle w:val="APVMABullet1"/>
      </w:pPr>
      <w:r>
        <w:t xml:space="preserve">The LOAEL of 0.02 mg/kg </w:t>
      </w:r>
      <w:proofErr w:type="spellStart"/>
      <w:r>
        <w:t>bw</w:t>
      </w:r>
      <w:proofErr w:type="spellEnd"/>
      <w:r>
        <w:t xml:space="preserve">/d resulting from a </w:t>
      </w:r>
      <w:r w:rsidR="000A00BA">
        <w:t xml:space="preserve">23-day rabbit </w:t>
      </w:r>
      <w:r>
        <w:t xml:space="preserve">repeat dermal exposure </w:t>
      </w:r>
      <w:r w:rsidR="000A00BA">
        <w:t>study was selected for local skin effects.</w:t>
      </w:r>
    </w:p>
    <w:p w14:paraId="5C2879CE" w14:textId="0AD3E737" w:rsidR="000A00BA" w:rsidRDefault="000A00BA" w:rsidP="00DD03C2">
      <w:pPr>
        <w:pStyle w:val="APVMABullet1"/>
      </w:pPr>
      <w:r>
        <w:t xml:space="preserve">The </w:t>
      </w:r>
      <w:r w:rsidR="00FD1609">
        <w:t>Lowest Observed Adverse Effect Concentration (</w:t>
      </w:r>
      <w:r>
        <w:t>LOAEC</w:t>
      </w:r>
      <w:r w:rsidR="00FD1609">
        <w:t>)</w:t>
      </w:r>
      <w:r>
        <w:t xml:space="preserve"> of 20 mg/m</w:t>
      </w:r>
      <w:r w:rsidRPr="00FD1609">
        <w:rPr>
          <w:vertAlign w:val="superscript"/>
        </w:rPr>
        <w:t>3</w:t>
      </w:r>
      <w:r>
        <w:t xml:space="preserve"> </w:t>
      </w:r>
      <w:r w:rsidR="00FD1609">
        <w:t xml:space="preserve">resulting from a 28-day rat repeat inhalational study </w:t>
      </w:r>
      <w:r>
        <w:t>was selected for local respiratory tract effects.</w:t>
      </w:r>
    </w:p>
    <w:p w14:paraId="17D5AA62" w14:textId="28B91234" w:rsidR="000A00BA" w:rsidRDefault="00FD1609" w:rsidP="00DD03C2">
      <w:pPr>
        <w:pStyle w:val="APVMABullet1"/>
      </w:pPr>
      <w:r>
        <w:t>The No Observed Adverse Effect Concentration (</w:t>
      </w:r>
      <w:r w:rsidR="000A00BA">
        <w:t>NOAEC</w:t>
      </w:r>
      <w:r>
        <w:t>)</w:t>
      </w:r>
      <w:r w:rsidR="000A00BA">
        <w:t xml:space="preserve"> of 20 mg/m</w:t>
      </w:r>
      <w:r w:rsidR="000A00BA" w:rsidRPr="00FD1609">
        <w:rPr>
          <w:vertAlign w:val="superscript"/>
        </w:rPr>
        <w:t>3</w:t>
      </w:r>
      <w:r w:rsidR="000A00BA">
        <w:t xml:space="preserve"> </w:t>
      </w:r>
      <w:r>
        <w:t xml:space="preserve">resulting from a 28-day rat repeat inhalational study was selected </w:t>
      </w:r>
      <w:r w:rsidR="000A00BA">
        <w:t>for systemic effects resulting from inhalational exposure.</w:t>
      </w:r>
    </w:p>
    <w:p w14:paraId="7AF61D35" w14:textId="558A4E4E" w:rsidR="000A00BA" w:rsidRDefault="00FD1609" w:rsidP="00DD03C2">
      <w:pPr>
        <w:pStyle w:val="APVMABullet1"/>
      </w:pPr>
      <w:r>
        <w:t xml:space="preserve">The </w:t>
      </w:r>
      <w:r w:rsidR="000A00BA">
        <w:t xml:space="preserve">NOAEL of 5 mg/kg </w:t>
      </w:r>
      <w:proofErr w:type="spellStart"/>
      <w:r w:rsidR="000A00BA">
        <w:t>bw</w:t>
      </w:r>
      <w:proofErr w:type="spellEnd"/>
      <w:r w:rsidR="000A00BA">
        <w:t xml:space="preserve">/d </w:t>
      </w:r>
      <w:r>
        <w:t xml:space="preserve">resulting from a 28-day dog repeat oral exposure (capsule) study </w:t>
      </w:r>
      <w:r w:rsidR="000A00BA">
        <w:t>was selected for systemic effects resulting from dermal and/or inhalational exposure.</w:t>
      </w:r>
    </w:p>
    <w:p w14:paraId="4ECB6F84" w14:textId="0E1DD569" w:rsidR="000A00BA" w:rsidRDefault="000A00BA" w:rsidP="000A00BA">
      <w:pPr>
        <w:pStyle w:val="APVMAText"/>
      </w:pPr>
      <w:r>
        <w:t xml:space="preserve">Above PODs are relevant for </w:t>
      </w:r>
      <w:r w:rsidR="00686318">
        <w:t xml:space="preserve">the </w:t>
      </w:r>
      <w:r>
        <w:t>human health risk assessment and collectively, they are protective of all potential effects in humans.</w:t>
      </w:r>
    </w:p>
    <w:p w14:paraId="04AFA79F" w14:textId="47C5FE0C" w:rsidR="00FD1609" w:rsidRDefault="00FD1609" w:rsidP="000A00BA">
      <w:pPr>
        <w:pStyle w:val="APVMAText"/>
      </w:pPr>
      <w:r>
        <w:t xml:space="preserve">When </w:t>
      </w:r>
      <w:r w:rsidRPr="00FD1609">
        <w:t>route-to-route extrapolation was conducted</w:t>
      </w:r>
      <w:r>
        <w:t xml:space="preserve"> (i.e.</w:t>
      </w:r>
      <w:r w:rsidR="00DD03C2">
        <w:t xml:space="preserve"> </w:t>
      </w:r>
      <w:r>
        <w:t xml:space="preserve">to assess the risks of systemic effects from dermal and/or inhalational exposure based on an oral POD), dermal absorption values of 1% and 10% were used for fenpropidin during </w:t>
      </w:r>
      <w:r w:rsidR="00C563CE">
        <w:t>SEEKER Duo</w:t>
      </w:r>
      <w:r>
        <w:t xml:space="preserve"> Fungicide mixing/loading and application, </w:t>
      </w:r>
      <w:r w:rsidR="0089718E">
        <w:t>respectively,</w:t>
      </w:r>
      <w:r>
        <w:t xml:space="preserve"> while </w:t>
      </w:r>
      <w:r w:rsidRPr="00FD1609">
        <w:t>a default inhalation absorption value of 100%</w:t>
      </w:r>
      <w:r>
        <w:t xml:space="preserve"> </w:t>
      </w:r>
      <w:r w:rsidRPr="00FD1609">
        <w:t>was used</w:t>
      </w:r>
      <w:r>
        <w:t xml:space="preserve"> for M/L/A.</w:t>
      </w:r>
    </w:p>
    <w:p w14:paraId="1FE749CD" w14:textId="77777777" w:rsidR="00A6683A" w:rsidRDefault="00A6683A" w:rsidP="00A6683A">
      <w:pPr>
        <w:pStyle w:val="Heading3"/>
      </w:pPr>
      <w:bookmarkStart w:id="196" w:name="_Toc7561266"/>
      <w:r>
        <w:lastRenderedPageBreak/>
        <w:t>Exposure during use</w:t>
      </w:r>
      <w:bookmarkEnd w:id="196"/>
    </w:p>
    <w:p w14:paraId="29F30659" w14:textId="2370C92D" w:rsidR="009A5ACE" w:rsidRDefault="009A5ACE" w:rsidP="009A5ACE">
      <w:pPr>
        <w:pStyle w:val="APVMAText"/>
      </w:pPr>
      <w:r>
        <w:t xml:space="preserve">The US EPA </w:t>
      </w:r>
      <w:r w:rsidRPr="009A5ACE">
        <w:t xml:space="preserve">Occupational Pesticide Handler Exposure Calculator (OPHEC) </w:t>
      </w:r>
      <w:r>
        <w:t xml:space="preserve">was used to estimate workers exposure during M/L/A (US EPA 2021a). </w:t>
      </w:r>
      <w:r w:rsidRPr="00FD1609">
        <w:t>Margin</w:t>
      </w:r>
      <w:r>
        <w:t>s</w:t>
      </w:r>
      <w:r w:rsidRPr="00FD1609">
        <w:t xml:space="preserve"> of Exposure (MOE</w:t>
      </w:r>
      <w:r>
        <w:t>s</w:t>
      </w:r>
      <w:r w:rsidRPr="00FD1609">
        <w:t>)</w:t>
      </w:r>
      <w:r>
        <w:t xml:space="preserve"> were calculated by dividing PODs by the corresponding exposure estimates.</w:t>
      </w:r>
    </w:p>
    <w:p w14:paraId="6F2FA198" w14:textId="2ECC44BC" w:rsidR="009A5ACE" w:rsidRDefault="009A5ACE" w:rsidP="00A6683A">
      <w:pPr>
        <w:pStyle w:val="APVMAText"/>
      </w:pPr>
      <w:r>
        <w:t xml:space="preserve">For local skin effects, </w:t>
      </w:r>
      <w:r w:rsidRPr="009A5ACE">
        <w:t xml:space="preserve">APVMA concluded that </w:t>
      </w:r>
      <w:r>
        <w:t xml:space="preserve">the rabbit LOAEL </w:t>
      </w:r>
      <w:r w:rsidRPr="009A5ACE">
        <w:t>constitutes an acceptable NOAEL for occupational health risk assessment</w:t>
      </w:r>
      <w:r>
        <w:t xml:space="preserve">, based on the excessively stringent conditions of the study (daily exposure of 6 hours under occlusive dressing, test sites left unwashed after undressing) which do not match occupational exposure scenarios, and the mildness of skin effects with no </w:t>
      </w:r>
      <w:r w:rsidRPr="009A5ACE">
        <w:t xml:space="preserve">cumulative skin irritation </w:t>
      </w:r>
      <w:r>
        <w:t xml:space="preserve">observed at this dose in rabbits. </w:t>
      </w:r>
      <w:r w:rsidRPr="009A5ACE">
        <w:t xml:space="preserve">Based on similar sensitivity between rabbit and human for local skin irritation effects (Ishii et al 2013), an interspecies uncertainty factor of 1 was considered acceptable, in agreement with ECETOC (2003). </w:t>
      </w:r>
      <w:r w:rsidR="00686318">
        <w:t>B</w:t>
      </w:r>
      <w:r w:rsidRPr="009A5ACE">
        <w:t>ased on statistical analyses of dose response curves obtained across human populations including both sexes, a variety of disease states and ages, an intraspecies uncertainty factor of 5 for local effects was considered protective of 95% of the population (ECETOC 2003). In conclusion, APVMA considers an interspecies uncertainty factor of 1 and an intraspecies uncertainty factor of 5 (total uncertainty factor of 1 x 5) to be acceptable regarding local effects in the skin, in agreement with ECETOC (2003) recommendations.</w:t>
      </w:r>
      <w:r>
        <w:t xml:space="preserve"> </w:t>
      </w:r>
      <w:r w:rsidRPr="009A5ACE">
        <w:t xml:space="preserve">MOEs ≥ </w:t>
      </w:r>
      <w:r>
        <w:t>5</w:t>
      </w:r>
      <w:r w:rsidRPr="009A5ACE">
        <w:t xml:space="preserve"> were considered acceptable</w:t>
      </w:r>
      <w:r>
        <w:t xml:space="preserve"> for this endpoint</w:t>
      </w:r>
      <w:r w:rsidRPr="009A5ACE">
        <w:t>.</w:t>
      </w:r>
    </w:p>
    <w:p w14:paraId="790FBD08" w14:textId="157EB68B" w:rsidR="009A5ACE" w:rsidRDefault="009A5ACE" w:rsidP="009A5ACE">
      <w:pPr>
        <w:pStyle w:val="APVMAText"/>
      </w:pPr>
      <w:r>
        <w:t xml:space="preserve">For the three other endpoints selected, </w:t>
      </w:r>
      <w:r w:rsidRPr="00FD1609">
        <w:t>MOEs ≥ 100 were considered acceptable.</w:t>
      </w:r>
      <w:r>
        <w:t xml:space="preserve"> </w:t>
      </w:r>
      <w:r w:rsidRPr="00FD1609">
        <w:t xml:space="preserve">This value is based on a </w:t>
      </w:r>
      <w:r w:rsidR="00CC1D73" w:rsidRPr="00FD1609">
        <w:t>10-fold</w:t>
      </w:r>
      <w:r w:rsidRPr="00FD1609">
        <w:t xml:space="preserve"> uncertainty factor (UF) for intra-species and 10</w:t>
      </w:r>
      <w:r w:rsidR="00CC1D73">
        <w:t>-</w:t>
      </w:r>
      <w:r w:rsidRPr="00FD1609">
        <w:t>fold UF for inter-species differences in susceptibility to effects.</w:t>
      </w:r>
    </w:p>
    <w:p w14:paraId="60CC5416" w14:textId="4E51DF2A" w:rsidR="009A5ACE" w:rsidRDefault="009A5ACE" w:rsidP="00A6683A">
      <w:pPr>
        <w:pStyle w:val="APVMAText"/>
      </w:pPr>
      <w:r>
        <w:t xml:space="preserve">Acceptable MOEs were found with all endpoints selected for users complying with the recommended safety directions while handling </w:t>
      </w:r>
      <w:r w:rsidR="00C563CE">
        <w:t>SEEKER Duo</w:t>
      </w:r>
      <w:r w:rsidRPr="009A5ACE">
        <w:t xml:space="preserve"> Fungicide</w:t>
      </w:r>
      <w:r>
        <w:t xml:space="preserve"> according to the proposed </w:t>
      </w:r>
      <w:r w:rsidRPr="009A5ACE">
        <w:t>directions for use</w:t>
      </w:r>
      <w:r>
        <w:t>.</w:t>
      </w:r>
    </w:p>
    <w:p w14:paraId="34783C5C" w14:textId="2BD19FF1" w:rsidR="00A6683A" w:rsidRDefault="00A6683A" w:rsidP="00A6683A">
      <w:pPr>
        <w:pStyle w:val="Heading3"/>
      </w:pPr>
      <w:bookmarkStart w:id="197" w:name="_Toc7561267"/>
      <w:r>
        <w:t>Exposure during re-entry</w:t>
      </w:r>
      <w:bookmarkEnd w:id="197"/>
    </w:p>
    <w:p w14:paraId="1918D48B" w14:textId="1945DA91" w:rsidR="002661B3" w:rsidRDefault="00B56F0B" w:rsidP="00A6683A">
      <w:pPr>
        <w:pStyle w:val="APVMAText"/>
      </w:pPr>
      <w:r>
        <w:t>Dermal</w:t>
      </w:r>
      <w:r w:rsidR="008B6B6D" w:rsidRPr="008B6B6D">
        <w:t xml:space="preserve"> exposure of workers undertaking activities associated with wine grapes maintenance </w:t>
      </w:r>
      <w:r>
        <w:t xml:space="preserve">in vineyards </w:t>
      </w:r>
      <w:r w:rsidR="0064742C">
        <w:t xml:space="preserve">treated with </w:t>
      </w:r>
      <w:r w:rsidR="00C563CE">
        <w:t>SEEKER Duo</w:t>
      </w:r>
      <w:r w:rsidRPr="00B56F0B">
        <w:t xml:space="preserve"> Fungicide </w:t>
      </w:r>
      <w:r w:rsidR="008B6B6D" w:rsidRPr="008B6B6D">
        <w:t xml:space="preserve">was estimated using the US EPA </w:t>
      </w:r>
      <w:r w:rsidR="008B6B6D" w:rsidRPr="008358D2">
        <w:rPr>
          <w:rFonts w:cs="Times New Roman"/>
        </w:rPr>
        <w:t xml:space="preserve">Occupational Pesticide Re-entry Exposure Calculator </w:t>
      </w:r>
      <w:r w:rsidR="008B6B6D" w:rsidRPr="008B6B6D">
        <w:t>(US EPA 2021</w:t>
      </w:r>
      <w:r w:rsidR="008B6B6D">
        <w:t>b</w:t>
      </w:r>
      <w:r w:rsidR="008B6B6D" w:rsidRPr="008B6B6D">
        <w:t>)</w:t>
      </w:r>
      <w:r>
        <w:t xml:space="preserve">, and MOEs were </w:t>
      </w:r>
      <w:r w:rsidR="0064742C">
        <w:t>calculated as detailed above.</w:t>
      </w:r>
      <w:r w:rsidR="002661B3">
        <w:t xml:space="preserve"> Acceptable MOEs were found with the endpoints selected for workers conducting </w:t>
      </w:r>
      <w:r w:rsidR="002661B3" w:rsidRPr="002661B3">
        <w:t>all post-application activities once spray has dried</w:t>
      </w:r>
      <w:r w:rsidR="002661B3">
        <w:t>, with no requirement to wear specific protective equipment.</w:t>
      </w:r>
    </w:p>
    <w:p w14:paraId="1F8A12F7" w14:textId="1771D7FA" w:rsidR="00A6683A" w:rsidRDefault="00A6683A" w:rsidP="00A6683A">
      <w:pPr>
        <w:pStyle w:val="Heading2"/>
        <w:ind w:left="907" w:hanging="907"/>
      </w:pPr>
      <w:bookmarkStart w:id="198" w:name="_Toc531181097"/>
      <w:bookmarkStart w:id="199" w:name="_Toc7561268"/>
      <w:bookmarkStart w:id="200" w:name="_Toc137198178"/>
      <w:r>
        <w:t xml:space="preserve">Public </w:t>
      </w:r>
      <w:bookmarkEnd w:id="198"/>
      <w:bookmarkEnd w:id="199"/>
      <w:r w:rsidR="00E92E3F">
        <w:t>health risk assessment</w:t>
      </w:r>
      <w:bookmarkEnd w:id="200"/>
    </w:p>
    <w:p w14:paraId="0066CBA7" w14:textId="2D71F6B8" w:rsidR="00773E27" w:rsidRDefault="00773E27" w:rsidP="00773E27">
      <w:pPr>
        <w:pStyle w:val="Heading3"/>
      </w:pPr>
      <w:r w:rsidRPr="00773E27">
        <w:t>Bystander risk from spray drift</w:t>
      </w:r>
    </w:p>
    <w:p w14:paraId="438F5697" w14:textId="1DE8C776" w:rsidR="00773E27" w:rsidRDefault="00773E27" w:rsidP="00A6683A">
      <w:pPr>
        <w:pStyle w:val="APVMAText"/>
      </w:pPr>
      <w:r w:rsidRPr="00773E27">
        <w:t xml:space="preserve">Application of </w:t>
      </w:r>
      <w:r w:rsidR="00C563CE">
        <w:t>SEEKER Duo</w:t>
      </w:r>
      <w:r w:rsidRPr="00773E27">
        <w:t xml:space="preserve"> Fungicide by airblast may lead to unintended bystander exposure via chemical spray drift. This may be in the form of a single random exposure or repeat exposure of residents who reside adjacent to areas being treated with the product. Risks from spraying activities were estimated, based on potential risks to toddlers (considered the most sensitive sub population), using the APVMA Spray Drift Risk Assessment Tool</w:t>
      </w:r>
      <w:r w:rsidR="00A629BC">
        <w:t xml:space="preserve"> </w:t>
      </w:r>
      <w:r w:rsidR="00A629BC" w:rsidRPr="00A629BC">
        <w:t>(SDRAT)</w:t>
      </w:r>
      <w:r w:rsidR="00A629BC">
        <w:t>.</w:t>
      </w:r>
    </w:p>
    <w:p w14:paraId="4B9101C2" w14:textId="2AB210FE" w:rsidR="00773E27" w:rsidRDefault="00A629BC" w:rsidP="00A6683A">
      <w:pPr>
        <w:pStyle w:val="APVMAText"/>
      </w:pPr>
      <w:r>
        <w:lastRenderedPageBreak/>
        <w:t>Assessment was conducted against the POD selected for l</w:t>
      </w:r>
      <w:r w:rsidRPr="00A629BC">
        <w:t>ocal skin effects</w:t>
      </w:r>
      <w:r>
        <w:t xml:space="preserve">, as detailed above. </w:t>
      </w:r>
      <w:r w:rsidR="00773E27" w:rsidRPr="00773E27">
        <w:t xml:space="preserve">Resulting RALs </w:t>
      </w:r>
      <w:r w:rsidR="005E0A0E">
        <w:t xml:space="preserve">(regulatory acceptable levels) </w:t>
      </w:r>
      <w:r w:rsidR="00773E27" w:rsidRPr="00773E27">
        <w:t>were 3.</w:t>
      </w:r>
      <w:r w:rsidR="00773E27">
        <w:t>54</w:t>
      </w:r>
      <w:r w:rsidR="00773E27" w:rsidRPr="00773E27">
        <w:t xml:space="preserve"> x 10</w:t>
      </w:r>
      <w:r w:rsidR="00773E27" w:rsidRPr="00773E27">
        <w:rPr>
          <w:vertAlign w:val="superscript"/>
        </w:rPr>
        <w:t>-4</w:t>
      </w:r>
      <w:r w:rsidR="00773E27" w:rsidRPr="00773E27">
        <w:t xml:space="preserve"> and </w:t>
      </w:r>
      <w:r w:rsidR="00773E27">
        <w:t>6.60</w:t>
      </w:r>
      <w:r w:rsidR="00773E27" w:rsidRPr="00773E27">
        <w:t xml:space="preserve"> x 10</w:t>
      </w:r>
      <w:r w:rsidR="00773E27" w:rsidRPr="00773E27">
        <w:rPr>
          <w:vertAlign w:val="superscript"/>
        </w:rPr>
        <w:t>-4</w:t>
      </w:r>
      <w:r w:rsidR="00773E27" w:rsidRPr="00773E27">
        <w:t xml:space="preserve"> mg/cm</w:t>
      </w:r>
      <w:r w:rsidR="00773E27" w:rsidRPr="00773E27">
        <w:rPr>
          <w:vertAlign w:val="superscript"/>
        </w:rPr>
        <w:t>2</w:t>
      </w:r>
      <w:r w:rsidR="00773E27" w:rsidRPr="00773E27">
        <w:t xml:space="preserve"> or </w:t>
      </w:r>
      <w:r w:rsidR="00773E27">
        <w:t>65</w:t>
      </w:r>
      <w:r w:rsidR="00773E27" w:rsidRPr="00773E27">
        <w:t xml:space="preserve"> and </w:t>
      </w:r>
      <w:r w:rsidR="00773E27">
        <w:t>66</w:t>
      </w:r>
      <w:r w:rsidR="00773E27" w:rsidRPr="00773E27">
        <w:t xml:space="preserve"> g/ha for </w:t>
      </w:r>
      <w:proofErr w:type="gramStart"/>
      <w:r w:rsidR="00773E27" w:rsidRPr="00773E27">
        <w:t>1</w:t>
      </w:r>
      <w:r w:rsidR="00DD03C2">
        <w:t xml:space="preserve"> to </w:t>
      </w:r>
      <w:r w:rsidR="00773E27" w:rsidRPr="00773E27">
        <w:t>2</w:t>
      </w:r>
      <w:r w:rsidR="00DD03C2">
        <w:t> </w:t>
      </w:r>
      <w:r w:rsidR="00773E27" w:rsidRPr="00773E27">
        <w:t>year old</w:t>
      </w:r>
      <w:proofErr w:type="gramEnd"/>
      <w:r w:rsidR="00773E27" w:rsidRPr="00773E27">
        <w:t xml:space="preserve"> and 2</w:t>
      </w:r>
      <w:r w:rsidR="00DD03C2">
        <w:t xml:space="preserve"> to </w:t>
      </w:r>
      <w:r w:rsidR="00773E27" w:rsidRPr="00773E27">
        <w:t>3 year old toddlers, respectively.</w:t>
      </w:r>
    </w:p>
    <w:p w14:paraId="07E8EDDB" w14:textId="6F040EA5" w:rsidR="00A629BC" w:rsidRDefault="00A629BC" w:rsidP="00A629BC">
      <w:pPr>
        <w:pStyle w:val="APVMAText"/>
      </w:pPr>
      <w:r>
        <w:t xml:space="preserve">Assessment was also conducted against the oral NOAEL of </w:t>
      </w:r>
      <w:r w:rsidRPr="00A629BC">
        <w:t xml:space="preserve">5 mg/kg </w:t>
      </w:r>
      <w:proofErr w:type="spellStart"/>
      <w:r w:rsidRPr="00A629BC">
        <w:t>bw</w:t>
      </w:r>
      <w:proofErr w:type="spellEnd"/>
      <w:r w:rsidRPr="00A629BC">
        <w:t>/d</w:t>
      </w:r>
      <w:r>
        <w:t xml:space="preserve"> for systemic effects that may result from fenpropidin absorption through </w:t>
      </w:r>
      <w:r w:rsidR="008C1AFE">
        <w:t>toddlers’</w:t>
      </w:r>
      <w:r>
        <w:t xml:space="preserve"> skin (using a dermal absorption value of 10%), and toddlers</w:t>
      </w:r>
      <w:r w:rsidR="00CC1D73">
        <w:t>’</w:t>
      </w:r>
      <w:r>
        <w:t xml:space="preserve"> oral exposure that may result from hand-to-mouth and object-to mouth exposure. </w:t>
      </w:r>
      <w:r w:rsidRPr="00773E27">
        <w:t xml:space="preserve">Resulting RALs were </w:t>
      </w:r>
      <w:r>
        <w:t>1.94</w:t>
      </w:r>
      <w:r w:rsidRPr="00773E27">
        <w:t xml:space="preserve"> x 10</w:t>
      </w:r>
      <w:r w:rsidRPr="00773E27">
        <w:rPr>
          <w:vertAlign w:val="superscript"/>
        </w:rPr>
        <w:t>-</w:t>
      </w:r>
      <w:r>
        <w:rPr>
          <w:vertAlign w:val="superscript"/>
        </w:rPr>
        <w:t>3</w:t>
      </w:r>
      <w:r w:rsidRPr="00773E27">
        <w:t xml:space="preserve"> and </w:t>
      </w:r>
      <w:r>
        <w:t>2.46</w:t>
      </w:r>
      <w:r w:rsidRPr="00773E27">
        <w:t xml:space="preserve"> x 10</w:t>
      </w:r>
      <w:r w:rsidRPr="00773E27">
        <w:rPr>
          <w:vertAlign w:val="superscript"/>
        </w:rPr>
        <w:t>-</w:t>
      </w:r>
      <w:r>
        <w:rPr>
          <w:vertAlign w:val="superscript"/>
        </w:rPr>
        <w:t>3</w:t>
      </w:r>
      <w:r w:rsidRPr="00773E27">
        <w:t xml:space="preserve"> mg/cm</w:t>
      </w:r>
      <w:r w:rsidRPr="00773E27">
        <w:rPr>
          <w:vertAlign w:val="superscript"/>
        </w:rPr>
        <w:t>2</w:t>
      </w:r>
      <w:r w:rsidRPr="00773E27">
        <w:t xml:space="preserve"> or </w:t>
      </w:r>
      <w:r>
        <w:t>194</w:t>
      </w:r>
      <w:r w:rsidRPr="00773E27">
        <w:t xml:space="preserve"> and </w:t>
      </w:r>
      <w:r>
        <w:t>246</w:t>
      </w:r>
      <w:r w:rsidRPr="00773E27">
        <w:t xml:space="preserve"> g/ha for </w:t>
      </w:r>
      <w:proofErr w:type="gramStart"/>
      <w:r w:rsidRPr="00773E27">
        <w:t>1</w:t>
      </w:r>
      <w:r w:rsidR="00DD03C2">
        <w:t xml:space="preserve"> to </w:t>
      </w:r>
      <w:r w:rsidRPr="00773E27">
        <w:t>2 year old</w:t>
      </w:r>
      <w:proofErr w:type="gramEnd"/>
      <w:r w:rsidRPr="00773E27">
        <w:t xml:space="preserve"> and 2</w:t>
      </w:r>
      <w:r w:rsidR="00DD03C2">
        <w:t xml:space="preserve"> to </w:t>
      </w:r>
      <w:r w:rsidRPr="00773E27">
        <w:t>3 year old toddlers, respectively.</w:t>
      </w:r>
    </w:p>
    <w:p w14:paraId="00498E1E" w14:textId="36E63428" w:rsidR="00773E27" w:rsidRDefault="00773E27" w:rsidP="00A6683A">
      <w:pPr>
        <w:pStyle w:val="APVMAText"/>
      </w:pPr>
      <w:r w:rsidRPr="00773E27">
        <w:t>Results from the APVMA Spray Drift Risk Assessment Tool indicate that no buffer zones are required for airblast application on wine grapes.</w:t>
      </w:r>
    </w:p>
    <w:p w14:paraId="02E5A78B" w14:textId="48904CA8" w:rsidR="00A6683A" w:rsidRDefault="00A6683A" w:rsidP="00A6683A">
      <w:pPr>
        <w:pStyle w:val="Heading2"/>
        <w:ind w:left="907" w:hanging="907"/>
      </w:pPr>
      <w:bookmarkStart w:id="201" w:name="_Toc531181098"/>
      <w:bookmarkStart w:id="202" w:name="_Toc7561269"/>
      <w:bookmarkStart w:id="203" w:name="_Toc137198179"/>
      <w:r>
        <w:t>Recommendations</w:t>
      </w:r>
      <w:bookmarkEnd w:id="201"/>
      <w:bookmarkEnd w:id="202"/>
      <w:bookmarkEnd w:id="203"/>
    </w:p>
    <w:p w14:paraId="3F5938D1" w14:textId="42A7C57D" w:rsidR="00A6683A" w:rsidRDefault="00A6683A" w:rsidP="00A6683A">
      <w:pPr>
        <w:pStyle w:val="APVMAText"/>
        <w:rPr>
          <w:szCs w:val="20"/>
        </w:rPr>
      </w:pPr>
      <w:r>
        <w:rPr>
          <w:szCs w:val="20"/>
        </w:rPr>
        <w:t>The following first aid instructions, safety directions</w:t>
      </w:r>
      <w:r w:rsidR="000E0D1A">
        <w:rPr>
          <w:szCs w:val="20"/>
        </w:rPr>
        <w:t xml:space="preserve">, restraints and re-entry statement </w:t>
      </w:r>
      <w:r>
        <w:rPr>
          <w:szCs w:val="20"/>
        </w:rPr>
        <w:t>are recommended for the product label.</w:t>
      </w:r>
    </w:p>
    <w:p w14:paraId="5CE5820B" w14:textId="77777777" w:rsidR="00A6683A" w:rsidRDefault="00A6683A" w:rsidP="00A6683A">
      <w:pPr>
        <w:pStyle w:val="Heading3"/>
      </w:pPr>
      <w:bookmarkStart w:id="204" w:name="_Toc7561270"/>
      <w:r>
        <w:t>First aid instructions</w:t>
      </w:r>
      <w:bookmarkEnd w:id="204"/>
    </w:p>
    <w:p w14:paraId="75A72C2F" w14:textId="02EE19C0" w:rsidR="00A56EB8" w:rsidRDefault="00A56EB8" w:rsidP="00A6683A">
      <w:pPr>
        <w:pStyle w:val="APVMAText"/>
      </w:pPr>
      <w:r w:rsidRPr="00A56EB8">
        <w:t>If poisoning occurs, contact a doctor or Poisons Information Centre. Phone Australia 131126; New Zealand 0800 764 766.</w:t>
      </w:r>
      <w:r>
        <w:t xml:space="preserve"> </w:t>
      </w:r>
      <w:r w:rsidRPr="00A56EB8">
        <w:t>If swallowed, do NOT induce vomiting.</w:t>
      </w:r>
      <w:r>
        <w:t xml:space="preserve"> </w:t>
      </w:r>
      <w:r w:rsidRPr="00A56EB8">
        <w:t>If skin contact occurs, remove contaminated clothing and wash skin thoroughly.</w:t>
      </w:r>
      <w:r>
        <w:t xml:space="preserve"> </w:t>
      </w:r>
      <w:r w:rsidRPr="00A56EB8">
        <w:t>If in eyes, hold eyes open, flood with water for at least 15 minutes and see a doctor.</w:t>
      </w:r>
    </w:p>
    <w:p w14:paraId="76ABAA93" w14:textId="77777777" w:rsidR="00A6683A" w:rsidRDefault="00A6683A" w:rsidP="00A6683A">
      <w:pPr>
        <w:pStyle w:val="Heading3"/>
      </w:pPr>
      <w:bookmarkStart w:id="205" w:name="_Toc7561271"/>
      <w:r>
        <w:t>Safety directions</w:t>
      </w:r>
      <w:bookmarkEnd w:id="205"/>
    </w:p>
    <w:p w14:paraId="14F9F0CE" w14:textId="28951378" w:rsidR="00A56EB8" w:rsidRDefault="00A56EB8" w:rsidP="00A56EB8">
      <w:pPr>
        <w:pStyle w:val="APVMAText"/>
      </w:pPr>
      <w:r w:rsidRPr="00A56EB8">
        <w:t xml:space="preserve">Warning – </w:t>
      </w:r>
      <w:r w:rsidR="00DD03C2">
        <w:t>a</w:t>
      </w:r>
      <w:r w:rsidRPr="00A56EB8">
        <w:t>spiration hazard. This product contains ingredients that may be fatal if swallowed</w:t>
      </w:r>
      <w:r>
        <w:t xml:space="preserve">. Harmful if inhaled. Will damage eyes. Will irritate the nose and throat and skin. Repeated exposure may cause allergic disorders. Do not inhale vapour or spray mist. Avoid contact with eyes and skin. </w:t>
      </w:r>
      <w:r w:rsidRPr="00A56EB8">
        <w:t>When opening the container, preparing spray and using the prepared spray, wear cotton overalls buttoned to the neck and wrist (or equivalent clothing) and a washable hat, elbow-length chemical resistant gloves and face shield</w:t>
      </w:r>
      <w:r>
        <w:t>. Wash hands after use. After each day’s use, wash gloves, face shield and contaminated clothing.</w:t>
      </w:r>
    </w:p>
    <w:p w14:paraId="664C726B" w14:textId="6C81D8FA" w:rsidR="00A6683A" w:rsidRDefault="00A56EB8" w:rsidP="00A6683A">
      <w:pPr>
        <w:pStyle w:val="Heading3"/>
      </w:pPr>
      <w:bookmarkStart w:id="206" w:name="_Toc7561272"/>
      <w:r>
        <w:t>Restraints</w:t>
      </w:r>
      <w:bookmarkEnd w:id="206"/>
    </w:p>
    <w:p w14:paraId="69BAB825" w14:textId="77777777" w:rsidR="00A56EB8" w:rsidRPr="00A56EB8" w:rsidRDefault="00A56EB8" w:rsidP="00A56EB8">
      <w:pPr>
        <w:pStyle w:val="NormalText"/>
        <w:rPr>
          <w:kern w:val="0"/>
          <w:sz w:val="20"/>
        </w:rPr>
      </w:pPr>
      <w:r w:rsidRPr="00A56EB8">
        <w:rPr>
          <w:kern w:val="0"/>
          <w:sz w:val="20"/>
        </w:rPr>
        <w:t>DO NOT use on broken skin, cover any skin wounds with an impermeable dressing before using.</w:t>
      </w:r>
    </w:p>
    <w:p w14:paraId="04C8C4B4" w14:textId="4653CFCF" w:rsidR="00A56EB8" w:rsidRPr="00A56EB8" w:rsidRDefault="00A56EB8" w:rsidP="00A56EB8">
      <w:pPr>
        <w:pStyle w:val="NormalText"/>
        <w:spacing w:before="0"/>
        <w:rPr>
          <w:kern w:val="0"/>
          <w:sz w:val="20"/>
        </w:rPr>
      </w:pPr>
      <w:r w:rsidRPr="00A56EB8">
        <w:rPr>
          <w:kern w:val="0"/>
          <w:sz w:val="20"/>
        </w:rPr>
        <w:t>DO NOT continue using if skin, eye or respiratory irritation occurs.</w:t>
      </w:r>
    </w:p>
    <w:p w14:paraId="252EE8E3" w14:textId="04ED3E16" w:rsidR="00A56EB8" w:rsidRPr="00A56EB8" w:rsidRDefault="00A56EB8" w:rsidP="00A56EB8">
      <w:pPr>
        <w:pStyle w:val="NormalText"/>
        <w:spacing w:before="0"/>
        <w:rPr>
          <w:kern w:val="0"/>
          <w:sz w:val="20"/>
        </w:rPr>
      </w:pPr>
      <w:r w:rsidRPr="00A56EB8">
        <w:rPr>
          <w:kern w:val="0"/>
          <w:sz w:val="20"/>
        </w:rPr>
        <w:t xml:space="preserve">DO NOT apply by </w:t>
      </w:r>
      <w:r w:rsidR="00686318">
        <w:rPr>
          <w:kern w:val="0"/>
          <w:sz w:val="20"/>
        </w:rPr>
        <w:t>aircraft</w:t>
      </w:r>
      <w:r w:rsidRPr="00A56EB8">
        <w:rPr>
          <w:kern w:val="0"/>
          <w:sz w:val="20"/>
        </w:rPr>
        <w:t>.</w:t>
      </w:r>
    </w:p>
    <w:p w14:paraId="13A9087C" w14:textId="29207A21" w:rsidR="00A56EB8" w:rsidRPr="00A56EB8" w:rsidRDefault="00A56EB8" w:rsidP="00A56EB8">
      <w:pPr>
        <w:pStyle w:val="NormalText"/>
        <w:spacing w:before="0"/>
        <w:rPr>
          <w:kern w:val="0"/>
          <w:sz w:val="20"/>
        </w:rPr>
      </w:pPr>
      <w:r w:rsidRPr="00A56EB8">
        <w:rPr>
          <w:kern w:val="0"/>
          <w:sz w:val="20"/>
        </w:rPr>
        <w:t>DO NOT apply more than one (1) application per season.</w:t>
      </w:r>
    </w:p>
    <w:p w14:paraId="56B7437A" w14:textId="5C26C46A" w:rsidR="00A56EB8" w:rsidRPr="00A56EB8" w:rsidRDefault="00A56EB8" w:rsidP="00A56EB8">
      <w:pPr>
        <w:pStyle w:val="NormalText"/>
        <w:rPr>
          <w:kern w:val="0"/>
          <w:sz w:val="20"/>
        </w:rPr>
      </w:pPr>
      <w:r w:rsidRPr="00A56EB8">
        <w:rPr>
          <w:kern w:val="0"/>
          <w:sz w:val="20"/>
        </w:rPr>
        <w:t xml:space="preserve">DO NOT apply later than 80% </w:t>
      </w:r>
      <w:proofErr w:type="spellStart"/>
      <w:r w:rsidRPr="00A56EB8">
        <w:rPr>
          <w:kern w:val="0"/>
          <w:sz w:val="20"/>
        </w:rPr>
        <w:t>capfall</w:t>
      </w:r>
      <w:proofErr w:type="spellEnd"/>
      <w:r w:rsidRPr="00A56EB8">
        <w:rPr>
          <w:kern w:val="0"/>
          <w:sz w:val="20"/>
        </w:rPr>
        <w:t xml:space="preserve"> (E-L 25).</w:t>
      </w:r>
    </w:p>
    <w:p w14:paraId="5426694B" w14:textId="564A0361" w:rsidR="000E299F" w:rsidRDefault="00A56EB8" w:rsidP="00A56EB8">
      <w:pPr>
        <w:pStyle w:val="NormalText"/>
      </w:pPr>
      <w:r w:rsidRPr="00A56EB8">
        <w:rPr>
          <w:kern w:val="0"/>
          <w:sz w:val="20"/>
        </w:rPr>
        <w:lastRenderedPageBreak/>
        <w:t>DO NOT allow bystanders to come into contact with the spray cloud</w:t>
      </w:r>
      <w:r>
        <w:t>.</w:t>
      </w:r>
    </w:p>
    <w:p w14:paraId="46E75D18" w14:textId="1F752B99" w:rsidR="00A56EB8" w:rsidRDefault="00A56EB8" w:rsidP="00A56EB8">
      <w:pPr>
        <w:pStyle w:val="Heading3"/>
      </w:pPr>
      <w:r>
        <w:t>Re-entry statement</w:t>
      </w:r>
    </w:p>
    <w:p w14:paraId="7A18BB28" w14:textId="77777777" w:rsidR="00DD03C2" w:rsidRDefault="00A56EB8" w:rsidP="000E299F">
      <w:pPr>
        <w:pStyle w:val="NormalText"/>
        <w:rPr>
          <w:sz w:val="20"/>
          <w:szCs w:val="20"/>
        </w:rPr>
        <w:sectPr w:rsidR="00DD03C2">
          <w:headerReference w:type="even" r:id="rId54"/>
          <w:headerReference w:type="default" r:id="rId55"/>
          <w:pgSz w:w="11906" w:h="16838" w:code="9"/>
          <w:pgMar w:top="2835" w:right="1134" w:bottom="1134" w:left="1134" w:header="1701" w:footer="680" w:gutter="0"/>
          <w:cols w:space="708"/>
          <w:docGrid w:linePitch="360"/>
        </w:sectPr>
      </w:pPr>
      <w:r w:rsidRPr="0028200B">
        <w:rPr>
          <w:sz w:val="20"/>
          <w:szCs w:val="20"/>
        </w:rPr>
        <w:t>DO NOT enter treated areas until the spray has dried, unless wearing cotton overalls buttoned to the neck and wrist (or equivalent clothing) and chemical resistant gloves. Clothing must be laundered after each day’s use.</w:t>
      </w:r>
    </w:p>
    <w:p w14:paraId="2F2ED702" w14:textId="77777777" w:rsidR="002F7868" w:rsidRDefault="002F7868" w:rsidP="002F7868">
      <w:pPr>
        <w:pStyle w:val="Heading1"/>
        <w:tabs>
          <w:tab w:val="num" w:pos="907"/>
        </w:tabs>
        <w:ind w:left="907" w:hanging="907"/>
      </w:pPr>
      <w:bookmarkStart w:id="207" w:name="_Toc531181099"/>
      <w:bookmarkStart w:id="208" w:name="_Toc7561273"/>
      <w:bookmarkStart w:id="209" w:name="_Toc137198180"/>
      <w:r>
        <w:lastRenderedPageBreak/>
        <w:t>Environmental assessment</w:t>
      </w:r>
      <w:bookmarkEnd w:id="207"/>
      <w:bookmarkEnd w:id="208"/>
      <w:bookmarkEnd w:id="209"/>
    </w:p>
    <w:p w14:paraId="4FD8D5E1" w14:textId="77777777" w:rsidR="002F7868" w:rsidRDefault="002F7868" w:rsidP="002F7868">
      <w:pPr>
        <w:pStyle w:val="Heading2"/>
        <w:ind w:left="907" w:hanging="907"/>
        <w:rPr>
          <w:lang w:val="en-GB"/>
        </w:rPr>
      </w:pPr>
      <w:bookmarkStart w:id="210" w:name="_Toc531181100"/>
      <w:bookmarkStart w:id="211" w:name="_Toc7561274"/>
      <w:bookmarkStart w:id="212" w:name="_Toc137198181"/>
      <w:r>
        <w:rPr>
          <w:lang w:val="en-GB"/>
        </w:rPr>
        <w:t>Fate and behaviour in the environment</w:t>
      </w:r>
      <w:bookmarkEnd w:id="210"/>
      <w:bookmarkEnd w:id="211"/>
      <w:bookmarkEnd w:id="212"/>
    </w:p>
    <w:p w14:paraId="4C91F0C7" w14:textId="77777777" w:rsidR="002F7868" w:rsidRDefault="002F7868" w:rsidP="002F7868">
      <w:pPr>
        <w:pStyle w:val="Heading3"/>
        <w:rPr>
          <w:lang w:val="en-GB"/>
        </w:rPr>
      </w:pPr>
      <w:bookmarkStart w:id="213" w:name="_Toc7561275"/>
      <w:r>
        <w:rPr>
          <w:lang w:val="en-GB"/>
        </w:rPr>
        <w:t>Soil</w:t>
      </w:r>
      <w:bookmarkEnd w:id="213"/>
    </w:p>
    <w:p w14:paraId="29586D19" w14:textId="44AD7F6F" w:rsidR="00BD282A" w:rsidRDefault="00BD282A" w:rsidP="00BD282A">
      <w:pPr>
        <w:pStyle w:val="APVMAText"/>
      </w:pPr>
      <w:r>
        <w:t>Fenpropidin is resistant to photolysis on soil, and to anaerobic soil metabolism. The aerobic soil metabolism half</w:t>
      </w:r>
      <w:r>
        <w:rPr>
          <w:rFonts w:ascii="Cambria Math" w:hAnsi="Cambria Math" w:cs="Cambria Math"/>
        </w:rPr>
        <w:t>‐</w:t>
      </w:r>
      <w:r>
        <w:t>lives ranged 9.5</w:t>
      </w:r>
      <w:r w:rsidR="00DD03C2">
        <w:t xml:space="preserve"> to </w:t>
      </w:r>
      <w:r>
        <w:t>155 days (</w:t>
      </w:r>
      <w:r w:rsidR="00DD03C2">
        <w:t>4</w:t>
      </w:r>
      <w:r>
        <w:t xml:space="preserve"> soils). Degradation was indicative of a single first order (SFO) decline in all soils. With the exception of CO</w:t>
      </w:r>
      <w:r w:rsidRPr="00BD282A">
        <w:rPr>
          <w:vertAlign w:val="subscript"/>
        </w:rPr>
        <w:t>2</w:t>
      </w:r>
      <w:r>
        <w:t>, no metabolite exceeded 5% AR. Mineralisation was extensive with CO</w:t>
      </w:r>
      <w:r w:rsidRPr="00BD282A">
        <w:rPr>
          <w:vertAlign w:val="subscript"/>
        </w:rPr>
        <w:t>2</w:t>
      </w:r>
      <w:r>
        <w:t xml:space="preserve"> reaching 16</w:t>
      </w:r>
      <w:r w:rsidR="00DD03C2">
        <w:t xml:space="preserve">% to </w:t>
      </w:r>
      <w:r>
        <w:t xml:space="preserve">32% AR after </w:t>
      </w:r>
      <w:r w:rsidR="00DD03C2">
        <w:t>3</w:t>
      </w:r>
      <w:r>
        <w:t xml:space="preserve"> months and 60</w:t>
      </w:r>
      <w:r w:rsidR="00DD03C2">
        <w:t xml:space="preserve">% to </w:t>
      </w:r>
      <w:r>
        <w:t>63% AR after 12 months. Bound residues were 8.9</w:t>
      </w:r>
      <w:r w:rsidR="00DD03C2">
        <w:t>% to </w:t>
      </w:r>
      <w:r>
        <w:t xml:space="preserve">19% after </w:t>
      </w:r>
      <w:r w:rsidR="00DD03C2">
        <w:t>3</w:t>
      </w:r>
      <w:r>
        <w:t xml:space="preserve"> months and &lt;17% after 12 months.</w:t>
      </w:r>
    </w:p>
    <w:p w14:paraId="405E1167" w14:textId="259AEF46" w:rsidR="00BD282A" w:rsidRDefault="00BD282A" w:rsidP="00BD282A">
      <w:pPr>
        <w:pStyle w:val="APVMAText"/>
      </w:pPr>
      <w:r>
        <w:t xml:space="preserve">The minor soil metabolite CGA289267 (max 4.6%) was applied as test substance to </w:t>
      </w:r>
      <w:r w:rsidR="00DD03C2">
        <w:t>3</w:t>
      </w:r>
      <w:r>
        <w:t xml:space="preserve"> laboratory soils. Single first-order DT</w:t>
      </w:r>
      <w:r w:rsidRPr="00BD282A">
        <w:rPr>
          <w:vertAlign w:val="subscript"/>
        </w:rPr>
        <w:t>50</w:t>
      </w:r>
      <w:r>
        <w:t xml:space="preserve"> values from these studies were calculated to be 9.5</w:t>
      </w:r>
      <w:r w:rsidR="00DD03C2">
        <w:t xml:space="preserve"> to </w:t>
      </w:r>
      <w:r>
        <w:t>63 days.</w:t>
      </w:r>
    </w:p>
    <w:p w14:paraId="73CE7488" w14:textId="7D99A4EE" w:rsidR="00BD282A" w:rsidRDefault="00BD282A" w:rsidP="00BD282A">
      <w:pPr>
        <w:pStyle w:val="APVMAText"/>
      </w:pPr>
      <w:r>
        <w:t xml:space="preserve">The sorption of fenpropidin was tested in 11 soils. Tests were variable in terms of </w:t>
      </w:r>
      <w:proofErr w:type="spellStart"/>
      <w:r>
        <w:t>soil:solution</w:t>
      </w:r>
      <w:proofErr w:type="spellEnd"/>
      <w:r>
        <w:t xml:space="preserve"> ratios and tested concentrations. There was no correlation between sorption and organic carbon. Sorption was dependent on concentration (average 1/n 0.76). Based on the variability, the median K</w:t>
      </w:r>
      <w:r w:rsidRPr="00BD282A">
        <w:rPr>
          <w:vertAlign w:val="subscript"/>
        </w:rPr>
        <w:t>F</w:t>
      </w:r>
      <w:r>
        <w:t xml:space="preserve"> of 44 mL/g was determined to be appropriate for risk assessment, regardless of soil organic carbon.</w:t>
      </w:r>
    </w:p>
    <w:p w14:paraId="5259769F" w14:textId="2149742A" w:rsidR="00BD282A" w:rsidRDefault="00BD282A" w:rsidP="00BD282A">
      <w:pPr>
        <w:pStyle w:val="APVMAText"/>
      </w:pPr>
      <w:r>
        <w:t xml:space="preserve">Sorption of the minor soil metabolite CGA289267 was tested in </w:t>
      </w:r>
      <w:r w:rsidR="00DD03C2">
        <w:t>5</w:t>
      </w:r>
      <w:r>
        <w:t xml:space="preserve"> soils. This metabolite was mobile with K</w:t>
      </w:r>
      <w:r w:rsidRPr="00BD282A">
        <w:rPr>
          <w:vertAlign w:val="subscript"/>
        </w:rPr>
        <w:t>F</w:t>
      </w:r>
      <w:r>
        <w:t xml:space="preserve"> values ranging 0.6</w:t>
      </w:r>
      <w:r w:rsidR="00DD03C2">
        <w:t xml:space="preserve"> to </w:t>
      </w:r>
      <w:r>
        <w:t>4.1 L/kg with an average 1/n of 0.93. The low mobility of fenpropidin and potential mobility of CGA289267 were confirmed by the results of laboratory unaged (7 soils) and aged (3 soils) column leaching studies.</w:t>
      </w:r>
    </w:p>
    <w:p w14:paraId="15CEEC8B" w14:textId="34D611BF" w:rsidR="002F7868" w:rsidRDefault="00BD282A" w:rsidP="00BD282A">
      <w:pPr>
        <w:pStyle w:val="APVMAText"/>
        <w:rPr>
          <w:lang w:val="en-GB"/>
        </w:rPr>
      </w:pPr>
      <w:r>
        <w:t xml:space="preserve">Field soil dissipation studies (bare soil) were provided from </w:t>
      </w:r>
      <w:r w:rsidR="00DD03C2">
        <w:t>6</w:t>
      </w:r>
      <w:r>
        <w:t xml:space="preserve"> sites located in Switzerland and Germany. Dissipation was generally described by single first order kinetics (</w:t>
      </w:r>
      <w:r w:rsidR="00DD03C2">
        <w:t>4</w:t>
      </w:r>
      <w:r>
        <w:t xml:space="preserve"> sites) but was biphasic at </w:t>
      </w:r>
      <w:r w:rsidR="00DD03C2">
        <w:t>2</w:t>
      </w:r>
      <w:r>
        <w:t xml:space="preserve"> sites. Model DT</w:t>
      </w:r>
      <w:r w:rsidRPr="00BD282A">
        <w:rPr>
          <w:vertAlign w:val="subscript"/>
        </w:rPr>
        <w:t>50</w:t>
      </w:r>
      <w:r>
        <w:t xml:space="preserve"> values ranged 7.0</w:t>
      </w:r>
      <w:r w:rsidR="00DD03C2">
        <w:t xml:space="preserve"> to </w:t>
      </w:r>
      <w:r>
        <w:t xml:space="preserve">116 days at </w:t>
      </w:r>
      <w:r w:rsidR="00DD03C2">
        <w:t>5</w:t>
      </w:r>
      <w:r>
        <w:t xml:space="preserve"> sites. At one site, the overall DT</w:t>
      </w:r>
      <w:r w:rsidRPr="00BD282A">
        <w:rPr>
          <w:vertAlign w:val="subscript"/>
        </w:rPr>
        <w:t>50</w:t>
      </w:r>
      <w:r>
        <w:t xml:space="preserve"> was 38 days, but due to the biphasic nature of degradation, the slow rate DT</w:t>
      </w:r>
      <w:r w:rsidRPr="00BD282A">
        <w:rPr>
          <w:vertAlign w:val="subscript"/>
        </w:rPr>
        <w:t>50</w:t>
      </w:r>
      <w:r>
        <w:t xml:space="preserve"> was calculated to be 1</w:t>
      </w:r>
      <w:r w:rsidR="00DD03C2">
        <w:t>,</w:t>
      </w:r>
      <w:r>
        <w:t>180 days. Residues of fenpropidin were &lt;0.05 mg/kg in soil layers deeper than 5 cm or &lt;0.02 mg/kg in soil layers deeper than 10 cm when this was the shallowest upper depth segment analysed in a trial.</w:t>
      </w:r>
    </w:p>
    <w:p w14:paraId="3E5559B4" w14:textId="3D20AB60" w:rsidR="002F7868" w:rsidRDefault="002F7868" w:rsidP="002F7868">
      <w:pPr>
        <w:pStyle w:val="Heading3"/>
        <w:rPr>
          <w:lang w:val="en-GB"/>
        </w:rPr>
      </w:pPr>
      <w:bookmarkStart w:id="214" w:name="_Toc7561276"/>
      <w:r>
        <w:rPr>
          <w:lang w:val="en-GB"/>
        </w:rPr>
        <w:t>Water</w:t>
      </w:r>
      <w:bookmarkEnd w:id="214"/>
      <w:r w:rsidR="00BD282A">
        <w:rPr>
          <w:lang w:val="en-GB"/>
        </w:rPr>
        <w:t xml:space="preserve"> and sediment</w:t>
      </w:r>
    </w:p>
    <w:p w14:paraId="39C454AE" w14:textId="77777777" w:rsidR="00BD282A" w:rsidRDefault="00BD282A" w:rsidP="00BD282A">
      <w:pPr>
        <w:pStyle w:val="APVMAText"/>
      </w:pPr>
      <w:r>
        <w:t>Fenpropidin was stable under sterile aqueous hydrolysis conditions at 50°</w:t>
      </w:r>
      <w:proofErr w:type="spellStart"/>
      <w:r>
        <w:t>C at</w:t>
      </w:r>
      <w:proofErr w:type="spellEnd"/>
      <w:r>
        <w:t xml:space="preserve"> pH 3, 7 and 9. Measurement of the UV/visible absorption spectrum of aqueous solutions of fenpropidin indicated that direct aqueous photolysis of fenpropidin would not be expected due to the absence of any significant absorption over the relevant wavelengths for sunlight (&gt;290 nm). A ready biodegradability test (OECD 301B) indicated that fenpropidin is ‘not readily biodegradable’.</w:t>
      </w:r>
    </w:p>
    <w:p w14:paraId="6B5F139F" w14:textId="6E7286FE" w:rsidR="002F7868" w:rsidRDefault="00BD282A" w:rsidP="00BD282A">
      <w:pPr>
        <w:pStyle w:val="APVMAText"/>
        <w:rPr>
          <w:lang w:val="en-GB"/>
        </w:rPr>
      </w:pPr>
      <w:r>
        <w:t>In water/sediment studies (four systems) fenpropidin dissipated rapidly from the water partitioning to sediment with DT</w:t>
      </w:r>
      <w:r w:rsidRPr="00BD282A">
        <w:rPr>
          <w:vertAlign w:val="subscript"/>
        </w:rPr>
        <w:t>50</w:t>
      </w:r>
      <w:r>
        <w:t xml:space="preserve"> values ranging 1.0</w:t>
      </w:r>
      <w:r w:rsidR="00DD03C2">
        <w:t xml:space="preserve"> to </w:t>
      </w:r>
      <w:r>
        <w:t>5.9 days (geomean 2.1 days). Degradation in sediment subsequently occurred with single first order whole system DT</w:t>
      </w:r>
      <w:r w:rsidRPr="00BD282A">
        <w:rPr>
          <w:vertAlign w:val="subscript"/>
        </w:rPr>
        <w:t>50</w:t>
      </w:r>
      <w:r>
        <w:t xml:space="preserve"> being calculated as 77</w:t>
      </w:r>
      <w:r w:rsidR="00DD03C2">
        <w:t xml:space="preserve"> to </w:t>
      </w:r>
      <w:r>
        <w:t xml:space="preserve">183 days (geomean 41 days). The metabolite CGA289267 was identified and present at maxima of 27% AR at </w:t>
      </w:r>
      <w:r>
        <w:lastRenderedPageBreak/>
        <w:t>30</w:t>
      </w:r>
      <w:r w:rsidR="00DD03C2">
        <w:t> </w:t>
      </w:r>
      <w:r>
        <w:t>days after treatment accounting for 19% AR in water and 7.8% AR in sediment. The terminal metabolite CO</w:t>
      </w:r>
      <w:r w:rsidRPr="00BD282A">
        <w:rPr>
          <w:vertAlign w:val="subscript"/>
        </w:rPr>
        <w:t>2</w:t>
      </w:r>
      <w:r>
        <w:t xml:space="preserve"> accounted for up to 60% of the benzylic bridge-</w:t>
      </w:r>
      <w:r w:rsidRPr="00BD282A">
        <w:rPr>
          <w:vertAlign w:val="superscript"/>
        </w:rPr>
        <w:t>14</w:t>
      </w:r>
      <w:r>
        <w:t>C-radiolabel by 84 days.</w:t>
      </w:r>
    </w:p>
    <w:p w14:paraId="3980B4AC" w14:textId="77777777" w:rsidR="002F7868" w:rsidRDefault="002F7868" w:rsidP="002F7868">
      <w:pPr>
        <w:pStyle w:val="Heading3"/>
        <w:rPr>
          <w:lang w:val="en-GB"/>
        </w:rPr>
      </w:pPr>
      <w:bookmarkStart w:id="215" w:name="_Toc7561277"/>
      <w:r>
        <w:rPr>
          <w:lang w:val="en-GB"/>
        </w:rPr>
        <w:t>Air</w:t>
      </w:r>
      <w:bookmarkEnd w:id="215"/>
    </w:p>
    <w:p w14:paraId="199FF258" w14:textId="481052F1" w:rsidR="002F7868" w:rsidRDefault="00BD282A" w:rsidP="002F7868">
      <w:pPr>
        <w:pStyle w:val="APVMAText"/>
        <w:rPr>
          <w:lang w:val="en-GB"/>
        </w:rPr>
      </w:pPr>
      <w:r w:rsidRPr="00BD282A">
        <w:t>Fenpropidin is highly volatile (0.017 Pa) and may exhibit volatility from soil and foliage following application. Based on a range of testing conditions in wind tunnels (different crops, application rates, wind speeds, humidity, etc</w:t>
      </w:r>
      <w:r w:rsidR="001E5408">
        <w:t>.</w:t>
      </w:r>
      <w:r w:rsidRPr="00BD282A">
        <w:t>), deposition downwind resulting from volatility ranged from 0.19</w:t>
      </w:r>
      <w:r w:rsidR="00DD03C2">
        <w:t xml:space="preserve"> to </w:t>
      </w:r>
      <w:r w:rsidRPr="00BD282A">
        <w:t>1.9% at 1 metre to 0.04</w:t>
      </w:r>
      <w:r w:rsidR="00DD03C2">
        <w:t xml:space="preserve">% to </w:t>
      </w:r>
      <w:r w:rsidRPr="00BD282A">
        <w:t>0.25% at 20 metres. Based on a global annual average 24-hour concentration of 1.5 × 10</w:t>
      </w:r>
      <w:r w:rsidRPr="00BD282A">
        <w:rPr>
          <w:vertAlign w:val="superscript"/>
        </w:rPr>
        <w:t>6</w:t>
      </w:r>
      <w:r w:rsidRPr="00BD282A">
        <w:t xml:space="preserve"> OH-radicals/cm³, reaction with hydroxyl radicals and a 12-hour day, the atmospheric DT</w:t>
      </w:r>
      <w:r w:rsidRPr="00BD282A">
        <w:rPr>
          <w:vertAlign w:val="subscript"/>
        </w:rPr>
        <w:t>50</w:t>
      </w:r>
      <w:r w:rsidRPr="00BD282A">
        <w:t xml:space="preserve"> was calculated to be 0.042 days.</w:t>
      </w:r>
    </w:p>
    <w:p w14:paraId="606935CD" w14:textId="2ABC9090" w:rsidR="00BD282A" w:rsidRDefault="00BD282A" w:rsidP="00BD282A">
      <w:pPr>
        <w:pStyle w:val="Heading3"/>
        <w:rPr>
          <w:lang w:val="en-GB"/>
        </w:rPr>
      </w:pPr>
      <w:bookmarkStart w:id="216" w:name="_Toc531181101"/>
      <w:bookmarkStart w:id="217" w:name="_Toc7561278"/>
      <w:r>
        <w:rPr>
          <w:lang w:val="en-GB"/>
        </w:rPr>
        <w:t>Difenoconazole</w:t>
      </w:r>
    </w:p>
    <w:p w14:paraId="3F41D5B6" w14:textId="1EC50C09" w:rsidR="00BD282A" w:rsidRDefault="00BD282A" w:rsidP="00BD282A">
      <w:pPr>
        <w:pStyle w:val="APVMAText"/>
        <w:rPr>
          <w:lang w:val="en-GB"/>
        </w:rPr>
      </w:pPr>
      <w:r w:rsidRPr="00BD282A">
        <w:t>Difenoconazole is persistent in the environment because it is resistant to biodegradation and hydrolysis. It is poorly mobile in soils, and hence is not likely to leach into groundwater. In water-sediment systems, difenoconazole moves rapidly from the water to sediments where</w:t>
      </w:r>
      <w:r w:rsidR="00FE7F63">
        <w:t xml:space="preserve"> it</w:t>
      </w:r>
      <w:r w:rsidRPr="00BD282A">
        <w:t xml:space="preserve"> may be persistent. The low vapour pressure and modelled atmospheric half-life of &lt;2 days for difenoconazole indicate it is not a potential candidate for long range atmospheric transport.</w:t>
      </w:r>
    </w:p>
    <w:p w14:paraId="2820D4DD" w14:textId="77777777" w:rsidR="002F7868" w:rsidRDefault="002F7868" w:rsidP="002F7868">
      <w:pPr>
        <w:pStyle w:val="Heading2"/>
        <w:ind w:left="907" w:hanging="907"/>
        <w:rPr>
          <w:lang w:val="en-GB"/>
        </w:rPr>
      </w:pPr>
      <w:bookmarkStart w:id="218" w:name="_Toc137198182"/>
      <w:r>
        <w:rPr>
          <w:lang w:val="en-GB"/>
        </w:rPr>
        <w:t>Effects and associated risks to non-target species</w:t>
      </w:r>
      <w:bookmarkEnd w:id="216"/>
      <w:bookmarkEnd w:id="217"/>
      <w:bookmarkEnd w:id="218"/>
    </w:p>
    <w:p w14:paraId="0E92F349" w14:textId="77777777" w:rsidR="002F7868" w:rsidRDefault="002F7868" w:rsidP="002F7868">
      <w:pPr>
        <w:pStyle w:val="Heading3"/>
        <w:rPr>
          <w:lang w:val="en-GB"/>
        </w:rPr>
      </w:pPr>
      <w:bookmarkStart w:id="219" w:name="_Toc7561279"/>
      <w:r>
        <w:rPr>
          <w:lang w:val="en-GB"/>
        </w:rPr>
        <w:t>Terrestrial vertebrates</w:t>
      </w:r>
      <w:bookmarkEnd w:id="219"/>
    </w:p>
    <w:p w14:paraId="368BF88F" w14:textId="354ACA62" w:rsidR="002F7868" w:rsidRDefault="00BD282A" w:rsidP="002F7868">
      <w:pPr>
        <w:pStyle w:val="APVMAText"/>
      </w:pPr>
      <w:r w:rsidRPr="00BD282A">
        <w:t>Fenpropidin has moderate toxicity to mammals (geomean LD</w:t>
      </w:r>
      <w:r w:rsidRPr="00BD282A">
        <w:rPr>
          <w:vertAlign w:val="subscript"/>
        </w:rPr>
        <w:t>50</w:t>
      </w:r>
      <w:r w:rsidRPr="00BD282A">
        <w:t xml:space="preserve"> 1</w:t>
      </w:r>
      <w:r w:rsidR="00DD03C2">
        <w:t>,</w:t>
      </w:r>
      <w:r w:rsidRPr="00BD282A">
        <w:t xml:space="preserve">708 mg </w:t>
      </w:r>
      <w:proofErr w:type="spellStart"/>
      <w:r w:rsidRPr="00BD282A">
        <w:t>a</w:t>
      </w:r>
      <w:r w:rsidR="001E5408">
        <w:t>.</w:t>
      </w:r>
      <w:r w:rsidRPr="00BD282A">
        <w:t>c</w:t>
      </w:r>
      <w:r w:rsidR="001E5408">
        <w:t>.</w:t>
      </w:r>
      <w:proofErr w:type="spellEnd"/>
      <w:r w:rsidRPr="00BD282A">
        <w:t xml:space="preserve">/kg </w:t>
      </w:r>
      <w:proofErr w:type="spellStart"/>
      <w:r w:rsidRPr="00BD282A">
        <w:t>bw</w:t>
      </w:r>
      <w:proofErr w:type="spellEnd"/>
      <w:r w:rsidRPr="00BD282A">
        <w:t xml:space="preserve">, </w:t>
      </w:r>
      <w:r w:rsidRPr="00BD282A">
        <w:rPr>
          <w:i/>
          <w:iCs/>
        </w:rPr>
        <w:t>Rattus norvegicus</w:t>
      </w:r>
      <w:r w:rsidRPr="00BD282A">
        <w:t>) and birds (lowest LD</w:t>
      </w:r>
      <w:r w:rsidRPr="00BD282A">
        <w:rPr>
          <w:vertAlign w:val="subscript"/>
        </w:rPr>
        <w:t>50</w:t>
      </w:r>
      <w:r w:rsidRPr="00BD282A">
        <w:t xml:space="preserve"> 431 mg </w:t>
      </w:r>
      <w:proofErr w:type="spellStart"/>
      <w:r w:rsidRPr="00BD282A">
        <w:t>a</w:t>
      </w:r>
      <w:r w:rsidR="001E5408">
        <w:t>.</w:t>
      </w:r>
      <w:r w:rsidRPr="00BD282A">
        <w:t>c</w:t>
      </w:r>
      <w:r w:rsidR="001E5408">
        <w:t>.</w:t>
      </w:r>
      <w:proofErr w:type="spellEnd"/>
      <w:r w:rsidRPr="00BD282A">
        <w:t xml:space="preserve">/kg </w:t>
      </w:r>
      <w:proofErr w:type="spellStart"/>
      <w:r w:rsidRPr="00BD282A">
        <w:t>bw</w:t>
      </w:r>
      <w:proofErr w:type="spellEnd"/>
      <w:r w:rsidRPr="00BD282A">
        <w:t xml:space="preserve">, </w:t>
      </w:r>
      <w:proofErr w:type="spellStart"/>
      <w:r w:rsidRPr="00BD282A">
        <w:rPr>
          <w:i/>
          <w:iCs/>
        </w:rPr>
        <w:t>Colinus</w:t>
      </w:r>
      <w:proofErr w:type="spellEnd"/>
      <w:r w:rsidRPr="00BD282A">
        <w:rPr>
          <w:i/>
          <w:iCs/>
        </w:rPr>
        <w:t xml:space="preserve"> virginianus</w:t>
      </w:r>
      <w:r w:rsidRPr="00BD282A">
        <w:t>). Following short-term dietary exposure, some toxicity was observed in the mallard duck with a LC</w:t>
      </w:r>
      <w:r w:rsidRPr="00BD282A">
        <w:rPr>
          <w:vertAlign w:val="subscript"/>
        </w:rPr>
        <w:t>50</w:t>
      </w:r>
      <w:r w:rsidRPr="00BD282A">
        <w:t xml:space="preserve"> of 3762 mg </w:t>
      </w:r>
      <w:proofErr w:type="spellStart"/>
      <w:r w:rsidRPr="00BD282A">
        <w:t>a</w:t>
      </w:r>
      <w:r w:rsidR="001E5408">
        <w:t>.</w:t>
      </w:r>
      <w:r w:rsidRPr="00BD282A">
        <w:t>c</w:t>
      </w:r>
      <w:r w:rsidR="001E5408">
        <w:t>.</w:t>
      </w:r>
      <w:proofErr w:type="spellEnd"/>
      <w:r w:rsidRPr="00BD282A">
        <w:t xml:space="preserve">/kg diet (NOEL 103 mg </w:t>
      </w:r>
      <w:proofErr w:type="spellStart"/>
      <w:r w:rsidRPr="00BD282A">
        <w:t>a</w:t>
      </w:r>
      <w:r w:rsidR="001E5408">
        <w:t>.</w:t>
      </w:r>
      <w:r w:rsidRPr="00BD282A">
        <w:t>c</w:t>
      </w:r>
      <w:r w:rsidR="001E5408">
        <w:t>.</w:t>
      </w:r>
      <w:proofErr w:type="spellEnd"/>
      <w:r w:rsidRPr="00BD282A">
        <w:t xml:space="preserve">/kg </w:t>
      </w:r>
      <w:proofErr w:type="spellStart"/>
      <w:r w:rsidRPr="00BD282A">
        <w:t>bw</w:t>
      </w:r>
      <w:proofErr w:type="spellEnd"/>
      <w:r w:rsidRPr="00BD282A">
        <w:t xml:space="preserve">/d, </w:t>
      </w:r>
      <w:r w:rsidRPr="00BD282A">
        <w:rPr>
          <w:i/>
          <w:iCs/>
        </w:rPr>
        <w:t>Anas platyrhynchos</w:t>
      </w:r>
      <w:r w:rsidRPr="00BD282A">
        <w:t xml:space="preserve">). In reproductive toxicity tests, a delay in sexual maturation of mammals was observed at doses as low as 60 mg </w:t>
      </w:r>
      <w:proofErr w:type="spellStart"/>
      <w:r w:rsidRPr="00BD282A">
        <w:t>a</w:t>
      </w:r>
      <w:r w:rsidR="001E5408">
        <w:t>.</w:t>
      </w:r>
      <w:r w:rsidRPr="00BD282A">
        <w:t>c</w:t>
      </w:r>
      <w:r w:rsidR="001E5408">
        <w:t>.</w:t>
      </w:r>
      <w:proofErr w:type="spellEnd"/>
      <w:r w:rsidRPr="00BD282A">
        <w:t xml:space="preserve">/kg </w:t>
      </w:r>
      <w:proofErr w:type="spellStart"/>
      <w:r w:rsidRPr="00BD282A">
        <w:t>bw</w:t>
      </w:r>
      <w:proofErr w:type="spellEnd"/>
      <w:r w:rsidRPr="00BD282A">
        <w:t xml:space="preserve">/d (NOEL 11 mg </w:t>
      </w:r>
      <w:proofErr w:type="spellStart"/>
      <w:r w:rsidRPr="00BD282A">
        <w:t>a</w:t>
      </w:r>
      <w:r w:rsidR="001E5408">
        <w:t>.</w:t>
      </w:r>
      <w:r w:rsidRPr="00BD282A">
        <w:t>c</w:t>
      </w:r>
      <w:r w:rsidR="001E5408">
        <w:t>.</w:t>
      </w:r>
      <w:proofErr w:type="spellEnd"/>
      <w:r w:rsidRPr="00BD282A">
        <w:t xml:space="preserve">/kg </w:t>
      </w:r>
      <w:proofErr w:type="spellStart"/>
      <w:r w:rsidRPr="00BD282A">
        <w:t>bw</w:t>
      </w:r>
      <w:proofErr w:type="spellEnd"/>
      <w:r w:rsidRPr="00BD282A">
        <w:t xml:space="preserve">/d, </w:t>
      </w:r>
      <w:r w:rsidRPr="00BD282A">
        <w:rPr>
          <w:i/>
          <w:iCs/>
        </w:rPr>
        <w:t>Rattus norvegicus</w:t>
      </w:r>
      <w:r w:rsidRPr="00BD282A">
        <w:t xml:space="preserve">), reduced number of eggs laid, egg weights, viable embryos, hatched eggs, and 14d survivors was observed at doses as low as 82 mg </w:t>
      </w:r>
      <w:proofErr w:type="spellStart"/>
      <w:r w:rsidRPr="00BD282A">
        <w:t>a</w:t>
      </w:r>
      <w:r w:rsidR="001E5408">
        <w:t>.</w:t>
      </w:r>
      <w:r w:rsidRPr="00BD282A">
        <w:t>c</w:t>
      </w:r>
      <w:r w:rsidR="001E5408">
        <w:t>.</w:t>
      </w:r>
      <w:proofErr w:type="spellEnd"/>
      <w:r w:rsidRPr="00BD282A">
        <w:t xml:space="preserve">/kg </w:t>
      </w:r>
      <w:proofErr w:type="spellStart"/>
      <w:r w:rsidRPr="00BD282A">
        <w:t>bw</w:t>
      </w:r>
      <w:proofErr w:type="spellEnd"/>
      <w:r w:rsidRPr="00BD282A">
        <w:t xml:space="preserve">/d (NOEL 15 mg </w:t>
      </w:r>
      <w:proofErr w:type="spellStart"/>
      <w:r w:rsidRPr="00BD282A">
        <w:t>a</w:t>
      </w:r>
      <w:r w:rsidR="001E5408">
        <w:t>.</w:t>
      </w:r>
      <w:r w:rsidRPr="00BD282A">
        <w:t>c</w:t>
      </w:r>
      <w:r w:rsidR="001E5408">
        <w:t>.</w:t>
      </w:r>
      <w:proofErr w:type="spellEnd"/>
      <w:r w:rsidRPr="00BD282A">
        <w:t xml:space="preserve">/kg </w:t>
      </w:r>
      <w:proofErr w:type="spellStart"/>
      <w:r w:rsidRPr="00BD282A">
        <w:t>bw</w:t>
      </w:r>
      <w:proofErr w:type="spellEnd"/>
      <w:r w:rsidRPr="00BD282A">
        <w:t xml:space="preserve">/d, </w:t>
      </w:r>
      <w:proofErr w:type="spellStart"/>
      <w:r w:rsidRPr="00BD282A">
        <w:rPr>
          <w:i/>
          <w:iCs/>
        </w:rPr>
        <w:t>Colinus</w:t>
      </w:r>
      <w:proofErr w:type="spellEnd"/>
      <w:r w:rsidRPr="00BD282A">
        <w:rPr>
          <w:i/>
          <w:iCs/>
        </w:rPr>
        <w:t xml:space="preserve"> virginianus</w:t>
      </w:r>
      <w:r w:rsidRPr="00BD282A">
        <w:t>).</w:t>
      </w:r>
    </w:p>
    <w:p w14:paraId="7587C97A" w14:textId="23582407" w:rsidR="00BD282A" w:rsidRDefault="00BD282A" w:rsidP="002F7868">
      <w:pPr>
        <w:pStyle w:val="APVMAText"/>
        <w:rPr>
          <w:lang w:val="en-GB"/>
        </w:rPr>
      </w:pPr>
      <w:r>
        <w:rPr>
          <w:lang w:val="en-GB"/>
        </w:rPr>
        <w:t>T</w:t>
      </w:r>
      <w:r w:rsidRPr="00BD282A">
        <w:rPr>
          <w:lang w:val="en-GB"/>
        </w:rPr>
        <w:t xml:space="preserve">he combination product </w:t>
      </w:r>
      <w:r w:rsidR="00C563CE">
        <w:rPr>
          <w:lang w:val="en-GB"/>
        </w:rPr>
        <w:t>SEEKER Duo</w:t>
      </w:r>
      <w:r>
        <w:rPr>
          <w:lang w:val="en-GB"/>
        </w:rPr>
        <w:t xml:space="preserve"> Fungicide </w:t>
      </w:r>
      <w:r w:rsidR="00686318">
        <w:rPr>
          <w:lang w:val="en-GB"/>
        </w:rPr>
        <w:t>w</w:t>
      </w:r>
      <w:r w:rsidRPr="00BD282A">
        <w:rPr>
          <w:lang w:val="en-GB"/>
        </w:rPr>
        <w:t>a</w:t>
      </w:r>
      <w:r>
        <w:rPr>
          <w:lang w:val="en-GB"/>
        </w:rPr>
        <w:t>s</w:t>
      </w:r>
      <w:r w:rsidRPr="00BD282A">
        <w:rPr>
          <w:lang w:val="en-GB"/>
        </w:rPr>
        <w:t xml:space="preserve"> moderately toxic to birds (LD</w:t>
      </w:r>
      <w:r w:rsidRPr="00BD282A">
        <w:rPr>
          <w:vertAlign w:val="subscript"/>
          <w:lang w:val="en-GB"/>
        </w:rPr>
        <w:t>50</w:t>
      </w:r>
      <w:r w:rsidRPr="00BD282A">
        <w:rPr>
          <w:lang w:val="en-GB"/>
        </w:rPr>
        <w:t xml:space="preserve"> 593 mg </w:t>
      </w:r>
      <w:proofErr w:type="spellStart"/>
      <w:r w:rsidRPr="00BD282A">
        <w:rPr>
          <w:lang w:val="en-GB"/>
        </w:rPr>
        <w:t>ac</w:t>
      </w:r>
      <w:r>
        <w:rPr>
          <w:lang w:val="en-GB"/>
        </w:rPr>
        <w:t>s</w:t>
      </w:r>
      <w:proofErr w:type="spellEnd"/>
      <w:r w:rsidRPr="00BD282A">
        <w:rPr>
          <w:lang w:val="en-GB"/>
        </w:rPr>
        <w:t xml:space="preserve">/kg </w:t>
      </w:r>
      <w:proofErr w:type="spellStart"/>
      <w:r w:rsidRPr="00BD282A">
        <w:rPr>
          <w:lang w:val="en-GB"/>
        </w:rPr>
        <w:t>bw</w:t>
      </w:r>
      <w:proofErr w:type="spellEnd"/>
      <w:r w:rsidRPr="00BD282A">
        <w:rPr>
          <w:lang w:val="en-GB"/>
        </w:rPr>
        <w:t xml:space="preserve">, </w:t>
      </w:r>
      <w:proofErr w:type="spellStart"/>
      <w:r w:rsidRPr="00BD282A">
        <w:rPr>
          <w:i/>
          <w:iCs/>
          <w:lang w:val="en-GB"/>
        </w:rPr>
        <w:t>Colinus</w:t>
      </w:r>
      <w:proofErr w:type="spellEnd"/>
      <w:r w:rsidRPr="00BD282A">
        <w:rPr>
          <w:i/>
          <w:iCs/>
          <w:lang w:val="en-GB"/>
        </w:rPr>
        <w:t xml:space="preserve"> virginianus</w:t>
      </w:r>
      <w:r w:rsidRPr="00BD282A">
        <w:rPr>
          <w:lang w:val="en-GB"/>
        </w:rPr>
        <w:t>).</w:t>
      </w:r>
    </w:p>
    <w:p w14:paraId="15E56B54" w14:textId="4F33F786" w:rsidR="00BD282A" w:rsidRDefault="00BD282A" w:rsidP="002F7868">
      <w:pPr>
        <w:pStyle w:val="APVMAText"/>
        <w:rPr>
          <w:lang w:val="en-GB"/>
        </w:rPr>
      </w:pPr>
      <w:r w:rsidRPr="00BD282A">
        <w:rPr>
          <w:lang w:val="en-GB"/>
        </w:rPr>
        <w:t xml:space="preserve">Risks of </w:t>
      </w:r>
      <w:r w:rsidR="00C563CE">
        <w:rPr>
          <w:lang w:val="en-GB"/>
        </w:rPr>
        <w:t>SEEKER Duo</w:t>
      </w:r>
      <w:r>
        <w:rPr>
          <w:lang w:val="en-GB"/>
        </w:rPr>
        <w:t xml:space="preserve"> Herbicide</w:t>
      </w:r>
      <w:r w:rsidRPr="00BD282A">
        <w:rPr>
          <w:lang w:val="en-GB"/>
        </w:rPr>
        <w:t xml:space="preserve"> to terrestrial vertebrates were determined to be acceptable </w:t>
      </w:r>
      <w:r>
        <w:rPr>
          <w:lang w:val="en-GB"/>
        </w:rPr>
        <w:t>assuming</w:t>
      </w:r>
      <w:r w:rsidRPr="00BD282A">
        <w:rPr>
          <w:lang w:val="en-GB"/>
        </w:rPr>
        <w:t xml:space="preserve"> direct dietary exposure within the treatment area at the maximum </w:t>
      </w:r>
      <w:r>
        <w:rPr>
          <w:lang w:val="en-GB"/>
        </w:rPr>
        <w:t xml:space="preserve">seasonal </w:t>
      </w:r>
      <w:r w:rsidRPr="00BD282A">
        <w:rPr>
          <w:lang w:val="en-GB"/>
        </w:rPr>
        <w:t xml:space="preserve">rate. No protection statements are </w:t>
      </w:r>
      <w:r>
        <w:rPr>
          <w:lang w:val="en-GB"/>
        </w:rPr>
        <w:t xml:space="preserve">therefore </w:t>
      </w:r>
      <w:r w:rsidRPr="00BD282A">
        <w:rPr>
          <w:lang w:val="en-GB"/>
        </w:rPr>
        <w:t xml:space="preserve">required for </w:t>
      </w:r>
      <w:r>
        <w:rPr>
          <w:lang w:val="en-GB"/>
        </w:rPr>
        <w:t>terrestrial vertebrates</w:t>
      </w:r>
      <w:r w:rsidRPr="00BD282A">
        <w:rPr>
          <w:lang w:val="en-GB"/>
        </w:rPr>
        <w:t>.</w:t>
      </w:r>
    </w:p>
    <w:p w14:paraId="0BCA0EFB" w14:textId="1316379D" w:rsidR="00BD282A" w:rsidRDefault="00BD282A" w:rsidP="002F7868">
      <w:pPr>
        <w:pStyle w:val="APVMAText"/>
        <w:rPr>
          <w:lang w:val="en-GB"/>
        </w:rPr>
      </w:pPr>
      <w:r w:rsidRPr="00BD282A">
        <w:rPr>
          <w:lang w:val="en-GB"/>
        </w:rPr>
        <w:t>The octanol-water partition coefficient for fenpropidin indicates a potential for bioaccumulation. A food chain assessment indicates that any accumulated residues in earthworms or fish will not reach levels harmful to predators under the proposed conditions of use. Based on low potential for accumulation in mammalian tissues, biomagnification is not expected up the food chain.</w:t>
      </w:r>
    </w:p>
    <w:p w14:paraId="32CB52E7" w14:textId="77777777" w:rsidR="002F7868" w:rsidRDefault="002F7868" w:rsidP="002F7868">
      <w:pPr>
        <w:pStyle w:val="Heading3"/>
        <w:rPr>
          <w:lang w:val="en-GB"/>
        </w:rPr>
      </w:pPr>
      <w:bookmarkStart w:id="220" w:name="_Toc7561280"/>
      <w:r>
        <w:rPr>
          <w:lang w:val="en-GB"/>
        </w:rPr>
        <w:lastRenderedPageBreak/>
        <w:t>Aquatic species</w:t>
      </w:r>
      <w:bookmarkEnd w:id="220"/>
    </w:p>
    <w:p w14:paraId="3D38304D" w14:textId="5F7DCB5B" w:rsidR="002F7868" w:rsidRDefault="00BD282A" w:rsidP="002F7868">
      <w:pPr>
        <w:pStyle w:val="APVMAText"/>
      </w:pPr>
      <w:r w:rsidRPr="00BD282A">
        <w:t>Fenpropidin has moderately toxicity to fish (lowest LC</w:t>
      </w:r>
      <w:r w:rsidRPr="00BD282A">
        <w:rPr>
          <w:vertAlign w:val="subscript"/>
        </w:rPr>
        <w:t>50</w:t>
      </w:r>
      <w:r w:rsidRPr="00BD282A">
        <w:t xml:space="preserve"> 1.9 mg </w:t>
      </w:r>
      <w:proofErr w:type="spellStart"/>
      <w:r w:rsidRPr="00BD282A">
        <w:t>a</w:t>
      </w:r>
      <w:r w:rsidR="001E5408">
        <w:t>.</w:t>
      </w:r>
      <w:r w:rsidRPr="00BD282A">
        <w:t>c</w:t>
      </w:r>
      <w:r w:rsidR="001E5408">
        <w:t>.</w:t>
      </w:r>
      <w:proofErr w:type="spellEnd"/>
      <w:r w:rsidRPr="00BD282A">
        <w:t xml:space="preserve">/L, </w:t>
      </w:r>
      <w:r w:rsidRPr="00BD282A">
        <w:rPr>
          <w:i/>
          <w:iCs/>
        </w:rPr>
        <w:t>Lepomis macrochirus</w:t>
      </w:r>
      <w:r w:rsidRPr="00BD282A">
        <w:t>) and aquatic invertebrates (EC</w:t>
      </w:r>
      <w:r w:rsidRPr="00BD282A">
        <w:rPr>
          <w:vertAlign w:val="subscript"/>
        </w:rPr>
        <w:t>50</w:t>
      </w:r>
      <w:r w:rsidRPr="00BD282A">
        <w:t xml:space="preserve"> 0.54 mg </w:t>
      </w:r>
      <w:proofErr w:type="spellStart"/>
      <w:r w:rsidRPr="00BD282A">
        <w:t>a</w:t>
      </w:r>
      <w:r w:rsidR="001E5408">
        <w:t>.</w:t>
      </w:r>
      <w:r w:rsidRPr="00BD282A">
        <w:t>c</w:t>
      </w:r>
      <w:r w:rsidR="001E5408">
        <w:t>.</w:t>
      </w:r>
      <w:proofErr w:type="spellEnd"/>
      <w:r w:rsidRPr="00BD282A">
        <w:t xml:space="preserve">/L, </w:t>
      </w:r>
      <w:r w:rsidRPr="00BD282A">
        <w:rPr>
          <w:i/>
          <w:iCs/>
        </w:rPr>
        <w:t>Daphnia magna</w:t>
      </w:r>
      <w:r w:rsidRPr="00BD282A">
        <w:t>), and high toxicity to algae (lowest E</w:t>
      </w:r>
      <w:r w:rsidRPr="00BD282A">
        <w:rPr>
          <w:vertAlign w:val="subscript"/>
        </w:rPr>
        <w:t>r</w:t>
      </w:r>
      <w:r w:rsidRPr="00BD282A">
        <w:t>C</w:t>
      </w:r>
      <w:r w:rsidRPr="00BD282A">
        <w:rPr>
          <w:vertAlign w:val="subscript"/>
        </w:rPr>
        <w:t>50</w:t>
      </w:r>
      <w:r w:rsidRPr="00BD282A">
        <w:t xml:space="preserve"> 0.0011</w:t>
      </w:r>
      <w:r w:rsidR="00DD03C2">
        <w:t> </w:t>
      </w:r>
      <w:r w:rsidRPr="00BD282A">
        <w:t>mg</w:t>
      </w:r>
      <w:r w:rsidR="00DD03C2">
        <w:t> </w:t>
      </w:r>
      <w:proofErr w:type="spellStart"/>
      <w:r w:rsidRPr="00BD282A">
        <w:t>a</w:t>
      </w:r>
      <w:r w:rsidR="001E5408">
        <w:t>.</w:t>
      </w:r>
      <w:r w:rsidRPr="00BD282A">
        <w:t>c</w:t>
      </w:r>
      <w:r w:rsidR="001E5408">
        <w:t>.</w:t>
      </w:r>
      <w:proofErr w:type="spellEnd"/>
      <w:r w:rsidRPr="00BD282A">
        <w:t xml:space="preserve">/L, </w:t>
      </w:r>
      <w:proofErr w:type="spellStart"/>
      <w:r w:rsidRPr="00BD282A">
        <w:rPr>
          <w:i/>
          <w:iCs/>
        </w:rPr>
        <w:t>Desmodsemus</w:t>
      </w:r>
      <w:proofErr w:type="spellEnd"/>
      <w:r w:rsidRPr="00BD282A">
        <w:rPr>
          <w:i/>
          <w:iCs/>
        </w:rPr>
        <w:t xml:space="preserve"> </w:t>
      </w:r>
      <w:proofErr w:type="spellStart"/>
      <w:r w:rsidRPr="00BD282A">
        <w:rPr>
          <w:i/>
          <w:iCs/>
        </w:rPr>
        <w:t>subspicatus</w:t>
      </w:r>
      <w:proofErr w:type="spellEnd"/>
      <w:r w:rsidRPr="00BD282A">
        <w:t>) and aquatic plants (lowest E</w:t>
      </w:r>
      <w:r w:rsidRPr="00BD282A">
        <w:rPr>
          <w:vertAlign w:val="subscript"/>
        </w:rPr>
        <w:t>r</w:t>
      </w:r>
      <w:r w:rsidRPr="00BD282A">
        <w:t>C</w:t>
      </w:r>
      <w:r w:rsidRPr="00BD282A">
        <w:rPr>
          <w:vertAlign w:val="subscript"/>
        </w:rPr>
        <w:t>50</w:t>
      </w:r>
      <w:r w:rsidRPr="00BD282A">
        <w:t xml:space="preserve"> 0.079 mg </w:t>
      </w:r>
      <w:proofErr w:type="spellStart"/>
      <w:r w:rsidRPr="00BD282A">
        <w:t>a</w:t>
      </w:r>
      <w:r w:rsidR="00250F67">
        <w:t>.</w:t>
      </w:r>
      <w:r w:rsidRPr="00BD282A">
        <w:t>c</w:t>
      </w:r>
      <w:r w:rsidR="00250F67">
        <w:t>.</w:t>
      </w:r>
      <w:proofErr w:type="spellEnd"/>
      <w:r w:rsidRPr="00BD282A">
        <w:t xml:space="preserve">/L, </w:t>
      </w:r>
      <w:proofErr w:type="spellStart"/>
      <w:r w:rsidRPr="00BD282A">
        <w:rPr>
          <w:i/>
          <w:iCs/>
        </w:rPr>
        <w:t>Lemna</w:t>
      </w:r>
      <w:proofErr w:type="spellEnd"/>
      <w:r w:rsidRPr="00BD282A">
        <w:rPr>
          <w:i/>
          <w:iCs/>
        </w:rPr>
        <w:t xml:space="preserve"> </w:t>
      </w:r>
      <w:proofErr w:type="spellStart"/>
      <w:r w:rsidRPr="00BD282A">
        <w:rPr>
          <w:i/>
          <w:iCs/>
        </w:rPr>
        <w:t>gibba</w:t>
      </w:r>
      <w:proofErr w:type="spellEnd"/>
      <w:r w:rsidRPr="00BD282A">
        <w:t>). The major metabolite CGA289267 was less toxic to fish, aquatic invertebrates and algae than the parent substance.</w:t>
      </w:r>
    </w:p>
    <w:p w14:paraId="593D76E2" w14:textId="4B6B3AF8" w:rsidR="00BD282A" w:rsidRDefault="00BD282A" w:rsidP="002F7868">
      <w:pPr>
        <w:pStyle w:val="APVMAText"/>
        <w:rPr>
          <w:lang w:val="en-GB"/>
        </w:rPr>
      </w:pPr>
      <w:r w:rsidRPr="00BD282A">
        <w:rPr>
          <w:lang w:val="en-GB"/>
        </w:rPr>
        <w:t>Following chronic exposure</w:t>
      </w:r>
      <w:r>
        <w:rPr>
          <w:lang w:val="en-GB"/>
        </w:rPr>
        <w:t xml:space="preserve"> to fenpropidin</w:t>
      </w:r>
      <w:r w:rsidRPr="00BD282A">
        <w:rPr>
          <w:lang w:val="en-GB"/>
        </w:rPr>
        <w:t xml:space="preserve">, reduced growth of fish in the early life stages was observed at concentrations as low as 0.010 mg </w:t>
      </w:r>
      <w:proofErr w:type="spellStart"/>
      <w:r w:rsidRPr="00BD282A">
        <w:rPr>
          <w:lang w:val="en-GB"/>
        </w:rPr>
        <w:t>a</w:t>
      </w:r>
      <w:r w:rsidR="00250F67">
        <w:rPr>
          <w:lang w:val="en-GB"/>
        </w:rPr>
        <w:t>.</w:t>
      </w:r>
      <w:r w:rsidRPr="00BD282A">
        <w:rPr>
          <w:lang w:val="en-GB"/>
        </w:rPr>
        <w:t>c</w:t>
      </w:r>
      <w:r w:rsidR="00250F67">
        <w:rPr>
          <w:lang w:val="en-GB"/>
        </w:rPr>
        <w:t>.</w:t>
      </w:r>
      <w:proofErr w:type="spellEnd"/>
      <w:r w:rsidRPr="00BD282A">
        <w:rPr>
          <w:lang w:val="en-GB"/>
        </w:rPr>
        <w:t xml:space="preserve">/L (NOEC 0.0038 mg </w:t>
      </w:r>
      <w:proofErr w:type="spellStart"/>
      <w:r w:rsidRPr="00BD282A">
        <w:rPr>
          <w:lang w:val="en-GB"/>
        </w:rPr>
        <w:t>a</w:t>
      </w:r>
      <w:r w:rsidR="00250F67">
        <w:rPr>
          <w:lang w:val="en-GB"/>
        </w:rPr>
        <w:t>.</w:t>
      </w:r>
      <w:r w:rsidRPr="00BD282A">
        <w:rPr>
          <w:lang w:val="en-GB"/>
        </w:rPr>
        <w:t>c</w:t>
      </w:r>
      <w:r w:rsidR="00250F67">
        <w:rPr>
          <w:lang w:val="en-GB"/>
        </w:rPr>
        <w:t>.</w:t>
      </w:r>
      <w:proofErr w:type="spellEnd"/>
      <w:r w:rsidRPr="00BD282A">
        <w:rPr>
          <w:lang w:val="en-GB"/>
        </w:rPr>
        <w:t xml:space="preserve">/L, </w:t>
      </w:r>
      <w:proofErr w:type="spellStart"/>
      <w:r w:rsidRPr="00BD282A">
        <w:rPr>
          <w:i/>
          <w:iCs/>
          <w:lang w:val="en-GB"/>
        </w:rPr>
        <w:t>Pimephales</w:t>
      </w:r>
      <w:proofErr w:type="spellEnd"/>
      <w:r w:rsidRPr="00BD282A">
        <w:rPr>
          <w:i/>
          <w:iCs/>
          <w:lang w:val="en-GB"/>
        </w:rPr>
        <w:t xml:space="preserve"> </w:t>
      </w:r>
      <w:proofErr w:type="spellStart"/>
      <w:r w:rsidRPr="00BD282A">
        <w:rPr>
          <w:i/>
          <w:iCs/>
          <w:lang w:val="en-GB"/>
        </w:rPr>
        <w:t>promelas</w:t>
      </w:r>
      <w:proofErr w:type="spellEnd"/>
      <w:r w:rsidRPr="00BD282A">
        <w:rPr>
          <w:lang w:val="en-GB"/>
        </w:rPr>
        <w:t xml:space="preserve">), increased mortality of aquatic invertebrates was observed at concentrations as low as 1.0 mg </w:t>
      </w:r>
      <w:proofErr w:type="spellStart"/>
      <w:r w:rsidRPr="00BD282A">
        <w:rPr>
          <w:lang w:val="en-GB"/>
        </w:rPr>
        <w:t>a</w:t>
      </w:r>
      <w:r w:rsidR="00250F67">
        <w:rPr>
          <w:lang w:val="en-GB"/>
        </w:rPr>
        <w:t>.</w:t>
      </w:r>
      <w:r w:rsidRPr="00BD282A">
        <w:rPr>
          <w:lang w:val="en-GB"/>
        </w:rPr>
        <w:t>c</w:t>
      </w:r>
      <w:r w:rsidR="00250F67">
        <w:rPr>
          <w:lang w:val="en-GB"/>
        </w:rPr>
        <w:t>.</w:t>
      </w:r>
      <w:proofErr w:type="spellEnd"/>
      <w:r w:rsidRPr="00BD282A">
        <w:rPr>
          <w:lang w:val="en-GB"/>
        </w:rPr>
        <w:t xml:space="preserve">/L (NOEC 0.32 mg ac/L, </w:t>
      </w:r>
      <w:r w:rsidRPr="00BD282A">
        <w:rPr>
          <w:i/>
          <w:iCs/>
          <w:lang w:val="en-GB"/>
        </w:rPr>
        <w:t>Daphnia magna</w:t>
      </w:r>
      <w:r w:rsidRPr="00BD282A">
        <w:rPr>
          <w:lang w:val="en-GB"/>
        </w:rPr>
        <w:t xml:space="preserve">), and reduced development rate of sediment dwellers was observed at concentrations as low as 2.0 mg </w:t>
      </w:r>
      <w:proofErr w:type="spellStart"/>
      <w:r w:rsidRPr="00BD282A">
        <w:rPr>
          <w:lang w:val="en-GB"/>
        </w:rPr>
        <w:t>a</w:t>
      </w:r>
      <w:r w:rsidR="00250F67">
        <w:rPr>
          <w:lang w:val="en-GB"/>
        </w:rPr>
        <w:t>.</w:t>
      </w:r>
      <w:r w:rsidRPr="00BD282A">
        <w:rPr>
          <w:lang w:val="en-GB"/>
        </w:rPr>
        <w:t>c</w:t>
      </w:r>
      <w:r w:rsidR="00250F67">
        <w:rPr>
          <w:lang w:val="en-GB"/>
        </w:rPr>
        <w:t>.</w:t>
      </w:r>
      <w:proofErr w:type="spellEnd"/>
      <w:r w:rsidRPr="00BD282A">
        <w:rPr>
          <w:lang w:val="en-GB"/>
        </w:rPr>
        <w:t xml:space="preserve">/L or 80 mg </w:t>
      </w:r>
      <w:proofErr w:type="spellStart"/>
      <w:r w:rsidRPr="00BD282A">
        <w:rPr>
          <w:lang w:val="en-GB"/>
        </w:rPr>
        <w:t>a</w:t>
      </w:r>
      <w:r w:rsidR="00250F67">
        <w:rPr>
          <w:lang w:val="en-GB"/>
        </w:rPr>
        <w:t>.</w:t>
      </w:r>
      <w:r w:rsidRPr="00BD282A">
        <w:rPr>
          <w:lang w:val="en-GB"/>
        </w:rPr>
        <w:t>c</w:t>
      </w:r>
      <w:r w:rsidR="00250F67">
        <w:rPr>
          <w:lang w:val="en-GB"/>
        </w:rPr>
        <w:t>.</w:t>
      </w:r>
      <w:proofErr w:type="spellEnd"/>
      <w:r w:rsidRPr="00BD282A">
        <w:rPr>
          <w:lang w:val="en-GB"/>
        </w:rPr>
        <w:t xml:space="preserve">/kg dry sediment (NOEC 1.0 mg </w:t>
      </w:r>
      <w:proofErr w:type="spellStart"/>
      <w:r w:rsidRPr="00BD282A">
        <w:rPr>
          <w:lang w:val="en-GB"/>
        </w:rPr>
        <w:t>a</w:t>
      </w:r>
      <w:r w:rsidR="00250F67">
        <w:rPr>
          <w:lang w:val="en-GB"/>
        </w:rPr>
        <w:t>.</w:t>
      </w:r>
      <w:r w:rsidRPr="00BD282A">
        <w:rPr>
          <w:lang w:val="en-GB"/>
        </w:rPr>
        <w:t>c</w:t>
      </w:r>
      <w:r w:rsidR="00250F67">
        <w:rPr>
          <w:lang w:val="en-GB"/>
        </w:rPr>
        <w:t>.</w:t>
      </w:r>
      <w:proofErr w:type="spellEnd"/>
      <w:r w:rsidRPr="00BD282A">
        <w:rPr>
          <w:lang w:val="en-GB"/>
        </w:rPr>
        <w:t xml:space="preserve">/or 40 mg </w:t>
      </w:r>
      <w:proofErr w:type="spellStart"/>
      <w:r w:rsidRPr="00BD282A">
        <w:rPr>
          <w:lang w:val="en-GB"/>
        </w:rPr>
        <w:t>a</w:t>
      </w:r>
      <w:r w:rsidR="00250F67">
        <w:rPr>
          <w:lang w:val="en-GB"/>
        </w:rPr>
        <w:t>.</w:t>
      </w:r>
      <w:r w:rsidRPr="00BD282A">
        <w:rPr>
          <w:lang w:val="en-GB"/>
        </w:rPr>
        <w:t>c</w:t>
      </w:r>
      <w:r w:rsidR="00250F67">
        <w:rPr>
          <w:lang w:val="en-GB"/>
        </w:rPr>
        <w:t>.</w:t>
      </w:r>
      <w:proofErr w:type="spellEnd"/>
      <w:r w:rsidRPr="00BD282A">
        <w:rPr>
          <w:lang w:val="en-GB"/>
        </w:rPr>
        <w:t xml:space="preserve">/kg dry sediment, </w:t>
      </w:r>
      <w:r w:rsidRPr="00BD282A">
        <w:rPr>
          <w:i/>
          <w:iCs/>
          <w:lang w:val="en-GB"/>
        </w:rPr>
        <w:t xml:space="preserve">Chironomus </w:t>
      </w:r>
      <w:proofErr w:type="spellStart"/>
      <w:r w:rsidRPr="00BD282A">
        <w:rPr>
          <w:i/>
          <w:iCs/>
          <w:lang w:val="en-GB"/>
        </w:rPr>
        <w:t>riparius</w:t>
      </w:r>
      <w:proofErr w:type="spellEnd"/>
      <w:r w:rsidRPr="00BD282A">
        <w:rPr>
          <w:lang w:val="en-GB"/>
        </w:rPr>
        <w:t>).</w:t>
      </w:r>
    </w:p>
    <w:p w14:paraId="7D54651C" w14:textId="012B2074" w:rsidR="00BD282A" w:rsidRDefault="00BD282A" w:rsidP="002F7868">
      <w:pPr>
        <w:pStyle w:val="APVMAText"/>
        <w:rPr>
          <w:lang w:val="en-GB"/>
        </w:rPr>
      </w:pPr>
      <w:r w:rsidRPr="00BD282A">
        <w:rPr>
          <w:lang w:val="en-GB"/>
        </w:rPr>
        <w:t xml:space="preserve">In a higher tier outdoor mesocosm study examining </w:t>
      </w:r>
      <w:r>
        <w:rPr>
          <w:lang w:val="en-GB"/>
        </w:rPr>
        <w:t xml:space="preserve">the effects of fenpropidin on </w:t>
      </w:r>
      <w:r w:rsidRPr="00BD282A">
        <w:rPr>
          <w:lang w:val="en-GB"/>
        </w:rPr>
        <w:t xml:space="preserve">aquatic communities containing phytoplankton, zooplankton, periphyton, macroinvertebrates, macrophytes and fish, the most sensitive effect was depression of green algae </w:t>
      </w:r>
      <w:proofErr w:type="spellStart"/>
      <w:r w:rsidRPr="00BD282A">
        <w:rPr>
          <w:i/>
          <w:iCs/>
          <w:lang w:val="en-GB"/>
        </w:rPr>
        <w:t>Crucigeniella</w:t>
      </w:r>
      <w:proofErr w:type="spellEnd"/>
      <w:r w:rsidRPr="00BD282A">
        <w:rPr>
          <w:i/>
          <w:iCs/>
          <w:lang w:val="en-GB"/>
        </w:rPr>
        <w:t xml:space="preserve"> </w:t>
      </w:r>
      <w:proofErr w:type="spellStart"/>
      <w:r w:rsidRPr="00BD282A">
        <w:rPr>
          <w:i/>
          <w:iCs/>
          <w:lang w:val="en-GB"/>
        </w:rPr>
        <w:t>rectangularis</w:t>
      </w:r>
      <w:proofErr w:type="spellEnd"/>
      <w:r w:rsidRPr="00BD282A">
        <w:rPr>
          <w:lang w:val="en-GB"/>
        </w:rPr>
        <w:t xml:space="preserve"> populations (NOEC 0.13 </w:t>
      </w:r>
      <w:proofErr w:type="spellStart"/>
      <w:r w:rsidRPr="00BD282A">
        <w:rPr>
          <w:lang w:val="en-GB"/>
        </w:rPr>
        <w:t>μg</w:t>
      </w:r>
      <w:proofErr w:type="spellEnd"/>
      <w:r w:rsidRPr="00BD282A">
        <w:rPr>
          <w:lang w:val="en-GB"/>
        </w:rPr>
        <w:t xml:space="preserve"> </w:t>
      </w:r>
      <w:proofErr w:type="spellStart"/>
      <w:r w:rsidRPr="00BD282A">
        <w:rPr>
          <w:lang w:val="en-GB"/>
        </w:rPr>
        <w:t>a</w:t>
      </w:r>
      <w:r w:rsidR="00250F67">
        <w:rPr>
          <w:lang w:val="en-GB"/>
        </w:rPr>
        <w:t>.</w:t>
      </w:r>
      <w:r w:rsidRPr="00BD282A">
        <w:rPr>
          <w:lang w:val="en-GB"/>
        </w:rPr>
        <w:t>c</w:t>
      </w:r>
      <w:r w:rsidR="00250F67">
        <w:rPr>
          <w:lang w:val="en-GB"/>
        </w:rPr>
        <w:t>.</w:t>
      </w:r>
      <w:proofErr w:type="spellEnd"/>
      <w:r w:rsidRPr="00BD282A">
        <w:rPr>
          <w:lang w:val="en-GB"/>
        </w:rPr>
        <w:t xml:space="preserve">/L). The </w:t>
      </w:r>
      <w:r w:rsidR="00686318" w:rsidRPr="00BD282A">
        <w:rPr>
          <w:lang w:val="en-GB"/>
        </w:rPr>
        <w:t>mesocosm</w:t>
      </w:r>
      <w:r w:rsidRPr="00BD282A">
        <w:rPr>
          <w:lang w:val="en-GB"/>
        </w:rPr>
        <w:t xml:space="preserve"> study is the basis of the overall RAL for </w:t>
      </w:r>
      <w:r>
        <w:rPr>
          <w:lang w:val="en-GB"/>
        </w:rPr>
        <w:t xml:space="preserve">fenpropidin in </w:t>
      </w:r>
      <w:r w:rsidRPr="00BD282A">
        <w:rPr>
          <w:lang w:val="en-GB"/>
        </w:rPr>
        <w:t>natural aquatic areas.</w:t>
      </w:r>
    </w:p>
    <w:p w14:paraId="06CA2690" w14:textId="72D46D5F" w:rsidR="00BD282A" w:rsidRDefault="00BD282A" w:rsidP="002F7868">
      <w:pPr>
        <w:pStyle w:val="APVMAText"/>
        <w:rPr>
          <w:lang w:val="en-GB"/>
        </w:rPr>
      </w:pPr>
      <w:r>
        <w:rPr>
          <w:lang w:val="en-GB"/>
        </w:rPr>
        <w:t>T</w:t>
      </w:r>
      <w:r w:rsidRPr="00BD282A">
        <w:rPr>
          <w:lang w:val="en-GB"/>
        </w:rPr>
        <w:t xml:space="preserve">he combination product </w:t>
      </w:r>
      <w:r w:rsidR="00C563CE">
        <w:rPr>
          <w:lang w:val="en-GB"/>
        </w:rPr>
        <w:t>SEEKER Duo</w:t>
      </w:r>
      <w:r>
        <w:rPr>
          <w:lang w:val="en-GB"/>
        </w:rPr>
        <w:t xml:space="preserve"> Fungicide</w:t>
      </w:r>
      <w:r w:rsidRPr="00BD282A">
        <w:rPr>
          <w:lang w:val="en-GB"/>
        </w:rPr>
        <w:t xml:space="preserve"> </w:t>
      </w:r>
      <w:r w:rsidR="00686318">
        <w:rPr>
          <w:lang w:val="en-GB"/>
        </w:rPr>
        <w:t>w</w:t>
      </w:r>
      <w:r w:rsidRPr="00BD282A">
        <w:rPr>
          <w:lang w:val="en-GB"/>
        </w:rPr>
        <w:t>a</w:t>
      </w:r>
      <w:r>
        <w:rPr>
          <w:lang w:val="en-GB"/>
        </w:rPr>
        <w:t>s</w:t>
      </w:r>
      <w:r w:rsidRPr="00BD282A">
        <w:rPr>
          <w:lang w:val="en-GB"/>
        </w:rPr>
        <w:t xml:space="preserve"> </w:t>
      </w:r>
      <w:r>
        <w:rPr>
          <w:lang w:val="en-GB"/>
        </w:rPr>
        <w:t>very toxic to algae (E</w:t>
      </w:r>
      <w:r w:rsidRPr="00BD282A">
        <w:rPr>
          <w:vertAlign w:val="subscript"/>
          <w:lang w:val="en-GB"/>
        </w:rPr>
        <w:t>r</w:t>
      </w:r>
      <w:r>
        <w:rPr>
          <w:lang w:val="en-GB"/>
        </w:rPr>
        <w:t>C</w:t>
      </w:r>
      <w:r w:rsidRPr="00BD282A">
        <w:rPr>
          <w:vertAlign w:val="subscript"/>
          <w:lang w:val="en-GB"/>
        </w:rPr>
        <w:t>50</w:t>
      </w:r>
      <w:r>
        <w:rPr>
          <w:lang w:val="en-GB"/>
        </w:rPr>
        <w:t xml:space="preserve"> 0.00027 mg </w:t>
      </w:r>
      <w:proofErr w:type="spellStart"/>
      <w:r>
        <w:rPr>
          <w:lang w:val="en-GB"/>
        </w:rPr>
        <w:t>acs</w:t>
      </w:r>
      <w:proofErr w:type="spellEnd"/>
      <w:r>
        <w:rPr>
          <w:lang w:val="en-GB"/>
        </w:rPr>
        <w:t xml:space="preserve">/L, </w:t>
      </w:r>
      <w:proofErr w:type="spellStart"/>
      <w:r w:rsidRPr="00BD282A">
        <w:rPr>
          <w:i/>
          <w:iCs/>
          <w:lang w:val="en-GB"/>
        </w:rPr>
        <w:t>Desmodesmus</w:t>
      </w:r>
      <w:proofErr w:type="spellEnd"/>
      <w:r w:rsidRPr="00BD282A">
        <w:rPr>
          <w:i/>
          <w:iCs/>
          <w:lang w:val="en-GB"/>
        </w:rPr>
        <w:t xml:space="preserve"> </w:t>
      </w:r>
      <w:proofErr w:type="spellStart"/>
      <w:r w:rsidRPr="00BD282A">
        <w:rPr>
          <w:i/>
          <w:iCs/>
          <w:lang w:val="en-GB"/>
        </w:rPr>
        <w:t>subspicatus</w:t>
      </w:r>
      <w:proofErr w:type="spellEnd"/>
      <w:r>
        <w:rPr>
          <w:lang w:val="en-GB"/>
        </w:rPr>
        <w:t xml:space="preserve">), and </w:t>
      </w:r>
      <w:r w:rsidRPr="00BD282A">
        <w:rPr>
          <w:lang w:val="en-GB"/>
        </w:rPr>
        <w:t>moderately toxic to fish (LC</w:t>
      </w:r>
      <w:r w:rsidRPr="00BD282A">
        <w:rPr>
          <w:vertAlign w:val="subscript"/>
          <w:lang w:val="en-GB"/>
        </w:rPr>
        <w:t>50</w:t>
      </w:r>
      <w:r w:rsidRPr="00BD282A">
        <w:rPr>
          <w:lang w:val="en-GB"/>
        </w:rPr>
        <w:t xml:space="preserve"> 1.5 mg </w:t>
      </w:r>
      <w:proofErr w:type="spellStart"/>
      <w:r w:rsidRPr="00BD282A">
        <w:rPr>
          <w:lang w:val="en-GB"/>
        </w:rPr>
        <w:t>acs</w:t>
      </w:r>
      <w:proofErr w:type="spellEnd"/>
      <w:r w:rsidRPr="00BD282A">
        <w:rPr>
          <w:lang w:val="en-GB"/>
        </w:rPr>
        <w:t xml:space="preserve">/L, </w:t>
      </w:r>
      <w:r w:rsidRPr="00BD282A">
        <w:rPr>
          <w:i/>
          <w:iCs/>
          <w:lang w:val="en-GB"/>
        </w:rPr>
        <w:t>Oncorhynchus mykiss</w:t>
      </w:r>
      <w:r w:rsidRPr="00BD282A">
        <w:rPr>
          <w:lang w:val="en-GB"/>
        </w:rPr>
        <w:t>)</w:t>
      </w:r>
      <w:r>
        <w:rPr>
          <w:lang w:val="en-GB"/>
        </w:rPr>
        <w:t xml:space="preserve"> and</w:t>
      </w:r>
      <w:r w:rsidRPr="00BD282A">
        <w:rPr>
          <w:lang w:val="en-GB"/>
        </w:rPr>
        <w:t xml:space="preserve"> daphnids (EC</w:t>
      </w:r>
      <w:r w:rsidRPr="00BD282A">
        <w:rPr>
          <w:vertAlign w:val="subscript"/>
          <w:lang w:val="en-GB"/>
        </w:rPr>
        <w:t>50</w:t>
      </w:r>
      <w:r w:rsidRPr="00BD282A">
        <w:rPr>
          <w:lang w:val="en-GB"/>
        </w:rPr>
        <w:t xml:space="preserve"> 0.67 mg </w:t>
      </w:r>
      <w:proofErr w:type="spellStart"/>
      <w:r w:rsidRPr="00BD282A">
        <w:rPr>
          <w:lang w:val="en-GB"/>
        </w:rPr>
        <w:t>acs</w:t>
      </w:r>
      <w:proofErr w:type="spellEnd"/>
      <w:r w:rsidRPr="00BD282A">
        <w:rPr>
          <w:lang w:val="en-GB"/>
        </w:rPr>
        <w:t xml:space="preserve">/L, </w:t>
      </w:r>
      <w:r w:rsidRPr="00BD282A">
        <w:rPr>
          <w:i/>
          <w:iCs/>
          <w:lang w:val="en-GB"/>
        </w:rPr>
        <w:t>Daphnia magna</w:t>
      </w:r>
      <w:r w:rsidRPr="00BD282A">
        <w:rPr>
          <w:lang w:val="en-GB"/>
        </w:rPr>
        <w:t>).</w:t>
      </w:r>
      <w:r>
        <w:rPr>
          <w:lang w:val="en-GB"/>
        </w:rPr>
        <w:t xml:space="preserve"> </w:t>
      </w:r>
      <w:r w:rsidRPr="00BD282A">
        <w:rPr>
          <w:lang w:val="en-GB"/>
        </w:rPr>
        <w:t xml:space="preserve">In the absence of formulation toxicity data, </w:t>
      </w:r>
      <w:r w:rsidR="00C563CE">
        <w:rPr>
          <w:lang w:val="en-GB"/>
        </w:rPr>
        <w:t>SEEKER Duo</w:t>
      </w:r>
      <w:r>
        <w:rPr>
          <w:lang w:val="en-GB"/>
        </w:rPr>
        <w:t xml:space="preserve"> Fungicide</w:t>
      </w:r>
      <w:r w:rsidRPr="00BD282A">
        <w:rPr>
          <w:lang w:val="en-GB"/>
        </w:rPr>
        <w:t xml:space="preserve"> was predicted to be moderately toxic to mysid shrimp (LC</w:t>
      </w:r>
      <w:r w:rsidRPr="00BD282A">
        <w:rPr>
          <w:vertAlign w:val="subscript"/>
          <w:lang w:val="en-GB"/>
        </w:rPr>
        <w:t>50</w:t>
      </w:r>
      <w:r w:rsidRPr="00BD282A">
        <w:rPr>
          <w:lang w:val="en-GB"/>
        </w:rPr>
        <w:t xml:space="preserve"> 0.35 mg </w:t>
      </w:r>
      <w:proofErr w:type="spellStart"/>
      <w:r w:rsidRPr="00BD282A">
        <w:rPr>
          <w:lang w:val="en-GB"/>
        </w:rPr>
        <w:t>acs</w:t>
      </w:r>
      <w:proofErr w:type="spellEnd"/>
      <w:r w:rsidRPr="00BD282A">
        <w:rPr>
          <w:lang w:val="en-GB"/>
        </w:rPr>
        <w:t xml:space="preserve">/L, </w:t>
      </w:r>
      <w:proofErr w:type="spellStart"/>
      <w:r w:rsidRPr="00BD282A">
        <w:rPr>
          <w:i/>
          <w:iCs/>
          <w:lang w:val="en-GB"/>
        </w:rPr>
        <w:t>Americamysis</w:t>
      </w:r>
      <w:proofErr w:type="spellEnd"/>
      <w:r w:rsidRPr="00BD282A">
        <w:rPr>
          <w:i/>
          <w:iCs/>
          <w:lang w:val="en-GB"/>
        </w:rPr>
        <w:t xml:space="preserve"> </w:t>
      </w:r>
      <w:proofErr w:type="spellStart"/>
      <w:r w:rsidRPr="00BD282A">
        <w:rPr>
          <w:i/>
          <w:iCs/>
          <w:lang w:val="en-GB"/>
        </w:rPr>
        <w:t>bahia</w:t>
      </w:r>
      <w:proofErr w:type="spellEnd"/>
      <w:r w:rsidRPr="00BD282A">
        <w:rPr>
          <w:lang w:val="en-GB"/>
        </w:rPr>
        <w:t>) and aquatic plants (EC</w:t>
      </w:r>
      <w:r w:rsidRPr="00BD282A">
        <w:rPr>
          <w:vertAlign w:val="subscript"/>
          <w:lang w:val="en-GB"/>
        </w:rPr>
        <w:t>50</w:t>
      </w:r>
      <w:r w:rsidRPr="00BD282A">
        <w:rPr>
          <w:lang w:val="en-GB"/>
        </w:rPr>
        <w:t xml:space="preserve"> 0.10 mg </w:t>
      </w:r>
      <w:proofErr w:type="spellStart"/>
      <w:r w:rsidRPr="00BD282A">
        <w:rPr>
          <w:lang w:val="en-GB"/>
        </w:rPr>
        <w:t>acs</w:t>
      </w:r>
      <w:proofErr w:type="spellEnd"/>
      <w:r w:rsidRPr="00BD282A">
        <w:rPr>
          <w:lang w:val="en-GB"/>
        </w:rPr>
        <w:t xml:space="preserve">/L, </w:t>
      </w:r>
      <w:proofErr w:type="spellStart"/>
      <w:r w:rsidRPr="00BD282A">
        <w:rPr>
          <w:i/>
          <w:iCs/>
          <w:lang w:val="en-GB"/>
        </w:rPr>
        <w:t>Lemna</w:t>
      </w:r>
      <w:proofErr w:type="spellEnd"/>
      <w:r w:rsidRPr="00BD282A">
        <w:rPr>
          <w:i/>
          <w:iCs/>
          <w:lang w:val="en-GB"/>
        </w:rPr>
        <w:t xml:space="preserve"> </w:t>
      </w:r>
      <w:proofErr w:type="spellStart"/>
      <w:r w:rsidRPr="00BD282A">
        <w:rPr>
          <w:i/>
          <w:iCs/>
          <w:lang w:val="en-GB"/>
        </w:rPr>
        <w:t>gibba</w:t>
      </w:r>
      <w:proofErr w:type="spellEnd"/>
      <w:r w:rsidRPr="00BD282A">
        <w:rPr>
          <w:lang w:val="en-GB"/>
        </w:rPr>
        <w:t>).</w:t>
      </w:r>
    </w:p>
    <w:p w14:paraId="5CE92497" w14:textId="047AFA09" w:rsidR="00BD282A" w:rsidRDefault="00BD282A" w:rsidP="002F7868">
      <w:pPr>
        <w:pStyle w:val="APVMAText"/>
        <w:rPr>
          <w:lang w:val="en-GB"/>
        </w:rPr>
      </w:pPr>
      <w:r>
        <w:rPr>
          <w:lang w:val="en-GB"/>
        </w:rPr>
        <w:t xml:space="preserve">Following chronic exposure to </w:t>
      </w:r>
      <w:r w:rsidR="00C563CE">
        <w:rPr>
          <w:lang w:val="en-GB"/>
        </w:rPr>
        <w:t>SEEKER Duo</w:t>
      </w:r>
      <w:r>
        <w:rPr>
          <w:lang w:val="en-GB"/>
        </w:rPr>
        <w:t xml:space="preserve"> Fungicide, growth of fish in the early life stages was reduced in a dose-dependent manner (EC</w:t>
      </w:r>
      <w:r w:rsidRPr="00BD282A">
        <w:rPr>
          <w:vertAlign w:val="subscript"/>
          <w:lang w:val="en-GB"/>
        </w:rPr>
        <w:t>10</w:t>
      </w:r>
      <w:r>
        <w:rPr>
          <w:lang w:val="en-GB"/>
        </w:rPr>
        <w:t xml:space="preserve"> 0.052 mg </w:t>
      </w:r>
      <w:proofErr w:type="spellStart"/>
      <w:r>
        <w:rPr>
          <w:lang w:val="en-GB"/>
        </w:rPr>
        <w:t>acs</w:t>
      </w:r>
      <w:proofErr w:type="spellEnd"/>
      <w:r>
        <w:rPr>
          <w:lang w:val="en-GB"/>
        </w:rPr>
        <w:t xml:space="preserve">/L, </w:t>
      </w:r>
      <w:r w:rsidRPr="00BD282A">
        <w:rPr>
          <w:i/>
          <w:iCs/>
          <w:lang w:val="en-GB"/>
        </w:rPr>
        <w:t>Oncorhynchus mykiss</w:t>
      </w:r>
      <w:r>
        <w:rPr>
          <w:lang w:val="en-GB"/>
        </w:rPr>
        <w:t xml:space="preserve">), and reproduction of aquatic invertebrates was observed at concentrations as low as 0.15 mg </w:t>
      </w:r>
      <w:proofErr w:type="spellStart"/>
      <w:r>
        <w:rPr>
          <w:lang w:val="en-GB"/>
        </w:rPr>
        <w:t>acs</w:t>
      </w:r>
      <w:proofErr w:type="spellEnd"/>
      <w:r>
        <w:rPr>
          <w:lang w:val="en-GB"/>
        </w:rPr>
        <w:t xml:space="preserve">/L (NOEC 0.048 mg </w:t>
      </w:r>
      <w:proofErr w:type="spellStart"/>
      <w:r>
        <w:rPr>
          <w:lang w:val="en-GB"/>
        </w:rPr>
        <w:t>acs</w:t>
      </w:r>
      <w:proofErr w:type="spellEnd"/>
      <w:r>
        <w:rPr>
          <w:lang w:val="en-GB"/>
        </w:rPr>
        <w:t xml:space="preserve">/L, </w:t>
      </w:r>
      <w:r w:rsidRPr="00BD282A">
        <w:rPr>
          <w:i/>
          <w:iCs/>
          <w:lang w:val="en-GB"/>
        </w:rPr>
        <w:t>Daphnia magna</w:t>
      </w:r>
      <w:r>
        <w:rPr>
          <w:lang w:val="en-GB"/>
        </w:rPr>
        <w:t>).</w:t>
      </w:r>
    </w:p>
    <w:p w14:paraId="42AA0301" w14:textId="622D0B42" w:rsidR="00BD282A" w:rsidRDefault="00C563CE" w:rsidP="002F7868">
      <w:pPr>
        <w:pStyle w:val="APVMAText"/>
        <w:rPr>
          <w:lang w:val="en-GB"/>
        </w:rPr>
      </w:pPr>
      <w:r>
        <w:rPr>
          <w:lang w:val="en-GB"/>
        </w:rPr>
        <w:t>SEEKER Duo</w:t>
      </w:r>
      <w:r w:rsidR="00BD282A">
        <w:rPr>
          <w:lang w:val="en-GB"/>
        </w:rPr>
        <w:t xml:space="preserve"> Fungicide</w:t>
      </w:r>
      <w:r w:rsidR="00BD282A" w:rsidRPr="00BD282A">
        <w:rPr>
          <w:lang w:val="en-GB"/>
        </w:rPr>
        <w:t xml:space="preserve"> and its active constituents are very toxic to </w:t>
      </w:r>
      <w:r w:rsidR="00BD282A">
        <w:rPr>
          <w:lang w:val="en-GB"/>
        </w:rPr>
        <w:t xml:space="preserve">some </w:t>
      </w:r>
      <w:r w:rsidR="00BD282A" w:rsidRPr="00BD282A">
        <w:rPr>
          <w:lang w:val="en-GB"/>
        </w:rPr>
        <w:t>aquatic species</w:t>
      </w:r>
      <w:r w:rsidR="00952DC5">
        <w:rPr>
          <w:lang w:val="en-GB"/>
        </w:rPr>
        <w:t xml:space="preserve"> and</w:t>
      </w:r>
      <w:r w:rsidR="00BD282A" w:rsidRPr="00BD282A">
        <w:rPr>
          <w:lang w:val="en-GB"/>
        </w:rPr>
        <w:t xml:space="preserve"> a protection statement is required on the label to identify the hazard. Spray drift risks to aquatic species were determined to be acceptable provided </w:t>
      </w:r>
      <w:r w:rsidR="00686318">
        <w:rPr>
          <w:lang w:val="en-GB"/>
        </w:rPr>
        <w:t xml:space="preserve">a </w:t>
      </w:r>
      <w:r w:rsidR="00BD282A" w:rsidRPr="00BD282A">
        <w:rPr>
          <w:lang w:val="en-GB"/>
        </w:rPr>
        <w:t>mandatory downwind buffer zone of 55 metres is observed for the protection of natural aquatic areas.</w:t>
      </w:r>
    </w:p>
    <w:p w14:paraId="71179277" w14:textId="77EF3D8B" w:rsidR="00BD282A" w:rsidRDefault="00BD282A" w:rsidP="002F7868">
      <w:pPr>
        <w:pStyle w:val="APVMAText"/>
        <w:rPr>
          <w:lang w:val="en-GB"/>
        </w:rPr>
      </w:pPr>
      <w:r w:rsidRPr="00BD282A">
        <w:rPr>
          <w:lang w:val="en-GB"/>
        </w:rPr>
        <w:t xml:space="preserve">Runoff risks of difenoconazole to aquatic species </w:t>
      </w:r>
      <w:proofErr w:type="gramStart"/>
      <w:r w:rsidRPr="00BD282A">
        <w:rPr>
          <w:lang w:val="en-GB"/>
        </w:rPr>
        <w:t>are considered to be</w:t>
      </w:r>
      <w:proofErr w:type="gramEnd"/>
      <w:r w:rsidRPr="00BD282A">
        <w:rPr>
          <w:lang w:val="en-GB"/>
        </w:rPr>
        <w:t xml:space="preserve"> no greater than the reference product </w:t>
      </w:r>
      <w:r>
        <w:rPr>
          <w:lang w:val="en-GB"/>
        </w:rPr>
        <w:t>Nufarm Digger Herbicide</w:t>
      </w:r>
      <w:r w:rsidRPr="00BD282A">
        <w:rPr>
          <w:lang w:val="en-GB"/>
        </w:rPr>
        <w:t xml:space="preserve"> (</w:t>
      </w:r>
      <w:r w:rsidR="00FB1455">
        <w:rPr>
          <w:lang w:val="en-GB"/>
        </w:rPr>
        <w:t>P</w:t>
      </w:r>
      <w:r w:rsidRPr="00BD282A">
        <w:rPr>
          <w:lang w:val="en-GB"/>
        </w:rPr>
        <w:t xml:space="preserve">roduct no. 65130), which is registered for the same use situation in grapevines at a higher rate. Runoff risks of fenpropidin were determined to be acceptable after considering spatial and temporal characteristics typical of grape growing regions of Australia. General runoff restraints </w:t>
      </w:r>
      <w:r>
        <w:rPr>
          <w:lang w:val="en-GB"/>
        </w:rPr>
        <w:t>are</w:t>
      </w:r>
      <w:r w:rsidRPr="00BD282A">
        <w:rPr>
          <w:lang w:val="en-GB"/>
        </w:rPr>
        <w:t xml:space="preserve"> advised to mitigate the risk of a runoff event soon after application (</w:t>
      </w:r>
      <w:proofErr w:type="gramStart"/>
      <w:r w:rsidRPr="00BD282A">
        <w:rPr>
          <w:lang w:val="en-GB"/>
        </w:rPr>
        <w:t>i</w:t>
      </w:r>
      <w:r w:rsidR="0055178F">
        <w:rPr>
          <w:lang w:val="en-GB"/>
        </w:rPr>
        <w:t>.</w:t>
      </w:r>
      <w:r w:rsidRPr="00BD282A">
        <w:rPr>
          <w:lang w:val="en-GB"/>
        </w:rPr>
        <w:t>e</w:t>
      </w:r>
      <w:r w:rsidR="0055178F">
        <w:rPr>
          <w:lang w:val="en-GB"/>
        </w:rPr>
        <w:t>.</w:t>
      </w:r>
      <w:proofErr w:type="gramEnd"/>
      <w:r w:rsidRPr="00BD282A">
        <w:rPr>
          <w:lang w:val="en-GB"/>
        </w:rPr>
        <w:t xml:space="preserve"> due to heavy storms or irrigation).</w:t>
      </w:r>
    </w:p>
    <w:p w14:paraId="2FA1BF48" w14:textId="7896F195" w:rsidR="002F7868" w:rsidRDefault="002F7868" w:rsidP="002F7868">
      <w:pPr>
        <w:pStyle w:val="Heading3"/>
        <w:rPr>
          <w:lang w:val="en-GB"/>
        </w:rPr>
      </w:pPr>
      <w:bookmarkStart w:id="221" w:name="_Toc7561281"/>
      <w:r>
        <w:rPr>
          <w:lang w:val="en-GB"/>
        </w:rPr>
        <w:t xml:space="preserve">Bees </w:t>
      </w:r>
      <w:bookmarkEnd w:id="221"/>
    </w:p>
    <w:p w14:paraId="6B3407AB" w14:textId="5EA94203" w:rsidR="002F7868" w:rsidRDefault="00BD282A" w:rsidP="002F7868">
      <w:pPr>
        <w:pStyle w:val="APVMAText"/>
      </w:pPr>
      <w:r w:rsidRPr="00BD282A">
        <w:t>Fenpropidin has moderate toxicity to adult bees by contact exposure (LD</w:t>
      </w:r>
      <w:r w:rsidRPr="00BD282A">
        <w:rPr>
          <w:vertAlign w:val="subscript"/>
        </w:rPr>
        <w:t>50</w:t>
      </w:r>
      <w:r w:rsidRPr="00BD282A">
        <w:t xml:space="preserve"> 63 </w:t>
      </w:r>
      <w:proofErr w:type="spellStart"/>
      <w:r w:rsidRPr="00BD282A">
        <w:t>μg</w:t>
      </w:r>
      <w:proofErr w:type="spellEnd"/>
      <w:r w:rsidRPr="00BD282A">
        <w:t xml:space="preserve"> </w:t>
      </w:r>
      <w:proofErr w:type="spellStart"/>
      <w:r w:rsidRPr="00BD282A">
        <w:t>a</w:t>
      </w:r>
      <w:r w:rsidR="0055178F">
        <w:t>.</w:t>
      </w:r>
      <w:r w:rsidRPr="00BD282A">
        <w:t>c</w:t>
      </w:r>
      <w:r w:rsidR="0055178F">
        <w:t>.</w:t>
      </w:r>
      <w:proofErr w:type="spellEnd"/>
      <w:r w:rsidRPr="00BD282A">
        <w:t xml:space="preserve">/bee, </w:t>
      </w:r>
      <w:proofErr w:type="spellStart"/>
      <w:r w:rsidRPr="00BD282A">
        <w:rPr>
          <w:i/>
          <w:iCs/>
        </w:rPr>
        <w:t>Apis</w:t>
      </w:r>
      <w:proofErr w:type="spellEnd"/>
      <w:r w:rsidRPr="00BD282A">
        <w:rPr>
          <w:i/>
          <w:iCs/>
        </w:rPr>
        <w:t xml:space="preserve"> mellifera</w:t>
      </w:r>
      <w:r w:rsidRPr="00BD282A">
        <w:t>) and oral exposure (LD</w:t>
      </w:r>
      <w:r w:rsidRPr="00BD282A">
        <w:rPr>
          <w:vertAlign w:val="subscript"/>
        </w:rPr>
        <w:t>50</w:t>
      </w:r>
      <w:r w:rsidRPr="00BD282A">
        <w:t xml:space="preserve"> 58 </w:t>
      </w:r>
      <w:proofErr w:type="spellStart"/>
      <w:r w:rsidRPr="00BD282A">
        <w:t>μg</w:t>
      </w:r>
      <w:proofErr w:type="spellEnd"/>
      <w:r w:rsidRPr="00BD282A">
        <w:t xml:space="preserve"> </w:t>
      </w:r>
      <w:proofErr w:type="spellStart"/>
      <w:r w:rsidRPr="00BD282A">
        <w:t>a</w:t>
      </w:r>
      <w:r w:rsidR="0055178F">
        <w:t>.</w:t>
      </w:r>
      <w:r w:rsidRPr="00BD282A">
        <w:t>c</w:t>
      </w:r>
      <w:r w:rsidR="0055178F">
        <w:t>.</w:t>
      </w:r>
      <w:proofErr w:type="spellEnd"/>
      <w:r w:rsidRPr="00BD282A">
        <w:t xml:space="preserve">/bee, </w:t>
      </w:r>
      <w:proofErr w:type="spellStart"/>
      <w:r w:rsidRPr="00BD282A">
        <w:rPr>
          <w:i/>
          <w:iCs/>
        </w:rPr>
        <w:t>Apis</w:t>
      </w:r>
      <w:proofErr w:type="spellEnd"/>
      <w:r w:rsidRPr="00BD282A">
        <w:rPr>
          <w:i/>
          <w:iCs/>
        </w:rPr>
        <w:t xml:space="preserve"> mellifera</w:t>
      </w:r>
      <w:r w:rsidRPr="00BD282A">
        <w:t>), and low toxicity to bee larvae (LD</w:t>
      </w:r>
      <w:r w:rsidRPr="00BD282A">
        <w:rPr>
          <w:vertAlign w:val="subscript"/>
        </w:rPr>
        <w:t>50</w:t>
      </w:r>
      <w:r w:rsidRPr="00BD282A">
        <w:t xml:space="preserve"> 100 </w:t>
      </w:r>
      <w:proofErr w:type="spellStart"/>
      <w:r w:rsidRPr="00BD282A">
        <w:t>μg</w:t>
      </w:r>
      <w:proofErr w:type="spellEnd"/>
      <w:r w:rsidRPr="00BD282A">
        <w:t xml:space="preserve"> </w:t>
      </w:r>
      <w:proofErr w:type="spellStart"/>
      <w:r w:rsidRPr="00BD282A">
        <w:t>a</w:t>
      </w:r>
      <w:r w:rsidR="0055178F">
        <w:t>.</w:t>
      </w:r>
      <w:r w:rsidRPr="00BD282A">
        <w:t>c</w:t>
      </w:r>
      <w:r w:rsidR="0055178F">
        <w:t>.</w:t>
      </w:r>
      <w:proofErr w:type="spellEnd"/>
      <w:r w:rsidRPr="00BD282A">
        <w:t xml:space="preserve">/bee, </w:t>
      </w:r>
      <w:proofErr w:type="spellStart"/>
      <w:r w:rsidRPr="00BD282A">
        <w:rPr>
          <w:i/>
          <w:iCs/>
        </w:rPr>
        <w:lastRenderedPageBreak/>
        <w:t>Apis</w:t>
      </w:r>
      <w:proofErr w:type="spellEnd"/>
      <w:r w:rsidRPr="00BD282A">
        <w:rPr>
          <w:i/>
          <w:iCs/>
        </w:rPr>
        <w:t xml:space="preserve"> mellifera</w:t>
      </w:r>
      <w:r w:rsidRPr="00BD282A">
        <w:t xml:space="preserve">). Following long-term dietary exposure to fenpropidin, increased mortality of adult bees was observed at doses as low as 7.1 </w:t>
      </w:r>
      <w:proofErr w:type="spellStart"/>
      <w:r w:rsidRPr="00BD282A">
        <w:t>μg</w:t>
      </w:r>
      <w:proofErr w:type="spellEnd"/>
      <w:r w:rsidRPr="00BD282A">
        <w:t xml:space="preserve"> </w:t>
      </w:r>
      <w:proofErr w:type="spellStart"/>
      <w:r w:rsidRPr="00BD282A">
        <w:t>a</w:t>
      </w:r>
      <w:r w:rsidR="0055178F">
        <w:t>.</w:t>
      </w:r>
      <w:r w:rsidRPr="00BD282A">
        <w:t>c</w:t>
      </w:r>
      <w:r w:rsidR="0055178F">
        <w:t>.</w:t>
      </w:r>
      <w:proofErr w:type="spellEnd"/>
      <w:r w:rsidRPr="00BD282A">
        <w:t xml:space="preserve">/bee/d (NOEL 3.8 </w:t>
      </w:r>
      <w:proofErr w:type="spellStart"/>
      <w:r w:rsidRPr="00BD282A">
        <w:t>μg</w:t>
      </w:r>
      <w:proofErr w:type="spellEnd"/>
      <w:r w:rsidRPr="00BD282A">
        <w:t xml:space="preserve"> ac/bee/d, </w:t>
      </w:r>
      <w:proofErr w:type="spellStart"/>
      <w:r w:rsidRPr="00BD282A">
        <w:rPr>
          <w:i/>
          <w:iCs/>
        </w:rPr>
        <w:t>Apis</w:t>
      </w:r>
      <w:proofErr w:type="spellEnd"/>
      <w:r w:rsidRPr="00BD282A">
        <w:rPr>
          <w:i/>
          <w:iCs/>
        </w:rPr>
        <w:t xml:space="preserve"> mellifera</w:t>
      </w:r>
      <w:r w:rsidRPr="00BD282A">
        <w:t>), while emergence of bee larvae was negatively affected in a dose-dependent manner (EC</w:t>
      </w:r>
      <w:r w:rsidRPr="00BD282A">
        <w:rPr>
          <w:vertAlign w:val="subscript"/>
        </w:rPr>
        <w:t>10</w:t>
      </w:r>
      <w:r w:rsidRPr="00BD282A">
        <w:t xml:space="preserve"> 7.9 </w:t>
      </w:r>
      <w:proofErr w:type="spellStart"/>
      <w:r w:rsidRPr="00BD282A">
        <w:t>μg</w:t>
      </w:r>
      <w:proofErr w:type="spellEnd"/>
      <w:r w:rsidRPr="00BD282A">
        <w:t xml:space="preserve"> </w:t>
      </w:r>
      <w:proofErr w:type="spellStart"/>
      <w:r w:rsidRPr="00BD282A">
        <w:t>a</w:t>
      </w:r>
      <w:r w:rsidR="0055178F">
        <w:t>.</w:t>
      </w:r>
      <w:r w:rsidRPr="00BD282A">
        <w:t>c</w:t>
      </w:r>
      <w:r w:rsidR="0055178F">
        <w:t>.</w:t>
      </w:r>
      <w:proofErr w:type="spellEnd"/>
      <w:r w:rsidRPr="00BD282A">
        <w:t xml:space="preserve">/bee/d, </w:t>
      </w:r>
      <w:proofErr w:type="spellStart"/>
      <w:r w:rsidRPr="00BD282A">
        <w:rPr>
          <w:i/>
          <w:iCs/>
        </w:rPr>
        <w:t>Apis</w:t>
      </w:r>
      <w:proofErr w:type="spellEnd"/>
      <w:r w:rsidRPr="00BD282A">
        <w:rPr>
          <w:i/>
          <w:iCs/>
        </w:rPr>
        <w:t xml:space="preserve"> mellifera</w:t>
      </w:r>
      <w:r w:rsidRPr="00BD282A">
        <w:t>).</w:t>
      </w:r>
    </w:p>
    <w:p w14:paraId="2AE26EE3" w14:textId="1CAA4706" w:rsidR="00BD282A" w:rsidRDefault="00BD282A" w:rsidP="002F7868">
      <w:pPr>
        <w:pStyle w:val="APVMAText"/>
        <w:rPr>
          <w:lang w:val="en-GB"/>
        </w:rPr>
      </w:pPr>
      <w:r>
        <w:rPr>
          <w:lang w:val="en-GB"/>
        </w:rPr>
        <w:t>T</w:t>
      </w:r>
      <w:r w:rsidRPr="00BD282A">
        <w:rPr>
          <w:lang w:val="en-GB"/>
        </w:rPr>
        <w:t xml:space="preserve">he combination product </w:t>
      </w:r>
      <w:r w:rsidR="00C563CE">
        <w:rPr>
          <w:lang w:val="en-GB"/>
        </w:rPr>
        <w:t>SEEKER Duo</w:t>
      </w:r>
      <w:r>
        <w:rPr>
          <w:lang w:val="en-GB"/>
        </w:rPr>
        <w:t xml:space="preserve"> Fungicide</w:t>
      </w:r>
      <w:r w:rsidRPr="00BD282A">
        <w:rPr>
          <w:lang w:val="en-GB"/>
        </w:rPr>
        <w:t xml:space="preserve"> ha</w:t>
      </w:r>
      <w:r>
        <w:rPr>
          <w:lang w:val="en-GB"/>
        </w:rPr>
        <w:t>s</w:t>
      </w:r>
      <w:r w:rsidRPr="00BD282A">
        <w:rPr>
          <w:lang w:val="en-GB"/>
        </w:rPr>
        <w:t xml:space="preserve"> moderately toxic to bees </w:t>
      </w:r>
      <w:r>
        <w:rPr>
          <w:lang w:val="en-GB"/>
        </w:rPr>
        <w:t xml:space="preserve">by </w:t>
      </w:r>
      <w:r w:rsidRPr="00BD282A">
        <w:rPr>
          <w:lang w:val="en-GB"/>
        </w:rPr>
        <w:t xml:space="preserve">contact </w:t>
      </w:r>
      <w:r>
        <w:rPr>
          <w:lang w:val="en-GB"/>
        </w:rPr>
        <w:t>exposure (</w:t>
      </w:r>
      <w:r w:rsidRPr="00BD282A">
        <w:rPr>
          <w:lang w:val="en-GB"/>
        </w:rPr>
        <w:t>LD</w:t>
      </w:r>
      <w:r w:rsidRPr="00BD282A">
        <w:rPr>
          <w:vertAlign w:val="subscript"/>
          <w:lang w:val="en-GB"/>
        </w:rPr>
        <w:t>50</w:t>
      </w:r>
      <w:r w:rsidRPr="00BD282A">
        <w:rPr>
          <w:lang w:val="en-GB"/>
        </w:rPr>
        <w:t xml:space="preserve"> 84 </w:t>
      </w:r>
      <w:proofErr w:type="spellStart"/>
      <w:r w:rsidRPr="00BD282A">
        <w:rPr>
          <w:lang w:val="en-GB"/>
        </w:rPr>
        <w:t>μg</w:t>
      </w:r>
      <w:proofErr w:type="spellEnd"/>
      <w:r w:rsidRPr="00BD282A">
        <w:rPr>
          <w:lang w:val="en-GB"/>
        </w:rPr>
        <w:t xml:space="preserve"> </w:t>
      </w:r>
      <w:proofErr w:type="spellStart"/>
      <w:r w:rsidRPr="00BD282A">
        <w:rPr>
          <w:lang w:val="en-GB"/>
        </w:rPr>
        <w:t>acs</w:t>
      </w:r>
      <w:proofErr w:type="spellEnd"/>
      <w:r w:rsidRPr="00BD282A">
        <w:rPr>
          <w:lang w:val="en-GB"/>
        </w:rPr>
        <w:t>/bee</w:t>
      </w:r>
      <w:r>
        <w:rPr>
          <w:lang w:val="en-GB"/>
        </w:rPr>
        <w:t xml:space="preserve">, </w:t>
      </w:r>
      <w:proofErr w:type="spellStart"/>
      <w:r w:rsidRPr="00BD282A">
        <w:rPr>
          <w:i/>
          <w:iCs/>
          <w:lang w:val="en-GB"/>
        </w:rPr>
        <w:t>Apis</w:t>
      </w:r>
      <w:proofErr w:type="spellEnd"/>
      <w:r w:rsidRPr="00BD282A">
        <w:rPr>
          <w:i/>
          <w:iCs/>
          <w:lang w:val="en-GB"/>
        </w:rPr>
        <w:t xml:space="preserve"> mellifera</w:t>
      </w:r>
      <w:r>
        <w:rPr>
          <w:lang w:val="en-GB"/>
        </w:rPr>
        <w:t xml:space="preserve">) and </w:t>
      </w:r>
      <w:r w:rsidRPr="00BD282A">
        <w:rPr>
          <w:lang w:val="en-GB"/>
        </w:rPr>
        <w:t xml:space="preserve">oral </w:t>
      </w:r>
      <w:r>
        <w:rPr>
          <w:lang w:val="en-GB"/>
        </w:rPr>
        <w:t>exposure (</w:t>
      </w:r>
      <w:r w:rsidRPr="00BD282A">
        <w:rPr>
          <w:lang w:val="en-GB"/>
        </w:rPr>
        <w:t>LD</w:t>
      </w:r>
      <w:r w:rsidRPr="00BD282A">
        <w:rPr>
          <w:vertAlign w:val="subscript"/>
          <w:lang w:val="en-GB"/>
        </w:rPr>
        <w:t>50</w:t>
      </w:r>
      <w:r w:rsidRPr="00BD282A">
        <w:rPr>
          <w:lang w:val="en-GB"/>
        </w:rPr>
        <w:t xml:space="preserve"> 94 </w:t>
      </w:r>
      <w:proofErr w:type="spellStart"/>
      <w:r w:rsidRPr="00BD282A">
        <w:rPr>
          <w:lang w:val="en-GB"/>
        </w:rPr>
        <w:t>μg</w:t>
      </w:r>
      <w:proofErr w:type="spellEnd"/>
      <w:r w:rsidRPr="00BD282A">
        <w:rPr>
          <w:lang w:val="en-GB"/>
        </w:rPr>
        <w:t xml:space="preserve"> </w:t>
      </w:r>
      <w:proofErr w:type="spellStart"/>
      <w:r w:rsidRPr="00BD282A">
        <w:rPr>
          <w:lang w:val="en-GB"/>
        </w:rPr>
        <w:t>acs</w:t>
      </w:r>
      <w:proofErr w:type="spellEnd"/>
      <w:r w:rsidRPr="00BD282A">
        <w:rPr>
          <w:lang w:val="en-GB"/>
        </w:rPr>
        <w:t xml:space="preserve">/bee, </w:t>
      </w:r>
      <w:proofErr w:type="spellStart"/>
      <w:r w:rsidRPr="00BD282A">
        <w:rPr>
          <w:i/>
          <w:iCs/>
          <w:lang w:val="en-GB"/>
        </w:rPr>
        <w:t>Apis</w:t>
      </w:r>
      <w:proofErr w:type="spellEnd"/>
      <w:r w:rsidRPr="00BD282A">
        <w:rPr>
          <w:i/>
          <w:iCs/>
          <w:lang w:val="en-GB"/>
        </w:rPr>
        <w:t xml:space="preserve"> mellifera</w:t>
      </w:r>
      <w:r w:rsidRPr="00BD282A">
        <w:rPr>
          <w:lang w:val="en-GB"/>
        </w:rPr>
        <w:t>)</w:t>
      </w:r>
      <w:r>
        <w:rPr>
          <w:lang w:val="en-GB"/>
        </w:rPr>
        <w:t xml:space="preserve">. Following long-term dietary exposure to </w:t>
      </w:r>
      <w:r w:rsidR="00C563CE">
        <w:rPr>
          <w:lang w:val="en-GB"/>
        </w:rPr>
        <w:t>SEEKER Duo</w:t>
      </w:r>
      <w:r>
        <w:rPr>
          <w:lang w:val="en-GB"/>
        </w:rPr>
        <w:t xml:space="preserve"> Fungicide, increased mortality of adult bees was observed at doses as low as 0.92 µg </w:t>
      </w:r>
      <w:proofErr w:type="spellStart"/>
      <w:r>
        <w:rPr>
          <w:lang w:val="en-GB"/>
        </w:rPr>
        <w:t>acs</w:t>
      </w:r>
      <w:proofErr w:type="spellEnd"/>
      <w:r>
        <w:rPr>
          <w:lang w:val="en-GB"/>
        </w:rPr>
        <w:t xml:space="preserve">/bee/d (NOEL 0.23 µg </w:t>
      </w:r>
      <w:proofErr w:type="spellStart"/>
      <w:r>
        <w:rPr>
          <w:lang w:val="en-GB"/>
        </w:rPr>
        <w:t>acs</w:t>
      </w:r>
      <w:proofErr w:type="spellEnd"/>
      <w:r>
        <w:rPr>
          <w:lang w:val="en-GB"/>
        </w:rPr>
        <w:t xml:space="preserve">/bee/d, </w:t>
      </w:r>
      <w:proofErr w:type="spellStart"/>
      <w:r w:rsidRPr="00BD282A">
        <w:rPr>
          <w:i/>
          <w:iCs/>
          <w:lang w:val="en-GB"/>
        </w:rPr>
        <w:t>Apis</w:t>
      </w:r>
      <w:proofErr w:type="spellEnd"/>
      <w:r w:rsidRPr="00BD282A">
        <w:rPr>
          <w:i/>
          <w:iCs/>
          <w:lang w:val="en-GB"/>
        </w:rPr>
        <w:t xml:space="preserve"> mellifera</w:t>
      </w:r>
      <w:r>
        <w:rPr>
          <w:lang w:val="en-GB"/>
        </w:rPr>
        <w:t>).</w:t>
      </w:r>
    </w:p>
    <w:p w14:paraId="2D494A32" w14:textId="03C5FB8F" w:rsidR="00BD282A" w:rsidRDefault="00BD282A" w:rsidP="002F7868">
      <w:pPr>
        <w:pStyle w:val="APVMAText"/>
        <w:rPr>
          <w:lang w:val="en-GB"/>
        </w:rPr>
      </w:pPr>
      <w:r w:rsidRPr="00BD282A">
        <w:rPr>
          <w:lang w:val="en-GB"/>
        </w:rPr>
        <w:t xml:space="preserve">Risks of </w:t>
      </w:r>
      <w:r w:rsidR="00C563CE">
        <w:rPr>
          <w:lang w:val="en-GB"/>
        </w:rPr>
        <w:t>SEEKER Duo</w:t>
      </w:r>
      <w:r>
        <w:rPr>
          <w:lang w:val="en-GB"/>
        </w:rPr>
        <w:t xml:space="preserve"> Herbicide</w:t>
      </w:r>
      <w:r w:rsidRPr="00BD282A">
        <w:rPr>
          <w:lang w:val="en-GB"/>
        </w:rPr>
        <w:t xml:space="preserve"> to bees were determined to be acceptable </w:t>
      </w:r>
      <w:r>
        <w:rPr>
          <w:lang w:val="en-GB"/>
        </w:rPr>
        <w:t>assuming</w:t>
      </w:r>
      <w:r w:rsidRPr="00BD282A">
        <w:rPr>
          <w:lang w:val="en-GB"/>
        </w:rPr>
        <w:t xml:space="preserve"> dietary or contact exposure </w:t>
      </w:r>
      <w:r>
        <w:rPr>
          <w:lang w:val="en-GB"/>
        </w:rPr>
        <w:t xml:space="preserve">to blooming plants that have been directly </w:t>
      </w:r>
      <w:r w:rsidR="00DD03C2">
        <w:rPr>
          <w:lang w:val="en-GB"/>
        </w:rPr>
        <w:t>over sprayed</w:t>
      </w:r>
      <w:r w:rsidRPr="00BD282A">
        <w:rPr>
          <w:lang w:val="en-GB"/>
        </w:rPr>
        <w:t xml:space="preserve">. No protection statements are </w:t>
      </w:r>
      <w:r>
        <w:rPr>
          <w:lang w:val="en-GB"/>
        </w:rPr>
        <w:t xml:space="preserve">therefore </w:t>
      </w:r>
      <w:r w:rsidRPr="00BD282A">
        <w:rPr>
          <w:lang w:val="en-GB"/>
        </w:rPr>
        <w:t xml:space="preserve">required for </w:t>
      </w:r>
      <w:r>
        <w:rPr>
          <w:lang w:val="en-GB"/>
        </w:rPr>
        <w:t>bees</w:t>
      </w:r>
      <w:r w:rsidRPr="00BD282A">
        <w:rPr>
          <w:lang w:val="en-GB"/>
        </w:rPr>
        <w:t>.</w:t>
      </w:r>
    </w:p>
    <w:p w14:paraId="58B4D250" w14:textId="2339073B" w:rsidR="00BD282A" w:rsidRDefault="00BD282A" w:rsidP="00BD282A">
      <w:pPr>
        <w:pStyle w:val="Heading3"/>
        <w:rPr>
          <w:lang w:val="en-GB"/>
        </w:rPr>
      </w:pPr>
      <w:bookmarkStart w:id="222" w:name="_Toc7561282"/>
      <w:r>
        <w:rPr>
          <w:lang w:val="en-GB"/>
        </w:rPr>
        <w:t>Other non-target arthropods</w:t>
      </w:r>
    </w:p>
    <w:p w14:paraId="5F111508" w14:textId="3D21451B" w:rsidR="00BD282A" w:rsidRDefault="00BD282A" w:rsidP="00BD282A">
      <w:pPr>
        <w:pStyle w:val="APVMAText"/>
      </w:pPr>
      <w:r>
        <w:t>An EC formulation of fenpropidin had low toxicity to the indicator species of parasitic arthropods under extended laboratory conditions (ER</w:t>
      </w:r>
      <w:r w:rsidRPr="00BD282A">
        <w:rPr>
          <w:vertAlign w:val="subscript"/>
        </w:rPr>
        <w:t>50</w:t>
      </w:r>
      <w:r>
        <w:t xml:space="preserve"> &gt;1500 g </w:t>
      </w:r>
      <w:proofErr w:type="spellStart"/>
      <w:r>
        <w:t>a</w:t>
      </w:r>
      <w:r w:rsidR="0055178F">
        <w:t>.</w:t>
      </w:r>
      <w:r>
        <w:t>c</w:t>
      </w:r>
      <w:r w:rsidR="0055178F">
        <w:t>.</w:t>
      </w:r>
      <w:proofErr w:type="spellEnd"/>
      <w:r>
        <w:t xml:space="preserve">/ha, </w:t>
      </w:r>
      <w:proofErr w:type="spellStart"/>
      <w:r w:rsidRPr="00BD282A">
        <w:rPr>
          <w:i/>
          <w:iCs/>
        </w:rPr>
        <w:t>Aphidus</w:t>
      </w:r>
      <w:proofErr w:type="spellEnd"/>
      <w:r w:rsidRPr="00BD282A">
        <w:rPr>
          <w:i/>
          <w:iCs/>
        </w:rPr>
        <w:t xml:space="preserve"> </w:t>
      </w:r>
      <w:proofErr w:type="spellStart"/>
      <w:r w:rsidRPr="00BD282A">
        <w:rPr>
          <w:i/>
          <w:iCs/>
        </w:rPr>
        <w:t>rhopalosiphi</w:t>
      </w:r>
      <w:proofErr w:type="spellEnd"/>
      <w:r>
        <w:t>). Similarly, low toxicity was observed in ground dwelling parasitic arthropods under laboratory conditions (ER</w:t>
      </w:r>
      <w:r w:rsidRPr="00BD282A">
        <w:rPr>
          <w:vertAlign w:val="subscript"/>
        </w:rPr>
        <w:t>50</w:t>
      </w:r>
      <w:r>
        <w:t xml:space="preserve"> &gt;1</w:t>
      </w:r>
      <w:r w:rsidR="00DD03C2">
        <w:t>,</w:t>
      </w:r>
      <w:r>
        <w:t>500 g</w:t>
      </w:r>
      <w:r w:rsidR="00DD03C2">
        <w:t> </w:t>
      </w:r>
      <w:proofErr w:type="spellStart"/>
      <w:r>
        <w:t>a</w:t>
      </w:r>
      <w:r w:rsidR="0055178F">
        <w:t>.</w:t>
      </w:r>
      <w:r>
        <w:t>c</w:t>
      </w:r>
      <w:r w:rsidR="0055178F">
        <w:t>.</w:t>
      </w:r>
      <w:proofErr w:type="spellEnd"/>
      <w:r>
        <w:t xml:space="preserve">/ha, </w:t>
      </w:r>
      <w:proofErr w:type="spellStart"/>
      <w:r w:rsidRPr="00BD282A">
        <w:rPr>
          <w:i/>
          <w:iCs/>
        </w:rPr>
        <w:t>Aleochara</w:t>
      </w:r>
      <w:proofErr w:type="spellEnd"/>
      <w:r w:rsidRPr="00BD282A">
        <w:rPr>
          <w:i/>
          <w:iCs/>
        </w:rPr>
        <w:t xml:space="preserve"> </w:t>
      </w:r>
      <w:proofErr w:type="spellStart"/>
      <w:r w:rsidRPr="00BD282A">
        <w:rPr>
          <w:i/>
          <w:iCs/>
        </w:rPr>
        <w:t>bilineata</w:t>
      </w:r>
      <w:proofErr w:type="spellEnd"/>
      <w:r>
        <w:t>).</w:t>
      </w:r>
    </w:p>
    <w:p w14:paraId="2BF53249" w14:textId="7AFE1F7E" w:rsidR="00BD282A" w:rsidRDefault="00BD282A" w:rsidP="00BD282A">
      <w:pPr>
        <w:pStyle w:val="APVMAText"/>
      </w:pPr>
      <w:r>
        <w:t>No data are available on the toxicity of fenpropidin to the indicator species of predatory arthropods (</w:t>
      </w:r>
      <w:proofErr w:type="spellStart"/>
      <w:r w:rsidRPr="00BD282A">
        <w:rPr>
          <w:i/>
          <w:iCs/>
        </w:rPr>
        <w:t>Typhlodromus</w:t>
      </w:r>
      <w:proofErr w:type="spellEnd"/>
      <w:r w:rsidRPr="00BD282A">
        <w:rPr>
          <w:i/>
          <w:iCs/>
        </w:rPr>
        <w:t xml:space="preserve"> </w:t>
      </w:r>
      <w:proofErr w:type="spellStart"/>
      <w:r w:rsidRPr="00BD282A">
        <w:rPr>
          <w:i/>
          <w:iCs/>
        </w:rPr>
        <w:t>pyri</w:t>
      </w:r>
      <w:proofErr w:type="spellEnd"/>
      <w:r>
        <w:t>). Testing on other predatory species indicated mortality at relatively high rates in green lacewing (LR</w:t>
      </w:r>
      <w:r w:rsidRPr="00BD282A">
        <w:rPr>
          <w:vertAlign w:val="subscript"/>
        </w:rPr>
        <w:t>50</w:t>
      </w:r>
      <w:r>
        <w:t xml:space="preserve"> &gt;30 g </w:t>
      </w:r>
      <w:proofErr w:type="spellStart"/>
      <w:r>
        <w:t>a</w:t>
      </w:r>
      <w:r w:rsidR="0055178F">
        <w:t>.</w:t>
      </w:r>
      <w:r>
        <w:t>c</w:t>
      </w:r>
      <w:r w:rsidR="0055178F">
        <w:t>.</w:t>
      </w:r>
      <w:proofErr w:type="spellEnd"/>
      <w:r>
        <w:t xml:space="preserve">/ha, </w:t>
      </w:r>
      <w:proofErr w:type="spellStart"/>
      <w:r w:rsidRPr="00BD282A">
        <w:rPr>
          <w:i/>
          <w:iCs/>
        </w:rPr>
        <w:t>Chyrsoperla</w:t>
      </w:r>
      <w:proofErr w:type="spellEnd"/>
      <w:r w:rsidRPr="00BD282A">
        <w:rPr>
          <w:i/>
          <w:iCs/>
        </w:rPr>
        <w:t xml:space="preserve"> </w:t>
      </w:r>
      <w:proofErr w:type="spellStart"/>
      <w:r w:rsidRPr="00BD282A">
        <w:rPr>
          <w:i/>
          <w:iCs/>
        </w:rPr>
        <w:t>carnea</w:t>
      </w:r>
      <w:proofErr w:type="spellEnd"/>
      <w:r>
        <w:t>), but low toxicity at field relevant rates in ladybird beetles (LR</w:t>
      </w:r>
      <w:r w:rsidRPr="00BD282A">
        <w:rPr>
          <w:vertAlign w:val="subscript"/>
        </w:rPr>
        <w:t>50</w:t>
      </w:r>
      <w:r>
        <w:t xml:space="preserve"> &gt;750 g </w:t>
      </w:r>
      <w:proofErr w:type="spellStart"/>
      <w:r>
        <w:t>a</w:t>
      </w:r>
      <w:r w:rsidR="0055178F">
        <w:t>.</w:t>
      </w:r>
      <w:r>
        <w:t>c</w:t>
      </w:r>
      <w:r w:rsidR="0055178F">
        <w:t>.</w:t>
      </w:r>
      <w:proofErr w:type="spellEnd"/>
      <w:r>
        <w:t xml:space="preserve">/ha, </w:t>
      </w:r>
      <w:proofErr w:type="spellStart"/>
      <w:r w:rsidRPr="00BD282A">
        <w:rPr>
          <w:i/>
          <w:iCs/>
        </w:rPr>
        <w:t>Coccinella</w:t>
      </w:r>
      <w:proofErr w:type="spellEnd"/>
      <w:r w:rsidRPr="00BD282A">
        <w:rPr>
          <w:i/>
          <w:iCs/>
        </w:rPr>
        <w:t xml:space="preserve"> </w:t>
      </w:r>
      <w:proofErr w:type="spellStart"/>
      <w:r w:rsidRPr="00BD282A">
        <w:rPr>
          <w:i/>
          <w:iCs/>
        </w:rPr>
        <w:t>septempunctata</w:t>
      </w:r>
      <w:proofErr w:type="spellEnd"/>
      <w:r>
        <w:t>), carabid beetles (LR</w:t>
      </w:r>
      <w:r w:rsidRPr="00BD282A">
        <w:rPr>
          <w:vertAlign w:val="subscript"/>
        </w:rPr>
        <w:t>50</w:t>
      </w:r>
      <w:r>
        <w:t xml:space="preserve"> &gt;750 g </w:t>
      </w:r>
      <w:proofErr w:type="spellStart"/>
      <w:r>
        <w:t>a</w:t>
      </w:r>
      <w:r w:rsidR="0055178F">
        <w:t>.</w:t>
      </w:r>
      <w:r>
        <w:t>c</w:t>
      </w:r>
      <w:r w:rsidR="0055178F">
        <w:t>.</w:t>
      </w:r>
      <w:proofErr w:type="spellEnd"/>
      <w:r>
        <w:t xml:space="preserve">/ha, </w:t>
      </w:r>
      <w:proofErr w:type="spellStart"/>
      <w:r w:rsidRPr="00BD282A">
        <w:rPr>
          <w:i/>
          <w:iCs/>
        </w:rPr>
        <w:t>Bembidion</w:t>
      </w:r>
      <w:proofErr w:type="spellEnd"/>
      <w:r w:rsidRPr="00BD282A">
        <w:rPr>
          <w:i/>
          <w:iCs/>
        </w:rPr>
        <w:t xml:space="preserve"> </w:t>
      </w:r>
      <w:proofErr w:type="spellStart"/>
      <w:r w:rsidRPr="00BD282A">
        <w:rPr>
          <w:i/>
          <w:iCs/>
        </w:rPr>
        <w:t>tetracolum</w:t>
      </w:r>
      <w:proofErr w:type="spellEnd"/>
      <w:r>
        <w:t>), and other ground beetles (LR</w:t>
      </w:r>
      <w:r w:rsidRPr="00BD282A">
        <w:rPr>
          <w:vertAlign w:val="subscript"/>
        </w:rPr>
        <w:t>50</w:t>
      </w:r>
      <w:r>
        <w:t xml:space="preserve"> &gt;1500 g </w:t>
      </w:r>
      <w:proofErr w:type="spellStart"/>
      <w:r>
        <w:t>a</w:t>
      </w:r>
      <w:r w:rsidR="0055178F">
        <w:t>.</w:t>
      </w:r>
      <w:r>
        <w:t>c</w:t>
      </w:r>
      <w:r w:rsidR="0055178F">
        <w:t>.</w:t>
      </w:r>
      <w:proofErr w:type="spellEnd"/>
      <w:r>
        <w:t xml:space="preserve">/ha, </w:t>
      </w:r>
      <w:proofErr w:type="spellStart"/>
      <w:r w:rsidRPr="00BD282A">
        <w:rPr>
          <w:i/>
          <w:iCs/>
        </w:rPr>
        <w:t>Poecilus</w:t>
      </w:r>
      <w:proofErr w:type="spellEnd"/>
      <w:r w:rsidRPr="00BD282A">
        <w:rPr>
          <w:i/>
          <w:iCs/>
        </w:rPr>
        <w:t xml:space="preserve"> </w:t>
      </w:r>
      <w:proofErr w:type="spellStart"/>
      <w:r w:rsidRPr="00BD282A">
        <w:rPr>
          <w:i/>
          <w:iCs/>
        </w:rPr>
        <w:t>cupreus</w:t>
      </w:r>
      <w:proofErr w:type="spellEnd"/>
      <w:r>
        <w:t>). Following application of 750</w:t>
      </w:r>
      <w:r w:rsidR="00DD03C2">
        <w:t> </w:t>
      </w:r>
      <w:r>
        <w:t xml:space="preserve">g </w:t>
      </w:r>
      <w:proofErr w:type="spellStart"/>
      <w:r>
        <w:t>a</w:t>
      </w:r>
      <w:r w:rsidR="0055178F">
        <w:t>.</w:t>
      </w:r>
      <w:r>
        <w:t>c</w:t>
      </w:r>
      <w:r w:rsidR="0055178F">
        <w:t>.</w:t>
      </w:r>
      <w:proofErr w:type="spellEnd"/>
      <w:r>
        <w:t xml:space="preserve">/ha, toxicity of foliar residues to the predatory mite </w:t>
      </w:r>
      <w:r w:rsidRPr="00BD282A">
        <w:rPr>
          <w:i/>
          <w:iCs/>
        </w:rPr>
        <w:t xml:space="preserve">Phytoseiulus </w:t>
      </w:r>
      <w:proofErr w:type="spellStart"/>
      <w:r w:rsidRPr="00BD282A">
        <w:rPr>
          <w:i/>
          <w:iCs/>
        </w:rPr>
        <w:t>persimilis</w:t>
      </w:r>
      <w:proofErr w:type="spellEnd"/>
      <w:r>
        <w:t xml:space="preserve"> were acceptable after one day of ageing.</w:t>
      </w:r>
    </w:p>
    <w:p w14:paraId="4D04866C" w14:textId="13817634" w:rsidR="00BD282A" w:rsidRDefault="00BD282A" w:rsidP="00BD282A">
      <w:pPr>
        <w:pStyle w:val="APVMAText"/>
        <w:rPr>
          <w:lang w:val="en-GB"/>
        </w:rPr>
      </w:pPr>
      <w:r w:rsidRPr="00BD282A">
        <w:rPr>
          <w:lang w:val="en-GB"/>
        </w:rPr>
        <w:t xml:space="preserve">Low toxicity of the combination product </w:t>
      </w:r>
      <w:r w:rsidR="00C563CE">
        <w:rPr>
          <w:lang w:val="en-GB"/>
        </w:rPr>
        <w:t>SEEKER Duo</w:t>
      </w:r>
      <w:r>
        <w:rPr>
          <w:lang w:val="en-GB"/>
        </w:rPr>
        <w:t xml:space="preserve"> Fungicide </w:t>
      </w:r>
      <w:r w:rsidRPr="00BD282A">
        <w:rPr>
          <w:lang w:val="en-GB"/>
        </w:rPr>
        <w:t>was observed in predatory mites (tier 1 LR</w:t>
      </w:r>
      <w:r w:rsidRPr="00BD282A">
        <w:rPr>
          <w:vertAlign w:val="subscript"/>
          <w:lang w:val="en-GB"/>
        </w:rPr>
        <w:t>50</w:t>
      </w:r>
      <w:r w:rsidRPr="00BD282A">
        <w:rPr>
          <w:lang w:val="en-GB"/>
        </w:rPr>
        <w:t xml:space="preserve"> &gt;950 g </w:t>
      </w:r>
      <w:proofErr w:type="spellStart"/>
      <w:r w:rsidRPr="00BD282A">
        <w:rPr>
          <w:lang w:val="en-GB"/>
        </w:rPr>
        <w:t>acs</w:t>
      </w:r>
      <w:proofErr w:type="spellEnd"/>
      <w:r w:rsidRPr="00BD282A">
        <w:rPr>
          <w:lang w:val="en-GB"/>
        </w:rPr>
        <w:t xml:space="preserve">/ha, </w:t>
      </w:r>
      <w:proofErr w:type="spellStart"/>
      <w:r w:rsidRPr="00BD282A">
        <w:rPr>
          <w:i/>
          <w:iCs/>
          <w:lang w:val="en-GB"/>
        </w:rPr>
        <w:t>Typhlodromus</w:t>
      </w:r>
      <w:proofErr w:type="spellEnd"/>
      <w:r w:rsidRPr="00BD282A">
        <w:rPr>
          <w:i/>
          <w:iCs/>
          <w:lang w:val="en-GB"/>
        </w:rPr>
        <w:t xml:space="preserve"> </w:t>
      </w:r>
      <w:proofErr w:type="spellStart"/>
      <w:r w:rsidRPr="00BD282A">
        <w:rPr>
          <w:i/>
          <w:iCs/>
          <w:lang w:val="en-GB"/>
        </w:rPr>
        <w:t>pyri</w:t>
      </w:r>
      <w:proofErr w:type="spellEnd"/>
      <w:r w:rsidRPr="00BD282A">
        <w:rPr>
          <w:lang w:val="en-GB"/>
        </w:rPr>
        <w:t>), green lacewings (lab ER</w:t>
      </w:r>
      <w:r w:rsidRPr="00BD282A">
        <w:rPr>
          <w:vertAlign w:val="subscript"/>
          <w:lang w:val="en-GB"/>
        </w:rPr>
        <w:t>50</w:t>
      </w:r>
      <w:r w:rsidRPr="00BD282A">
        <w:rPr>
          <w:lang w:val="en-GB"/>
        </w:rPr>
        <w:t xml:space="preserve"> &gt;950 g </w:t>
      </w:r>
      <w:proofErr w:type="spellStart"/>
      <w:r w:rsidRPr="00BD282A">
        <w:rPr>
          <w:lang w:val="en-GB"/>
        </w:rPr>
        <w:t>acs</w:t>
      </w:r>
      <w:proofErr w:type="spellEnd"/>
      <w:r w:rsidRPr="00BD282A">
        <w:rPr>
          <w:lang w:val="en-GB"/>
        </w:rPr>
        <w:t xml:space="preserve">/ha, </w:t>
      </w:r>
      <w:proofErr w:type="spellStart"/>
      <w:r w:rsidRPr="00BD282A">
        <w:rPr>
          <w:i/>
          <w:iCs/>
          <w:lang w:val="en-GB"/>
        </w:rPr>
        <w:t>Chrysoperla</w:t>
      </w:r>
      <w:proofErr w:type="spellEnd"/>
      <w:r w:rsidRPr="00BD282A">
        <w:rPr>
          <w:i/>
          <w:iCs/>
          <w:lang w:val="en-GB"/>
        </w:rPr>
        <w:t xml:space="preserve"> </w:t>
      </w:r>
      <w:proofErr w:type="spellStart"/>
      <w:r w:rsidRPr="00BD282A">
        <w:rPr>
          <w:i/>
          <w:iCs/>
          <w:lang w:val="en-GB"/>
        </w:rPr>
        <w:t>carnea</w:t>
      </w:r>
      <w:proofErr w:type="spellEnd"/>
      <w:r w:rsidRPr="00BD282A">
        <w:rPr>
          <w:lang w:val="en-GB"/>
        </w:rPr>
        <w:t>), ground beetles (lab ER</w:t>
      </w:r>
      <w:r w:rsidRPr="00BD282A">
        <w:rPr>
          <w:vertAlign w:val="subscript"/>
          <w:lang w:val="en-GB"/>
        </w:rPr>
        <w:t>50</w:t>
      </w:r>
      <w:r w:rsidRPr="00BD282A">
        <w:rPr>
          <w:lang w:val="en-GB"/>
        </w:rPr>
        <w:t xml:space="preserve"> &gt;475 g </w:t>
      </w:r>
      <w:proofErr w:type="spellStart"/>
      <w:r w:rsidRPr="00BD282A">
        <w:rPr>
          <w:lang w:val="en-GB"/>
        </w:rPr>
        <w:t>acs</w:t>
      </w:r>
      <w:proofErr w:type="spellEnd"/>
      <w:r w:rsidRPr="00BD282A">
        <w:rPr>
          <w:lang w:val="en-GB"/>
        </w:rPr>
        <w:t xml:space="preserve">/ha, </w:t>
      </w:r>
      <w:proofErr w:type="spellStart"/>
      <w:r w:rsidRPr="00BD282A">
        <w:rPr>
          <w:i/>
          <w:iCs/>
          <w:lang w:val="en-GB"/>
        </w:rPr>
        <w:t>Poecilus</w:t>
      </w:r>
      <w:proofErr w:type="spellEnd"/>
      <w:r w:rsidRPr="00BD282A">
        <w:rPr>
          <w:i/>
          <w:iCs/>
          <w:lang w:val="en-GB"/>
        </w:rPr>
        <w:t xml:space="preserve"> </w:t>
      </w:r>
      <w:proofErr w:type="spellStart"/>
      <w:r w:rsidRPr="00BD282A">
        <w:rPr>
          <w:i/>
          <w:iCs/>
          <w:lang w:val="en-GB"/>
        </w:rPr>
        <w:t>cupreus</w:t>
      </w:r>
      <w:proofErr w:type="spellEnd"/>
      <w:r w:rsidRPr="00BD282A">
        <w:rPr>
          <w:lang w:val="en-GB"/>
        </w:rPr>
        <w:t>), parasitic wasps (extended lab LR</w:t>
      </w:r>
      <w:r w:rsidRPr="00BD282A">
        <w:rPr>
          <w:vertAlign w:val="subscript"/>
          <w:lang w:val="en-GB"/>
        </w:rPr>
        <w:t>50</w:t>
      </w:r>
      <w:r w:rsidRPr="00BD282A">
        <w:rPr>
          <w:lang w:val="en-GB"/>
        </w:rPr>
        <w:t xml:space="preserve"> 703 g </w:t>
      </w:r>
      <w:proofErr w:type="spellStart"/>
      <w:r w:rsidRPr="00BD282A">
        <w:rPr>
          <w:lang w:val="en-GB"/>
        </w:rPr>
        <w:t>acs</w:t>
      </w:r>
      <w:proofErr w:type="spellEnd"/>
      <w:r w:rsidRPr="00BD282A">
        <w:rPr>
          <w:lang w:val="en-GB"/>
        </w:rPr>
        <w:t xml:space="preserve">/ha, </w:t>
      </w:r>
      <w:proofErr w:type="spellStart"/>
      <w:r w:rsidRPr="00BD282A">
        <w:rPr>
          <w:i/>
          <w:iCs/>
          <w:lang w:val="en-GB"/>
        </w:rPr>
        <w:t>Aphidius</w:t>
      </w:r>
      <w:proofErr w:type="spellEnd"/>
      <w:r w:rsidRPr="00BD282A">
        <w:rPr>
          <w:i/>
          <w:iCs/>
          <w:lang w:val="en-GB"/>
        </w:rPr>
        <w:t xml:space="preserve"> </w:t>
      </w:r>
      <w:proofErr w:type="spellStart"/>
      <w:r w:rsidRPr="00BD282A">
        <w:rPr>
          <w:i/>
          <w:iCs/>
          <w:lang w:val="en-GB"/>
        </w:rPr>
        <w:t>rhopalosphi</w:t>
      </w:r>
      <w:proofErr w:type="spellEnd"/>
      <w:r w:rsidRPr="00BD282A">
        <w:rPr>
          <w:lang w:val="en-GB"/>
        </w:rPr>
        <w:t xml:space="preserve">), </w:t>
      </w:r>
      <w:r>
        <w:rPr>
          <w:lang w:val="en-GB"/>
        </w:rPr>
        <w:t xml:space="preserve">and </w:t>
      </w:r>
      <w:r w:rsidRPr="00BD282A">
        <w:rPr>
          <w:lang w:val="en-GB"/>
        </w:rPr>
        <w:t>rove beetles (ER</w:t>
      </w:r>
      <w:r w:rsidRPr="00BD282A">
        <w:rPr>
          <w:vertAlign w:val="subscript"/>
          <w:lang w:val="en-GB"/>
        </w:rPr>
        <w:t>50</w:t>
      </w:r>
      <w:r w:rsidRPr="00BD282A">
        <w:rPr>
          <w:lang w:val="en-GB"/>
        </w:rPr>
        <w:t xml:space="preserve"> &gt;475 g </w:t>
      </w:r>
      <w:proofErr w:type="spellStart"/>
      <w:r w:rsidRPr="00BD282A">
        <w:rPr>
          <w:lang w:val="en-GB"/>
        </w:rPr>
        <w:t>acs</w:t>
      </w:r>
      <w:proofErr w:type="spellEnd"/>
      <w:r w:rsidRPr="00BD282A">
        <w:rPr>
          <w:lang w:val="en-GB"/>
        </w:rPr>
        <w:t xml:space="preserve">/ha, </w:t>
      </w:r>
      <w:proofErr w:type="spellStart"/>
      <w:r w:rsidRPr="00BD282A">
        <w:rPr>
          <w:i/>
          <w:iCs/>
          <w:lang w:val="en-GB"/>
        </w:rPr>
        <w:t>Aleochara</w:t>
      </w:r>
      <w:proofErr w:type="spellEnd"/>
      <w:r w:rsidRPr="00BD282A">
        <w:rPr>
          <w:i/>
          <w:iCs/>
          <w:lang w:val="en-GB"/>
        </w:rPr>
        <w:t xml:space="preserve"> </w:t>
      </w:r>
      <w:proofErr w:type="spellStart"/>
      <w:r w:rsidRPr="00BD282A">
        <w:rPr>
          <w:i/>
          <w:iCs/>
          <w:lang w:val="en-GB"/>
        </w:rPr>
        <w:t>bilineata</w:t>
      </w:r>
      <w:proofErr w:type="spellEnd"/>
      <w:r w:rsidRPr="00BD282A">
        <w:rPr>
          <w:lang w:val="en-GB"/>
        </w:rPr>
        <w:t xml:space="preserve">). Toxicity to ladybird beetles was low under semi-field conditions in </w:t>
      </w:r>
      <w:proofErr w:type="spellStart"/>
      <w:r w:rsidRPr="00BD282A">
        <w:rPr>
          <w:lang w:val="en-GB"/>
        </w:rPr>
        <w:t>broadbean</w:t>
      </w:r>
      <w:proofErr w:type="spellEnd"/>
      <w:r w:rsidRPr="00BD282A">
        <w:rPr>
          <w:lang w:val="en-GB"/>
        </w:rPr>
        <w:t xml:space="preserve"> (ER</w:t>
      </w:r>
      <w:r w:rsidRPr="00BD282A">
        <w:rPr>
          <w:vertAlign w:val="subscript"/>
          <w:lang w:val="en-GB"/>
        </w:rPr>
        <w:t>50</w:t>
      </w:r>
      <w:r w:rsidRPr="00BD282A">
        <w:rPr>
          <w:lang w:val="en-GB"/>
        </w:rPr>
        <w:t xml:space="preserve"> &gt;475 g </w:t>
      </w:r>
      <w:proofErr w:type="spellStart"/>
      <w:r w:rsidRPr="00BD282A">
        <w:rPr>
          <w:lang w:val="en-GB"/>
        </w:rPr>
        <w:t>acs</w:t>
      </w:r>
      <w:proofErr w:type="spellEnd"/>
      <w:r w:rsidRPr="00BD282A">
        <w:rPr>
          <w:lang w:val="en-GB"/>
        </w:rPr>
        <w:t xml:space="preserve">/ha, </w:t>
      </w:r>
      <w:proofErr w:type="spellStart"/>
      <w:r w:rsidRPr="00BD282A">
        <w:rPr>
          <w:i/>
          <w:iCs/>
          <w:lang w:val="en-GB"/>
        </w:rPr>
        <w:t>Coccinella</w:t>
      </w:r>
      <w:proofErr w:type="spellEnd"/>
      <w:r w:rsidRPr="00BD282A">
        <w:rPr>
          <w:i/>
          <w:iCs/>
          <w:lang w:val="en-GB"/>
        </w:rPr>
        <w:t xml:space="preserve"> </w:t>
      </w:r>
      <w:proofErr w:type="spellStart"/>
      <w:r w:rsidRPr="00BD282A">
        <w:rPr>
          <w:i/>
          <w:iCs/>
          <w:lang w:val="en-GB"/>
        </w:rPr>
        <w:t>septempunctata</w:t>
      </w:r>
      <w:proofErr w:type="spellEnd"/>
      <w:r w:rsidRPr="00BD282A">
        <w:rPr>
          <w:lang w:val="en-GB"/>
        </w:rPr>
        <w:t>).</w:t>
      </w:r>
    </w:p>
    <w:p w14:paraId="3FC3D22A" w14:textId="083DA89C" w:rsidR="00BD282A" w:rsidRDefault="00BD282A" w:rsidP="00BD282A">
      <w:pPr>
        <w:pStyle w:val="APVMAText"/>
        <w:rPr>
          <w:lang w:val="en-GB"/>
        </w:rPr>
      </w:pPr>
      <w:r w:rsidRPr="00BD282A">
        <w:rPr>
          <w:lang w:val="en-GB"/>
        </w:rPr>
        <w:t xml:space="preserve">Based on a limited data set, acceptable risks of fenpropidin to green lacewings could not be concluded and fenpropidin residues </w:t>
      </w:r>
      <w:proofErr w:type="gramStart"/>
      <w:r w:rsidRPr="00BD282A">
        <w:rPr>
          <w:lang w:val="en-GB"/>
        </w:rPr>
        <w:t xml:space="preserve">were </w:t>
      </w:r>
      <w:r>
        <w:rPr>
          <w:lang w:val="en-GB"/>
        </w:rPr>
        <w:t>considered to be</w:t>
      </w:r>
      <w:proofErr w:type="gramEnd"/>
      <w:r>
        <w:rPr>
          <w:lang w:val="en-GB"/>
        </w:rPr>
        <w:t xml:space="preserve"> </w:t>
      </w:r>
      <w:r w:rsidRPr="00BD282A">
        <w:rPr>
          <w:lang w:val="en-GB"/>
        </w:rPr>
        <w:t xml:space="preserve">acceptable to predatory mites after 24 hours of ageing. However, available data on the combination product </w:t>
      </w:r>
      <w:r w:rsidR="00C563CE">
        <w:rPr>
          <w:lang w:val="en-GB"/>
        </w:rPr>
        <w:t>SEEKER Duo</w:t>
      </w:r>
      <w:r>
        <w:rPr>
          <w:lang w:val="en-GB"/>
        </w:rPr>
        <w:t xml:space="preserve"> Herbicide </w:t>
      </w:r>
      <w:r w:rsidRPr="00BD282A">
        <w:rPr>
          <w:lang w:val="en-GB"/>
        </w:rPr>
        <w:t xml:space="preserve">enabled a conclusion of acceptable risk to these and other species of arthropods without mitigation. Therefore, the product </w:t>
      </w:r>
      <w:proofErr w:type="gramStart"/>
      <w:r w:rsidRPr="00BD282A">
        <w:rPr>
          <w:lang w:val="en-GB"/>
        </w:rPr>
        <w:t>is considered to be</w:t>
      </w:r>
      <w:proofErr w:type="gramEnd"/>
      <w:r w:rsidRPr="00BD282A">
        <w:rPr>
          <w:lang w:val="en-GB"/>
        </w:rPr>
        <w:t xml:space="preserve"> compatible with integrated pest management (IPM) programs utilising beneficial arthropods.</w:t>
      </w:r>
    </w:p>
    <w:p w14:paraId="46171525" w14:textId="2A78E5B4" w:rsidR="002F7868" w:rsidRDefault="002F7868" w:rsidP="002F7868">
      <w:pPr>
        <w:pStyle w:val="Heading3"/>
        <w:rPr>
          <w:lang w:val="en-GB"/>
        </w:rPr>
      </w:pPr>
      <w:r>
        <w:rPr>
          <w:lang w:val="en-GB"/>
        </w:rPr>
        <w:t>Soil organisms</w:t>
      </w:r>
      <w:bookmarkEnd w:id="222"/>
    </w:p>
    <w:p w14:paraId="7E93072D" w14:textId="7822D357" w:rsidR="002F7868" w:rsidRDefault="00BD282A" w:rsidP="002F7868">
      <w:pPr>
        <w:pStyle w:val="APVMAText"/>
      </w:pPr>
      <w:r w:rsidRPr="00BD282A">
        <w:t>Fenpropidin has low toxicity to soil macro-</w:t>
      </w:r>
      <w:proofErr w:type="spellStart"/>
      <w:r w:rsidRPr="00BD282A">
        <w:t>organsisms</w:t>
      </w:r>
      <w:proofErr w:type="spellEnd"/>
      <w:r w:rsidRPr="00BD282A">
        <w:t xml:space="preserve"> such as earthworms (LC</w:t>
      </w:r>
      <w:r w:rsidRPr="00BD282A">
        <w:rPr>
          <w:vertAlign w:val="subscript"/>
        </w:rPr>
        <w:t>50corr</w:t>
      </w:r>
      <w:r w:rsidRPr="00BD282A">
        <w:t xml:space="preserve"> &gt;500 mg </w:t>
      </w:r>
      <w:proofErr w:type="spellStart"/>
      <w:r w:rsidRPr="00BD282A">
        <w:t>a</w:t>
      </w:r>
      <w:r w:rsidR="0055178F">
        <w:t>.</w:t>
      </w:r>
      <w:r w:rsidRPr="00BD282A">
        <w:t>c</w:t>
      </w:r>
      <w:r w:rsidR="0055178F">
        <w:t>.</w:t>
      </w:r>
      <w:proofErr w:type="spellEnd"/>
      <w:r w:rsidRPr="00BD282A">
        <w:t xml:space="preserve">/kg dry soil, </w:t>
      </w:r>
      <w:r w:rsidRPr="00BD282A">
        <w:rPr>
          <w:i/>
          <w:iCs/>
        </w:rPr>
        <w:t xml:space="preserve">Eisenia </w:t>
      </w:r>
      <w:proofErr w:type="spellStart"/>
      <w:r w:rsidRPr="00BD282A">
        <w:rPr>
          <w:i/>
          <w:iCs/>
        </w:rPr>
        <w:t>andrei</w:t>
      </w:r>
      <w:proofErr w:type="spellEnd"/>
      <w:r w:rsidRPr="00BD282A">
        <w:t xml:space="preserve">). Following long-term exposure, reduced reproduction of collembola was observed at concentrations as low as 131 mg </w:t>
      </w:r>
      <w:proofErr w:type="spellStart"/>
      <w:r w:rsidRPr="00BD282A">
        <w:t>a</w:t>
      </w:r>
      <w:r w:rsidR="0055178F">
        <w:t>.</w:t>
      </w:r>
      <w:r w:rsidRPr="00BD282A">
        <w:t>c</w:t>
      </w:r>
      <w:r w:rsidR="0055178F">
        <w:t>.</w:t>
      </w:r>
      <w:proofErr w:type="spellEnd"/>
      <w:r w:rsidRPr="00BD282A">
        <w:t>/k</w:t>
      </w:r>
      <w:r w:rsidR="00686318">
        <w:t>g</w:t>
      </w:r>
      <w:r w:rsidRPr="00BD282A">
        <w:t xml:space="preserve"> dry soil (</w:t>
      </w:r>
      <w:proofErr w:type="spellStart"/>
      <w:r w:rsidRPr="00BD282A">
        <w:t>NOEC</w:t>
      </w:r>
      <w:r w:rsidRPr="00BD282A">
        <w:rPr>
          <w:vertAlign w:val="subscript"/>
        </w:rPr>
        <w:t>corr</w:t>
      </w:r>
      <w:proofErr w:type="spellEnd"/>
      <w:r w:rsidRPr="00BD282A">
        <w:t xml:space="preserve"> 46 mg </w:t>
      </w:r>
      <w:proofErr w:type="spellStart"/>
      <w:r w:rsidRPr="00BD282A">
        <w:t>a</w:t>
      </w:r>
      <w:r w:rsidR="0055178F">
        <w:t>.</w:t>
      </w:r>
      <w:r w:rsidRPr="00BD282A">
        <w:t>c</w:t>
      </w:r>
      <w:r w:rsidR="0055178F">
        <w:t>.</w:t>
      </w:r>
      <w:proofErr w:type="spellEnd"/>
      <w:r w:rsidRPr="00BD282A">
        <w:t xml:space="preserve">/kg dry soil, </w:t>
      </w:r>
      <w:proofErr w:type="spellStart"/>
      <w:r w:rsidRPr="00BD282A">
        <w:rPr>
          <w:i/>
          <w:iCs/>
        </w:rPr>
        <w:t>Folsomia</w:t>
      </w:r>
      <w:proofErr w:type="spellEnd"/>
      <w:r w:rsidRPr="00BD282A">
        <w:rPr>
          <w:i/>
          <w:iCs/>
        </w:rPr>
        <w:t xml:space="preserve"> candida</w:t>
      </w:r>
      <w:r w:rsidRPr="00BD282A">
        <w:t>). No adverse effects were observed at the highest test concentrations on earthworms (</w:t>
      </w:r>
      <w:proofErr w:type="spellStart"/>
      <w:r w:rsidRPr="00BD282A">
        <w:t>NOEC</w:t>
      </w:r>
      <w:r w:rsidRPr="00BD282A">
        <w:rPr>
          <w:vertAlign w:val="subscript"/>
        </w:rPr>
        <w:t>corr</w:t>
      </w:r>
      <w:proofErr w:type="spellEnd"/>
      <w:r w:rsidRPr="00BD282A">
        <w:t xml:space="preserve"> 10 mg </w:t>
      </w:r>
      <w:proofErr w:type="spellStart"/>
      <w:r w:rsidRPr="00BD282A">
        <w:t>a</w:t>
      </w:r>
      <w:r w:rsidR="0055178F">
        <w:t>.</w:t>
      </w:r>
      <w:r w:rsidRPr="00BD282A">
        <w:t>c</w:t>
      </w:r>
      <w:r w:rsidR="0055178F">
        <w:t>.</w:t>
      </w:r>
      <w:proofErr w:type="spellEnd"/>
      <w:r w:rsidRPr="00BD282A">
        <w:t>/kg d</w:t>
      </w:r>
      <w:r>
        <w:t>ry</w:t>
      </w:r>
      <w:r w:rsidRPr="00BD282A">
        <w:t xml:space="preserve"> </w:t>
      </w:r>
      <w:r w:rsidRPr="00BD282A">
        <w:lastRenderedPageBreak/>
        <w:t xml:space="preserve">soil, </w:t>
      </w:r>
      <w:r w:rsidRPr="00BD282A">
        <w:rPr>
          <w:i/>
          <w:iCs/>
        </w:rPr>
        <w:t xml:space="preserve">Eisenia </w:t>
      </w:r>
      <w:proofErr w:type="spellStart"/>
      <w:r w:rsidRPr="00BD282A">
        <w:rPr>
          <w:i/>
          <w:iCs/>
        </w:rPr>
        <w:t>fetida</w:t>
      </w:r>
      <w:proofErr w:type="spellEnd"/>
      <w:r w:rsidRPr="00BD282A">
        <w:t xml:space="preserve">) or soil mites (NOEC 830 mg </w:t>
      </w:r>
      <w:proofErr w:type="spellStart"/>
      <w:r w:rsidRPr="00BD282A">
        <w:t>a</w:t>
      </w:r>
      <w:r w:rsidR="0055178F">
        <w:t>.</w:t>
      </w:r>
      <w:r w:rsidRPr="00BD282A">
        <w:t>c</w:t>
      </w:r>
      <w:r w:rsidR="0055178F">
        <w:t>.</w:t>
      </w:r>
      <w:proofErr w:type="spellEnd"/>
      <w:r w:rsidRPr="00BD282A">
        <w:t xml:space="preserve">/kg dry soil, </w:t>
      </w:r>
      <w:proofErr w:type="spellStart"/>
      <w:r w:rsidRPr="00BD282A">
        <w:rPr>
          <w:i/>
          <w:iCs/>
        </w:rPr>
        <w:t>Hypoaspis</w:t>
      </w:r>
      <w:proofErr w:type="spellEnd"/>
      <w:r w:rsidRPr="00BD282A">
        <w:rPr>
          <w:i/>
          <w:iCs/>
        </w:rPr>
        <w:t xml:space="preserve"> </w:t>
      </w:r>
      <w:proofErr w:type="spellStart"/>
      <w:r w:rsidRPr="00BD282A">
        <w:rPr>
          <w:i/>
          <w:iCs/>
        </w:rPr>
        <w:t>aculeifer</w:t>
      </w:r>
      <w:proofErr w:type="spellEnd"/>
      <w:r w:rsidRPr="00BD282A">
        <w:t xml:space="preserve">). No adverse effects were observed on soil processes such as nitrogen transformation at exaggerated soil concentrations (NOEC 10 mg </w:t>
      </w:r>
      <w:proofErr w:type="spellStart"/>
      <w:r w:rsidRPr="00BD282A">
        <w:t>a</w:t>
      </w:r>
      <w:r w:rsidR="0055178F">
        <w:t>.</w:t>
      </w:r>
      <w:r w:rsidRPr="00BD282A">
        <w:t>c</w:t>
      </w:r>
      <w:r w:rsidR="0055178F">
        <w:t>.</w:t>
      </w:r>
      <w:proofErr w:type="spellEnd"/>
      <w:r w:rsidRPr="00BD282A">
        <w:t>/kg dry soil). The minor soil metabolite CGA289267 was less toxic to soil organisms than the parent substance.</w:t>
      </w:r>
    </w:p>
    <w:p w14:paraId="6A6B4212" w14:textId="73573DF1" w:rsidR="00BD282A" w:rsidRDefault="00BD282A" w:rsidP="002F7868">
      <w:pPr>
        <w:pStyle w:val="APVMAText"/>
        <w:rPr>
          <w:lang w:val="en-GB"/>
        </w:rPr>
      </w:pPr>
      <w:r>
        <w:rPr>
          <w:lang w:val="en-GB"/>
        </w:rPr>
        <w:t>T</w:t>
      </w:r>
      <w:r w:rsidRPr="00BD282A">
        <w:rPr>
          <w:lang w:val="en-GB"/>
        </w:rPr>
        <w:t xml:space="preserve">he combination product </w:t>
      </w:r>
      <w:r w:rsidR="00C563CE">
        <w:rPr>
          <w:lang w:val="en-GB"/>
        </w:rPr>
        <w:t>SEEKER Duo</w:t>
      </w:r>
      <w:r>
        <w:rPr>
          <w:lang w:val="en-GB"/>
        </w:rPr>
        <w:t xml:space="preserve"> Fungicide </w:t>
      </w:r>
      <w:r w:rsidRPr="00BD282A">
        <w:rPr>
          <w:lang w:val="en-GB"/>
        </w:rPr>
        <w:t>ha</w:t>
      </w:r>
      <w:r>
        <w:rPr>
          <w:lang w:val="en-GB"/>
        </w:rPr>
        <w:t>s</w:t>
      </w:r>
      <w:r w:rsidRPr="00BD282A">
        <w:rPr>
          <w:lang w:val="en-GB"/>
        </w:rPr>
        <w:t xml:space="preserve"> moderately toxic to soil macro-organisms </w:t>
      </w:r>
      <w:r>
        <w:rPr>
          <w:lang w:val="en-GB"/>
        </w:rPr>
        <w:t xml:space="preserve">such as earthworms </w:t>
      </w:r>
      <w:r w:rsidRPr="00BD282A">
        <w:rPr>
          <w:lang w:val="en-GB"/>
        </w:rPr>
        <w:t>(LC</w:t>
      </w:r>
      <w:r w:rsidRPr="00BD282A">
        <w:rPr>
          <w:vertAlign w:val="subscript"/>
          <w:lang w:val="en-GB"/>
        </w:rPr>
        <w:t>50corr</w:t>
      </w:r>
      <w:r w:rsidRPr="00BD282A">
        <w:rPr>
          <w:lang w:val="en-GB"/>
        </w:rPr>
        <w:t xml:space="preserve"> 94 mg </w:t>
      </w:r>
      <w:proofErr w:type="spellStart"/>
      <w:r w:rsidRPr="00BD282A">
        <w:rPr>
          <w:lang w:val="en-GB"/>
        </w:rPr>
        <w:t>a</w:t>
      </w:r>
      <w:r w:rsidR="0055178F">
        <w:rPr>
          <w:lang w:val="en-GB"/>
        </w:rPr>
        <w:t>.</w:t>
      </w:r>
      <w:r w:rsidRPr="00BD282A">
        <w:rPr>
          <w:lang w:val="en-GB"/>
        </w:rPr>
        <w:t>c</w:t>
      </w:r>
      <w:r w:rsidR="0055178F">
        <w:rPr>
          <w:lang w:val="en-GB"/>
        </w:rPr>
        <w:t>.</w:t>
      </w:r>
      <w:proofErr w:type="spellEnd"/>
      <w:r w:rsidRPr="00BD282A">
        <w:rPr>
          <w:lang w:val="en-GB"/>
        </w:rPr>
        <w:t xml:space="preserve">/kg dry soil, </w:t>
      </w:r>
      <w:r w:rsidRPr="00BD282A">
        <w:rPr>
          <w:i/>
          <w:iCs/>
          <w:lang w:val="en-GB"/>
        </w:rPr>
        <w:t xml:space="preserve">Eisenia </w:t>
      </w:r>
      <w:proofErr w:type="spellStart"/>
      <w:r w:rsidRPr="00BD282A">
        <w:rPr>
          <w:i/>
          <w:iCs/>
          <w:lang w:val="en-GB"/>
        </w:rPr>
        <w:t>fetida</w:t>
      </w:r>
      <w:proofErr w:type="spellEnd"/>
      <w:r w:rsidRPr="00BD282A">
        <w:rPr>
          <w:lang w:val="en-GB"/>
        </w:rPr>
        <w:t>).</w:t>
      </w:r>
      <w:r>
        <w:rPr>
          <w:lang w:val="en-GB"/>
        </w:rPr>
        <w:t xml:space="preserve"> </w:t>
      </w:r>
      <w:r w:rsidRPr="00BD282A">
        <w:rPr>
          <w:lang w:val="en-GB"/>
        </w:rPr>
        <w:t xml:space="preserve">Low toxicity was observed in soil micro-organisms </w:t>
      </w:r>
      <w:r>
        <w:rPr>
          <w:lang w:val="en-GB"/>
        </w:rPr>
        <w:t xml:space="preserve">at exaggerated soil concentrations </w:t>
      </w:r>
      <w:r w:rsidRPr="00BD282A">
        <w:rPr>
          <w:lang w:val="en-GB"/>
        </w:rPr>
        <w:t xml:space="preserve">(NOEC 7.6 mg </w:t>
      </w:r>
      <w:proofErr w:type="spellStart"/>
      <w:r w:rsidRPr="00BD282A">
        <w:rPr>
          <w:lang w:val="en-GB"/>
        </w:rPr>
        <w:t>acs</w:t>
      </w:r>
      <w:proofErr w:type="spellEnd"/>
      <w:r w:rsidRPr="00BD282A">
        <w:rPr>
          <w:lang w:val="en-GB"/>
        </w:rPr>
        <w:t>/kg dry soil)</w:t>
      </w:r>
      <w:r>
        <w:rPr>
          <w:lang w:val="en-GB"/>
        </w:rPr>
        <w:t xml:space="preserve">. Following long-term exposure, reproduction of soil macro-organisms was inhibited at concentrations as low as 6.3 mg </w:t>
      </w:r>
      <w:proofErr w:type="spellStart"/>
      <w:r>
        <w:rPr>
          <w:lang w:val="en-GB"/>
        </w:rPr>
        <w:t>acs</w:t>
      </w:r>
      <w:proofErr w:type="spellEnd"/>
      <w:r>
        <w:rPr>
          <w:lang w:val="en-GB"/>
        </w:rPr>
        <w:t>/kg dry soil (</w:t>
      </w:r>
      <w:proofErr w:type="spellStart"/>
      <w:r>
        <w:rPr>
          <w:lang w:val="en-GB"/>
        </w:rPr>
        <w:t>NOEC</w:t>
      </w:r>
      <w:r w:rsidRPr="00BD282A">
        <w:rPr>
          <w:vertAlign w:val="subscript"/>
          <w:lang w:val="en-GB"/>
        </w:rPr>
        <w:t>corr</w:t>
      </w:r>
      <w:proofErr w:type="spellEnd"/>
      <w:r>
        <w:rPr>
          <w:lang w:val="en-GB"/>
        </w:rPr>
        <w:t xml:space="preserve"> 1.6 mg </w:t>
      </w:r>
      <w:proofErr w:type="spellStart"/>
      <w:r>
        <w:rPr>
          <w:lang w:val="en-GB"/>
        </w:rPr>
        <w:t>acs</w:t>
      </w:r>
      <w:proofErr w:type="spellEnd"/>
      <w:r>
        <w:rPr>
          <w:lang w:val="en-GB"/>
        </w:rPr>
        <w:t xml:space="preserve">/kg dry soil, </w:t>
      </w:r>
      <w:r w:rsidRPr="00BD282A">
        <w:rPr>
          <w:i/>
          <w:iCs/>
          <w:lang w:val="en-GB"/>
        </w:rPr>
        <w:t xml:space="preserve">Eisenia </w:t>
      </w:r>
      <w:proofErr w:type="spellStart"/>
      <w:r w:rsidRPr="00BD282A">
        <w:rPr>
          <w:i/>
          <w:iCs/>
          <w:lang w:val="en-GB"/>
        </w:rPr>
        <w:t>fetida</w:t>
      </w:r>
      <w:proofErr w:type="spellEnd"/>
      <w:r>
        <w:rPr>
          <w:lang w:val="en-GB"/>
        </w:rPr>
        <w:t xml:space="preserve">). </w:t>
      </w:r>
    </w:p>
    <w:p w14:paraId="370B0082" w14:textId="4AB675FC" w:rsidR="00BD282A" w:rsidRDefault="00BD282A" w:rsidP="002F7868">
      <w:pPr>
        <w:pStyle w:val="APVMAText"/>
        <w:rPr>
          <w:lang w:val="en-GB"/>
        </w:rPr>
      </w:pPr>
      <w:r w:rsidRPr="00BD282A">
        <w:rPr>
          <w:lang w:val="en-GB"/>
        </w:rPr>
        <w:t xml:space="preserve">Risks of </w:t>
      </w:r>
      <w:r w:rsidR="00C563CE">
        <w:rPr>
          <w:lang w:val="en-GB"/>
        </w:rPr>
        <w:t>SEEKER Duo</w:t>
      </w:r>
      <w:r>
        <w:rPr>
          <w:lang w:val="en-GB"/>
        </w:rPr>
        <w:t xml:space="preserve"> Herbicide</w:t>
      </w:r>
      <w:r w:rsidRPr="00BD282A">
        <w:rPr>
          <w:lang w:val="en-GB"/>
        </w:rPr>
        <w:t xml:space="preserve"> to soil organisms were determined to be acceptable </w:t>
      </w:r>
      <w:r>
        <w:rPr>
          <w:lang w:val="en-GB"/>
        </w:rPr>
        <w:t xml:space="preserve">following </w:t>
      </w:r>
      <w:r w:rsidRPr="00BD282A">
        <w:rPr>
          <w:lang w:val="en-GB"/>
        </w:rPr>
        <w:t xml:space="preserve">exposure </w:t>
      </w:r>
      <w:r>
        <w:rPr>
          <w:lang w:val="en-GB"/>
        </w:rPr>
        <w:t>to residues incorporated into the top 5 cm of soil assuming 40% crop interception</w:t>
      </w:r>
      <w:r w:rsidRPr="00BD282A">
        <w:rPr>
          <w:lang w:val="en-GB"/>
        </w:rPr>
        <w:t xml:space="preserve">. No protection statements are </w:t>
      </w:r>
      <w:r>
        <w:rPr>
          <w:lang w:val="en-GB"/>
        </w:rPr>
        <w:t xml:space="preserve">therefore </w:t>
      </w:r>
      <w:r w:rsidRPr="00BD282A">
        <w:rPr>
          <w:lang w:val="en-GB"/>
        </w:rPr>
        <w:t xml:space="preserve">required for </w:t>
      </w:r>
      <w:r>
        <w:rPr>
          <w:lang w:val="en-GB"/>
        </w:rPr>
        <w:t>soil organisms</w:t>
      </w:r>
      <w:r w:rsidRPr="00BD282A">
        <w:rPr>
          <w:lang w:val="en-GB"/>
        </w:rPr>
        <w:t>.</w:t>
      </w:r>
    </w:p>
    <w:p w14:paraId="69874846" w14:textId="77777777" w:rsidR="002F7868" w:rsidRDefault="002F7868" w:rsidP="002F7868">
      <w:pPr>
        <w:pStyle w:val="Heading3"/>
        <w:rPr>
          <w:lang w:val="en-GB"/>
        </w:rPr>
      </w:pPr>
      <w:bookmarkStart w:id="223" w:name="_Toc7561283"/>
      <w:r>
        <w:rPr>
          <w:lang w:val="en-GB"/>
        </w:rPr>
        <w:t>Non-target terrestrial plants</w:t>
      </w:r>
      <w:bookmarkEnd w:id="223"/>
    </w:p>
    <w:p w14:paraId="05EC9A3F" w14:textId="02B8677A" w:rsidR="002F7868" w:rsidRDefault="00BD282A" w:rsidP="002F7868">
      <w:pPr>
        <w:pStyle w:val="APVMAText"/>
      </w:pPr>
      <w:r w:rsidRPr="00BD282A">
        <w:t>Following pre-emergent exposure in a seedling emergence test, an EC formulation of fenpropidin did not have any adverse effects on six species of non-target terrestrial plants at the highest tested rate (ER</w:t>
      </w:r>
      <w:r w:rsidRPr="00BD282A">
        <w:rPr>
          <w:vertAlign w:val="subscript"/>
        </w:rPr>
        <w:t>25</w:t>
      </w:r>
      <w:r w:rsidRPr="00BD282A">
        <w:t xml:space="preserve"> &gt;750</w:t>
      </w:r>
      <w:r w:rsidR="00DD03C2">
        <w:t> </w:t>
      </w:r>
      <w:r w:rsidRPr="00BD282A">
        <w:t xml:space="preserve">g ac/ha). Two EC formulations of fenpropidin were tested in vegetative vigour tests, with phytotoxicity observed in </w:t>
      </w:r>
      <w:r w:rsidR="00DD03C2">
        <w:t>3</w:t>
      </w:r>
      <w:r w:rsidRPr="00BD282A">
        <w:t xml:space="preserve"> plant species in a non-GLP study (lowest ER</w:t>
      </w:r>
      <w:r w:rsidRPr="00BD282A">
        <w:rPr>
          <w:vertAlign w:val="subscript"/>
        </w:rPr>
        <w:t>25</w:t>
      </w:r>
      <w:r w:rsidRPr="00BD282A">
        <w:t xml:space="preserve"> 188 g </w:t>
      </w:r>
      <w:proofErr w:type="spellStart"/>
      <w:r w:rsidRPr="00BD282A">
        <w:t>a</w:t>
      </w:r>
      <w:r w:rsidR="0055178F">
        <w:t>.</w:t>
      </w:r>
      <w:r w:rsidRPr="00BD282A">
        <w:t>c</w:t>
      </w:r>
      <w:r w:rsidR="0055178F">
        <w:t>.</w:t>
      </w:r>
      <w:proofErr w:type="spellEnd"/>
      <w:r w:rsidRPr="00BD282A">
        <w:t>/ha, ER</w:t>
      </w:r>
      <w:r w:rsidRPr="00BD282A">
        <w:rPr>
          <w:vertAlign w:val="subscript"/>
        </w:rPr>
        <w:t>50</w:t>
      </w:r>
      <w:r w:rsidRPr="00BD282A">
        <w:t xml:space="preserve"> &gt;375 g </w:t>
      </w:r>
      <w:proofErr w:type="spellStart"/>
      <w:r w:rsidRPr="00BD282A">
        <w:t>a</w:t>
      </w:r>
      <w:r w:rsidR="0055178F">
        <w:t>.</w:t>
      </w:r>
      <w:r w:rsidRPr="00BD282A">
        <w:t>c</w:t>
      </w:r>
      <w:r w:rsidR="0055178F">
        <w:t>.</w:t>
      </w:r>
      <w:proofErr w:type="spellEnd"/>
      <w:r w:rsidRPr="00BD282A">
        <w:t xml:space="preserve">/ha, </w:t>
      </w:r>
      <w:r w:rsidRPr="00BD282A">
        <w:rPr>
          <w:i/>
          <w:iCs/>
        </w:rPr>
        <w:t>Glycine max</w:t>
      </w:r>
      <w:r w:rsidRPr="00BD282A">
        <w:t xml:space="preserve">) and growth inhibition observed in </w:t>
      </w:r>
      <w:r w:rsidR="00DD03C2">
        <w:t>2</w:t>
      </w:r>
      <w:r w:rsidRPr="00BD282A">
        <w:t xml:space="preserve"> of these plant species in a GLP study (lowest ER</w:t>
      </w:r>
      <w:r w:rsidRPr="00BD282A">
        <w:rPr>
          <w:vertAlign w:val="subscript"/>
        </w:rPr>
        <w:t>25</w:t>
      </w:r>
      <w:r w:rsidRPr="00BD282A">
        <w:t xml:space="preserve"> 446 g </w:t>
      </w:r>
      <w:proofErr w:type="spellStart"/>
      <w:r w:rsidRPr="00BD282A">
        <w:t>a</w:t>
      </w:r>
      <w:r w:rsidR="0055178F">
        <w:t>.</w:t>
      </w:r>
      <w:r w:rsidRPr="00BD282A">
        <w:t>c</w:t>
      </w:r>
      <w:r w:rsidR="0055178F">
        <w:t>.</w:t>
      </w:r>
      <w:proofErr w:type="spellEnd"/>
      <w:r w:rsidRPr="00BD282A">
        <w:t>/ha, ER</w:t>
      </w:r>
      <w:r w:rsidRPr="00BD282A">
        <w:rPr>
          <w:vertAlign w:val="subscript"/>
        </w:rPr>
        <w:t>50</w:t>
      </w:r>
      <w:r w:rsidRPr="00BD282A">
        <w:t xml:space="preserve"> 1121 g </w:t>
      </w:r>
      <w:proofErr w:type="spellStart"/>
      <w:r w:rsidRPr="00BD282A">
        <w:t>a</w:t>
      </w:r>
      <w:r w:rsidR="0055178F">
        <w:t>.</w:t>
      </w:r>
      <w:r w:rsidRPr="00BD282A">
        <w:t>c</w:t>
      </w:r>
      <w:r w:rsidR="0055178F">
        <w:t>.</w:t>
      </w:r>
      <w:proofErr w:type="spellEnd"/>
      <w:r w:rsidRPr="00BD282A">
        <w:t xml:space="preserve">/ha, </w:t>
      </w:r>
      <w:r w:rsidRPr="00BD282A">
        <w:rPr>
          <w:i/>
          <w:iCs/>
        </w:rPr>
        <w:t>Brassica napus</w:t>
      </w:r>
      <w:r w:rsidRPr="00BD282A">
        <w:t>).</w:t>
      </w:r>
    </w:p>
    <w:p w14:paraId="23AE6080" w14:textId="2BB12822" w:rsidR="00BD282A" w:rsidRDefault="00BD282A" w:rsidP="002F7868">
      <w:pPr>
        <w:pStyle w:val="APVMAText"/>
        <w:rPr>
          <w:lang w:val="en-GB"/>
        </w:rPr>
      </w:pPr>
      <w:r>
        <w:rPr>
          <w:lang w:val="en-GB"/>
        </w:rPr>
        <w:t>Some</w:t>
      </w:r>
      <w:r w:rsidRPr="00BD282A">
        <w:rPr>
          <w:lang w:val="en-GB"/>
        </w:rPr>
        <w:t xml:space="preserve"> </w:t>
      </w:r>
      <w:r>
        <w:rPr>
          <w:lang w:val="en-GB"/>
        </w:rPr>
        <w:t>phyto</w:t>
      </w:r>
      <w:r w:rsidRPr="00BD282A">
        <w:rPr>
          <w:lang w:val="en-GB"/>
        </w:rPr>
        <w:t xml:space="preserve">toxicity of the combination product </w:t>
      </w:r>
      <w:r w:rsidR="00C563CE">
        <w:rPr>
          <w:lang w:val="en-GB"/>
        </w:rPr>
        <w:t>SEEKER Duo</w:t>
      </w:r>
      <w:r>
        <w:rPr>
          <w:lang w:val="en-GB"/>
        </w:rPr>
        <w:t xml:space="preserve"> Fungicide </w:t>
      </w:r>
      <w:r w:rsidRPr="00BD282A">
        <w:rPr>
          <w:lang w:val="en-GB"/>
        </w:rPr>
        <w:t>was observed in non-target terrestrial plants (lowest ER</w:t>
      </w:r>
      <w:r w:rsidRPr="00BD282A">
        <w:rPr>
          <w:vertAlign w:val="subscript"/>
          <w:lang w:val="en-GB"/>
        </w:rPr>
        <w:t>25</w:t>
      </w:r>
      <w:r w:rsidRPr="00BD282A">
        <w:rPr>
          <w:lang w:val="en-GB"/>
        </w:rPr>
        <w:t xml:space="preserve"> &gt;239 g </w:t>
      </w:r>
      <w:proofErr w:type="spellStart"/>
      <w:r w:rsidRPr="00BD282A">
        <w:rPr>
          <w:lang w:val="en-GB"/>
        </w:rPr>
        <w:t>acs</w:t>
      </w:r>
      <w:proofErr w:type="spellEnd"/>
      <w:r w:rsidRPr="00BD282A">
        <w:rPr>
          <w:lang w:val="en-GB"/>
        </w:rPr>
        <w:t>/ha,</w:t>
      </w:r>
      <w:r>
        <w:rPr>
          <w:lang w:val="en-GB"/>
        </w:rPr>
        <w:t xml:space="preserve"> </w:t>
      </w:r>
      <w:r w:rsidRPr="00BD282A">
        <w:rPr>
          <w:lang w:val="en-GB"/>
        </w:rPr>
        <w:t>ER</w:t>
      </w:r>
      <w:r>
        <w:rPr>
          <w:vertAlign w:val="subscript"/>
          <w:lang w:val="en-GB"/>
        </w:rPr>
        <w:t>50</w:t>
      </w:r>
      <w:r w:rsidRPr="00BD282A">
        <w:rPr>
          <w:lang w:val="en-GB"/>
        </w:rPr>
        <w:t xml:space="preserve"> &gt;</w:t>
      </w:r>
      <w:r>
        <w:rPr>
          <w:lang w:val="en-GB"/>
        </w:rPr>
        <w:t>477</w:t>
      </w:r>
      <w:r w:rsidRPr="00BD282A">
        <w:rPr>
          <w:lang w:val="en-GB"/>
        </w:rPr>
        <w:t xml:space="preserve"> g </w:t>
      </w:r>
      <w:proofErr w:type="spellStart"/>
      <w:r w:rsidRPr="00BD282A">
        <w:rPr>
          <w:lang w:val="en-GB"/>
        </w:rPr>
        <w:t>acs</w:t>
      </w:r>
      <w:proofErr w:type="spellEnd"/>
      <w:r w:rsidRPr="00BD282A">
        <w:rPr>
          <w:lang w:val="en-GB"/>
        </w:rPr>
        <w:t>/ha</w:t>
      </w:r>
      <w:r>
        <w:rPr>
          <w:lang w:val="en-GB"/>
        </w:rPr>
        <w:t>,</w:t>
      </w:r>
      <w:r w:rsidRPr="00BD282A">
        <w:rPr>
          <w:lang w:val="en-GB"/>
        </w:rPr>
        <w:t xml:space="preserve"> </w:t>
      </w:r>
      <w:r w:rsidRPr="00BD282A">
        <w:rPr>
          <w:i/>
          <w:iCs/>
          <w:lang w:val="en-GB"/>
        </w:rPr>
        <w:t>Brassica napus</w:t>
      </w:r>
      <w:r w:rsidRPr="00BD282A">
        <w:rPr>
          <w:lang w:val="en-GB"/>
        </w:rPr>
        <w:t xml:space="preserve"> following post-emergent exposure).</w:t>
      </w:r>
    </w:p>
    <w:p w14:paraId="4F6959F8" w14:textId="0A340657" w:rsidR="00BD282A" w:rsidRDefault="00BD282A" w:rsidP="002F7868">
      <w:pPr>
        <w:pStyle w:val="APVMAText"/>
        <w:rPr>
          <w:lang w:val="en-GB"/>
        </w:rPr>
      </w:pPr>
      <w:r>
        <w:rPr>
          <w:lang w:val="en-GB"/>
        </w:rPr>
        <w:t xml:space="preserve">Although </w:t>
      </w:r>
      <w:r w:rsidR="00C563CE">
        <w:rPr>
          <w:lang w:val="en-GB"/>
        </w:rPr>
        <w:t>SEEKER Duo</w:t>
      </w:r>
      <w:r>
        <w:rPr>
          <w:lang w:val="en-GB"/>
        </w:rPr>
        <w:t xml:space="preserve"> Fungicide</w:t>
      </w:r>
      <w:r w:rsidRPr="00BD282A">
        <w:rPr>
          <w:lang w:val="en-GB"/>
        </w:rPr>
        <w:t xml:space="preserve"> and its active constituent fenpropidin are slightly phytotoxic to some species of non-target terrestrial plants</w:t>
      </w:r>
      <w:r>
        <w:rPr>
          <w:lang w:val="en-GB"/>
        </w:rPr>
        <w:t xml:space="preserve">, </w:t>
      </w:r>
      <w:r w:rsidRPr="00BD282A">
        <w:rPr>
          <w:lang w:val="en-GB"/>
        </w:rPr>
        <w:t>a spray drift assessment determined that buffer zones are not necessary for the protection of vegetation areas.</w:t>
      </w:r>
    </w:p>
    <w:p w14:paraId="60E61D2E" w14:textId="77777777" w:rsidR="002F7868" w:rsidRDefault="002F7868" w:rsidP="002F7868">
      <w:pPr>
        <w:pStyle w:val="Heading2"/>
        <w:ind w:left="907" w:hanging="907"/>
        <w:rPr>
          <w:lang w:val="en-GB"/>
        </w:rPr>
      </w:pPr>
      <w:bookmarkStart w:id="224" w:name="_Toc531181102"/>
      <w:bookmarkStart w:id="225" w:name="_Toc7561284"/>
      <w:bookmarkStart w:id="226" w:name="_Toc137198183"/>
      <w:r>
        <w:rPr>
          <w:lang w:val="en-GB"/>
        </w:rPr>
        <w:t>Recommendations</w:t>
      </w:r>
      <w:bookmarkEnd w:id="224"/>
      <w:bookmarkEnd w:id="225"/>
      <w:bookmarkEnd w:id="226"/>
    </w:p>
    <w:p w14:paraId="72EBD5DE" w14:textId="77666D63" w:rsidR="00BD282A" w:rsidRDefault="00BD282A" w:rsidP="00CA5B2B">
      <w:pPr>
        <w:pStyle w:val="APVMAText"/>
        <w:sectPr w:rsidR="00BD282A">
          <w:headerReference w:type="even" r:id="rId56"/>
          <w:pgSz w:w="11906" w:h="16838" w:code="9"/>
          <w:pgMar w:top="2835" w:right="1134" w:bottom="1134" w:left="1134" w:header="1701" w:footer="680" w:gutter="0"/>
          <w:cols w:space="708"/>
          <w:docGrid w:linePitch="360"/>
        </w:sectPr>
      </w:pPr>
      <w:r w:rsidRPr="00BD282A">
        <w:rPr>
          <w:lang w:val="en-GB"/>
        </w:rPr>
        <w:t xml:space="preserve">In considering the environmental safety of the proposed use of </w:t>
      </w:r>
      <w:r w:rsidR="00C563CE">
        <w:rPr>
          <w:lang w:val="en-GB"/>
        </w:rPr>
        <w:t>SEEKER Duo</w:t>
      </w:r>
      <w:r w:rsidRPr="00BD282A">
        <w:rPr>
          <w:lang w:val="en-GB"/>
        </w:rPr>
        <w:t xml:space="preserve"> Fungicide, the APVMA had regard</w:t>
      </w:r>
      <w:r>
        <w:rPr>
          <w:lang w:val="en-GB"/>
        </w:rPr>
        <w:t xml:space="preserve"> </w:t>
      </w:r>
      <w:r w:rsidRPr="00BD282A">
        <w:rPr>
          <w:lang w:val="en-GB"/>
        </w:rPr>
        <w:t>to the toxicity of the active constituent in relation to relevant organisms and ecosystems. Based on the</w:t>
      </w:r>
      <w:r>
        <w:rPr>
          <w:lang w:val="en-GB"/>
        </w:rPr>
        <w:t xml:space="preserve"> </w:t>
      </w:r>
      <w:r w:rsidRPr="00BD282A">
        <w:rPr>
          <w:lang w:val="en-GB"/>
        </w:rPr>
        <w:t>available information, the APVMA can be satisfied that the proposed use of the product is unlikely to have an</w:t>
      </w:r>
      <w:r>
        <w:rPr>
          <w:lang w:val="en-GB"/>
        </w:rPr>
        <w:t xml:space="preserve"> </w:t>
      </w:r>
      <w:r w:rsidRPr="00BD282A">
        <w:rPr>
          <w:lang w:val="en-GB"/>
        </w:rPr>
        <w:t xml:space="preserve">unintended effect that is harmful to animals, </w:t>
      </w:r>
      <w:proofErr w:type="gramStart"/>
      <w:r w:rsidRPr="00BD282A">
        <w:rPr>
          <w:lang w:val="en-GB"/>
        </w:rPr>
        <w:t>plants</w:t>
      </w:r>
      <w:proofErr w:type="gramEnd"/>
      <w:r w:rsidRPr="00BD282A">
        <w:rPr>
          <w:lang w:val="en-GB"/>
        </w:rPr>
        <w:t xml:space="preserve"> or things, or to the environment</w:t>
      </w:r>
      <w:r>
        <w:t>.</w:t>
      </w:r>
    </w:p>
    <w:p w14:paraId="5C788A47" w14:textId="574C3A6D" w:rsidR="003B36F6" w:rsidRDefault="003B36F6" w:rsidP="003B36F6">
      <w:pPr>
        <w:pStyle w:val="Heading1"/>
        <w:tabs>
          <w:tab w:val="num" w:pos="907"/>
        </w:tabs>
        <w:ind w:left="907" w:hanging="907"/>
      </w:pPr>
      <w:bookmarkStart w:id="227" w:name="_Toc531181103"/>
      <w:bookmarkStart w:id="228" w:name="_Toc7561285"/>
      <w:bookmarkStart w:id="229" w:name="_Toc137198184"/>
      <w:r>
        <w:lastRenderedPageBreak/>
        <w:t>Efficacy and safety assessment</w:t>
      </w:r>
      <w:bookmarkEnd w:id="227"/>
      <w:bookmarkEnd w:id="228"/>
      <w:bookmarkEnd w:id="229"/>
    </w:p>
    <w:p w14:paraId="226A3B98" w14:textId="63386FBF" w:rsidR="00820318" w:rsidRPr="00C563CE" w:rsidRDefault="00820318" w:rsidP="00820318">
      <w:pPr>
        <w:pStyle w:val="NormalText"/>
        <w:rPr>
          <w:sz w:val="20"/>
          <w:szCs w:val="20"/>
        </w:rPr>
      </w:pPr>
      <w:r w:rsidRPr="00C563CE">
        <w:rPr>
          <w:sz w:val="20"/>
          <w:szCs w:val="20"/>
        </w:rPr>
        <w:t xml:space="preserve">Syngenta Australia Pty Ltd has applied to the APVMA for registration of the new product </w:t>
      </w:r>
      <w:r w:rsidR="00C563CE">
        <w:rPr>
          <w:sz w:val="20"/>
          <w:szCs w:val="20"/>
        </w:rPr>
        <w:t>SEEKER Duo</w:t>
      </w:r>
      <w:r w:rsidRPr="00C563CE">
        <w:rPr>
          <w:sz w:val="20"/>
          <w:szCs w:val="20"/>
        </w:rPr>
        <w:t xml:space="preserve"> Fungicide, containing 375 g/L fenpropidin and 100 g/L difenoconazole, as an emulsifiable concentrate (EC) formulation for use as a fungicide in wine grapes in grapes to control powdery mildew (</w:t>
      </w:r>
      <w:proofErr w:type="spellStart"/>
      <w:r w:rsidR="00C563CE">
        <w:rPr>
          <w:i/>
          <w:iCs/>
          <w:sz w:val="20"/>
          <w:szCs w:val="20"/>
        </w:rPr>
        <w:t>Uncinular</w:t>
      </w:r>
      <w:proofErr w:type="spellEnd"/>
      <w:r w:rsidRPr="00C563CE">
        <w:rPr>
          <w:i/>
          <w:iCs/>
          <w:sz w:val="20"/>
          <w:szCs w:val="20"/>
        </w:rPr>
        <w:t xml:space="preserve"> </w:t>
      </w:r>
      <w:proofErr w:type="spellStart"/>
      <w:r w:rsidRPr="00C563CE">
        <w:rPr>
          <w:i/>
          <w:iCs/>
          <w:sz w:val="20"/>
          <w:szCs w:val="20"/>
        </w:rPr>
        <w:t>necator</w:t>
      </w:r>
      <w:proofErr w:type="spellEnd"/>
      <w:r w:rsidRPr="00C563CE">
        <w:rPr>
          <w:sz w:val="20"/>
          <w:szCs w:val="20"/>
        </w:rPr>
        <w:t>).</w:t>
      </w:r>
    </w:p>
    <w:p w14:paraId="0BF851DF" w14:textId="697F2CBB" w:rsidR="00820318" w:rsidRPr="00C563CE" w:rsidRDefault="00820318" w:rsidP="00820318">
      <w:pPr>
        <w:pStyle w:val="NormalText"/>
        <w:rPr>
          <w:sz w:val="20"/>
          <w:szCs w:val="20"/>
        </w:rPr>
      </w:pPr>
      <w:r w:rsidRPr="00C563CE">
        <w:rPr>
          <w:sz w:val="20"/>
          <w:szCs w:val="20"/>
        </w:rPr>
        <w:t>An application rate of 40 mL/100L is proposed</w:t>
      </w:r>
      <w:r w:rsidR="0013016D" w:rsidRPr="00C563CE">
        <w:rPr>
          <w:sz w:val="20"/>
          <w:szCs w:val="20"/>
        </w:rPr>
        <w:t xml:space="preserve"> with application restricted to one per season in a maximum spray volume of 1</w:t>
      </w:r>
      <w:r w:rsidR="00DD03C2">
        <w:rPr>
          <w:sz w:val="20"/>
          <w:szCs w:val="20"/>
        </w:rPr>
        <w:t>,</w:t>
      </w:r>
      <w:r w:rsidR="0013016D" w:rsidRPr="00C563CE">
        <w:rPr>
          <w:sz w:val="20"/>
          <w:szCs w:val="20"/>
        </w:rPr>
        <w:t xml:space="preserve">500 L/ha to grapevine crops at up to 80% </w:t>
      </w:r>
      <w:proofErr w:type="spellStart"/>
      <w:r w:rsidR="0013016D" w:rsidRPr="00C563CE">
        <w:rPr>
          <w:sz w:val="20"/>
          <w:szCs w:val="20"/>
        </w:rPr>
        <w:t>capfall</w:t>
      </w:r>
      <w:proofErr w:type="spellEnd"/>
      <w:r w:rsidR="0013016D" w:rsidRPr="00C563CE">
        <w:rPr>
          <w:sz w:val="20"/>
          <w:szCs w:val="20"/>
        </w:rPr>
        <w:t xml:space="preserve"> (E-L 25)</w:t>
      </w:r>
      <w:r w:rsidRPr="00C563CE">
        <w:rPr>
          <w:sz w:val="20"/>
          <w:szCs w:val="20"/>
        </w:rPr>
        <w:t xml:space="preserve">. The product is to be applied by ground application only using dilute or concentrated spraying equipment applying the same total amount of product to the crop. The product </w:t>
      </w:r>
      <w:r w:rsidR="006B31E5" w:rsidRPr="00C563CE">
        <w:rPr>
          <w:sz w:val="20"/>
          <w:szCs w:val="20"/>
        </w:rPr>
        <w:t xml:space="preserve">is </w:t>
      </w:r>
      <w:r w:rsidRPr="00C563CE">
        <w:rPr>
          <w:sz w:val="20"/>
          <w:szCs w:val="20"/>
        </w:rPr>
        <w:t xml:space="preserve">not </w:t>
      </w:r>
      <w:r w:rsidR="006B31E5" w:rsidRPr="00C563CE">
        <w:rPr>
          <w:sz w:val="20"/>
          <w:szCs w:val="20"/>
        </w:rPr>
        <w:t xml:space="preserve">to </w:t>
      </w:r>
      <w:r w:rsidRPr="00C563CE">
        <w:rPr>
          <w:sz w:val="20"/>
          <w:szCs w:val="20"/>
        </w:rPr>
        <w:t xml:space="preserve">be applied </w:t>
      </w:r>
      <w:r w:rsidR="0013016D" w:rsidRPr="00C563CE">
        <w:rPr>
          <w:sz w:val="20"/>
          <w:szCs w:val="20"/>
        </w:rPr>
        <w:t xml:space="preserve">at </w:t>
      </w:r>
      <w:r w:rsidR="00C563CE">
        <w:rPr>
          <w:sz w:val="20"/>
          <w:szCs w:val="20"/>
        </w:rPr>
        <w:t xml:space="preserve">no </w:t>
      </w:r>
      <w:r w:rsidRPr="00C563CE">
        <w:rPr>
          <w:sz w:val="20"/>
          <w:szCs w:val="20"/>
        </w:rPr>
        <w:t>more than 3</w:t>
      </w:r>
      <w:r w:rsidR="00E55EFC">
        <w:rPr>
          <w:sz w:val="20"/>
          <w:szCs w:val="20"/>
        </w:rPr>
        <w:t>x</w:t>
      </w:r>
      <w:r w:rsidRPr="00C563CE">
        <w:rPr>
          <w:sz w:val="20"/>
          <w:szCs w:val="20"/>
        </w:rPr>
        <w:t xml:space="preserve"> concentration</w:t>
      </w:r>
      <w:r w:rsidR="00E55EFC">
        <w:rPr>
          <w:sz w:val="20"/>
          <w:szCs w:val="20"/>
        </w:rPr>
        <w:t>.</w:t>
      </w:r>
    </w:p>
    <w:p w14:paraId="17D55C89" w14:textId="05640778" w:rsidR="00820318" w:rsidRPr="00C563CE" w:rsidRDefault="00820318" w:rsidP="00820318">
      <w:pPr>
        <w:pStyle w:val="NormalText"/>
        <w:rPr>
          <w:sz w:val="20"/>
          <w:szCs w:val="20"/>
        </w:rPr>
      </w:pPr>
      <w:r w:rsidRPr="00C563CE">
        <w:rPr>
          <w:sz w:val="20"/>
          <w:szCs w:val="20"/>
        </w:rPr>
        <w:t xml:space="preserve">The proposed label states </w:t>
      </w:r>
      <w:r w:rsidR="00C563CE">
        <w:rPr>
          <w:sz w:val="20"/>
          <w:szCs w:val="20"/>
        </w:rPr>
        <w:t>SEEKER Duo</w:t>
      </w:r>
      <w:r w:rsidRPr="00C563CE">
        <w:rPr>
          <w:sz w:val="20"/>
          <w:szCs w:val="20"/>
        </w:rPr>
        <w:t xml:space="preserve"> Fungicide must be applied as part of a protectant fungicide program. </w:t>
      </w:r>
      <w:r w:rsidR="00C563CE">
        <w:rPr>
          <w:sz w:val="20"/>
          <w:szCs w:val="20"/>
        </w:rPr>
        <w:t>SEEKER Duo</w:t>
      </w:r>
      <w:r w:rsidR="00FB1455">
        <w:rPr>
          <w:sz w:val="20"/>
          <w:szCs w:val="20"/>
        </w:rPr>
        <w:t xml:space="preserve"> Fungicide</w:t>
      </w:r>
      <w:r w:rsidRPr="00C563CE">
        <w:rPr>
          <w:sz w:val="20"/>
          <w:szCs w:val="20"/>
        </w:rPr>
        <w:t xml:space="preserve"> must not be applied later than 80% </w:t>
      </w:r>
      <w:proofErr w:type="spellStart"/>
      <w:r w:rsidRPr="00C563CE">
        <w:rPr>
          <w:sz w:val="20"/>
          <w:szCs w:val="20"/>
        </w:rPr>
        <w:t>capfall</w:t>
      </w:r>
      <w:proofErr w:type="spellEnd"/>
      <w:r w:rsidRPr="00C563CE">
        <w:rPr>
          <w:sz w:val="20"/>
          <w:szCs w:val="20"/>
        </w:rPr>
        <w:t xml:space="preserve"> (E-L 25), </w:t>
      </w:r>
      <w:r w:rsidR="0013016D" w:rsidRPr="00C563CE">
        <w:rPr>
          <w:sz w:val="20"/>
          <w:szCs w:val="20"/>
        </w:rPr>
        <w:t>with only</w:t>
      </w:r>
      <w:r w:rsidRPr="00C563CE">
        <w:rPr>
          <w:sz w:val="20"/>
          <w:szCs w:val="20"/>
        </w:rPr>
        <w:t xml:space="preserve"> one application per season and in water volumes </w:t>
      </w:r>
      <w:r w:rsidR="0013016D" w:rsidRPr="00C563CE">
        <w:rPr>
          <w:sz w:val="20"/>
          <w:szCs w:val="20"/>
        </w:rPr>
        <w:t xml:space="preserve">no </w:t>
      </w:r>
      <w:r w:rsidRPr="00C563CE">
        <w:rPr>
          <w:sz w:val="20"/>
          <w:szCs w:val="20"/>
        </w:rPr>
        <w:t>greater than 1500 L/ha.</w:t>
      </w:r>
    </w:p>
    <w:p w14:paraId="1B945729" w14:textId="77777777" w:rsidR="003B36F6" w:rsidRDefault="003B36F6" w:rsidP="00F07CAD">
      <w:pPr>
        <w:pStyle w:val="Heading2"/>
      </w:pPr>
      <w:bookmarkStart w:id="230" w:name="_Toc7561288"/>
      <w:bookmarkStart w:id="231" w:name="_Toc137198185"/>
      <w:r>
        <w:t>Efficacy</w:t>
      </w:r>
      <w:bookmarkEnd w:id="230"/>
      <w:bookmarkEnd w:id="231"/>
    </w:p>
    <w:p w14:paraId="24E07A7E" w14:textId="5259B16D" w:rsidR="003B36F6" w:rsidRDefault="00820318" w:rsidP="003B36F6">
      <w:pPr>
        <w:pStyle w:val="APVMAText"/>
      </w:pPr>
      <w:r>
        <w:t>Twenty-one trials were conducted across</w:t>
      </w:r>
      <w:r w:rsidRPr="00820318">
        <w:t xml:space="preserve"> all grape growing states (V</w:t>
      </w:r>
      <w:r w:rsidR="00DD03C2">
        <w:t>ic</w:t>
      </w:r>
      <w:r w:rsidRPr="00820318">
        <w:t xml:space="preserve">, WA, </w:t>
      </w:r>
      <w:r w:rsidR="00A308A3">
        <w:t>T</w:t>
      </w:r>
      <w:r w:rsidR="00DD03C2">
        <w:t>as</w:t>
      </w:r>
      <w:r w:rsidRPr="00820318">
        <w:t>, SA, Q</w:t>
      </w:r>
      <w:r w:rsidR="00DD03C2">
        <w:t>ld</w:t>
      </w:r>
      <w:r w:rsidRPr="00820318">
        <w:t>, NSW)</w:t>
      </w:r>
      <w:r>
        <w:t xml:space="preserve"> in Australia from </w:t>
      </w:r>
      <w:r w:rsidRPr="00820318">
        <w:t xml:space="preserve">2017 </w:t>
      </w:r>
      <w:r>
        <w:t>through to</w:t>
      </w:r>
      <w:r w:rsidRPr="00820318">
        <w:t xml:space="preserve"> 2022.</w:t>
      </w:r>
      <w:r>
        <w:t xml:space="preserve"> </w:t>
      </w:r>
      <w:r w:rsidR="0013016D">
        <w:t xml:space="preserve">Fourteen </w:t>
      </w:r>
      <w:r>
        <w:t xml:space="preserve">trials tested efficacy against powdery mildew in common </w:t>
      </w:r>
      <w:r w:rsidR="0013016D">
        <w:t xml:space="preserve">wine </w:t>
      </w:r>
      <w:r>
        <w:t xml:space="preserve">grape varieties in comparison with </w:t>
      </w:r>
      <w:r w:rsidR="00C563CE">
        <w:t>industry</w:t>
      </w:r>
      <w:r>
        <w:t xml:space="preserve"> standards. </w:t>
      </w:r>
      <w:r w:rsidR="0013016D">
        <w:t xml:space="preserve">A further </w:t>
      </w:r>
      <w:r w:rsidR="00DD03C2">
        <w:t>7</w:t>
      </w:r>
      <w:r w:rsidR="0013016D">
        <w:t xml:space="preserve"> trials evaluated crop safety</w:t>
      </w:r>
      <w:r w:rsidR="00E55EFC">
        <w:t xml:space="preserve"> only</w:t>
      </w:r>
      <w:r w:rsidR="0013016D">
        <w:t xml:space="preserve">. </w:t>
      </w:r>
      <w:r w:rsidRPr="006B31E5">
        <w:t xml:space="preserve">All trials were conducted as randomised complete block design with </w:t>
      </w:r>
      <w:r w:rsidR="00DD03C2">
        <w:t>3</w:t>
      </w:r>
      <w:r w:rsidR="006B31E5" w:rsidRPr="006B31E5">
        <w:t xml:space="preserve"> to </w:t>
      </w:r>
      <w:r w:rsidR="00DD03C2">
        <w:t>4</w:t>
      </w:r>
      <w:r w:rsidRPr="006B31E5">
        <w:t xml:space="preserve"> replicates</w:t>
      </w:r>
      <w:r w:rsidR="006B31E5">
        <w:t xml:space="preserve">. </w:t>
      </w:r>
      <w:r w:rsidR="006B31E5" w:rsidRPr="006B31E5">
        <w:t>Plot size</w:t>
      </w:r>
      <w:r w:rsidR="00C563CE">
        <w:t>s</w:t>
      </w:r>
      <w:r w:rsidR="006B31E5" w:rsidRPr="006B31E5">
        <w:t xml:space="preserve"> varied from 3 to 6 vines.</w:t>
      </w:r>
    </w:p>
    <w:p w14:paraId="03AA2F78" w14:textId="470CDEB2" w:rsidR="006B31E5" w:rsidRDefault="006B31E5" w:rsidP="003B36F6">
      <w:pPr>
        <w:pStyle w:val="APVMAText"/>
      </w:pPr>
      <w:r>
        <w:t xml:space="preserve">Across all trials, applications were made using </w:t>
      </w:r>
      <w:r w:rsidRPr="006B31E5">
        <w:t>handheld booms or airblast applicators</w:t>
      </w:r>
      <w:r>
        <w:t xml:space="preserve"> delivering water volumes between 417 and 1</w:t>
      </w:r>
      <w:r w:rsidR="00DD03C2">
        <w:t>,</w:t>
      </w:r>
      <w:r>
        <w:t xml:space="preserve">500 L/ha. Between </w:t>
      </w:r>
      <w:r w:rsidR="00DD03C2">
        <w:t>one</w:t>
      </w:r>
      <w:r>
        <w:t xml:space="preserve"> and 6 applications occurred in each trial, with the main disease assessment taking place after the second application, except for one trial. </w:t>
      </w:r>
      <w:r w:rsidRPr="006B31E5">
        <w:t>A minimum reapplication interval of 7 days was</w:t>
      </w:r>
      <w:r>
        <w:t xml:space="preserve"> used. </w:t>
      </w:r>
      <w:r w:rsidR="0013016D">
        <w:t>Sprays were applied at key stages, including prior to infection and over flowering. Disease pressure</w:t>
      </w:r>
      <w:r w:rsidR="00E55EFC">
        <w:t xml:space="preserve"> in the trials</w:t>
      </w:r>
      <w:r w:rsidR="0013016D">
        <w:t xml:space="preserve"> ranged from low to very high.</w:t>
      </w:r>
    </w:p>
    <w:p w14:paraId="72D708B6" w14:textId="3FD65441" w:rsidR="006B31E5" w:rsidRDefault="006B31E5" w:rsidP="003B36F6">
      <w:pPr>
        <w:pStyle w:val="APVMAText"/>
      </w:pPr>
      <w:r>
        <w:t xml:space="preserve">Efficacy of the product against powdery mildew was assessed as </w:t>
      </w:r>
      <w:r w:rsidR="0013016D">
        <w:t xml:space="preserve">disease incidence </w:t>
      </w:r>
      <w:r w:rsidR="00DD03C2">
        <w:t>–</w:t>
      </w:r>
      <w:r w:rsidR="0013016D">
        <w:t xml:space="preserve"> </w:t>
      </w:r>
      <w:r>
        <w:t>the percentage of plant</w:t>
      </w:r>
      <w:r w:rsidR="0013016D">
        <w:t>s</w:t>
      </w:r>
      <w:r>
        <w:t xml:space="preserve"> infected within each plot, </w:t>
      </w:r>
      <w:r w:rsidR="0013016D">
        <w:t xml:space="preserve">and disease severity – </w:t>
      </w:r>
      <w:r>
        <w:t>the percentage of leaf area and bunch area infected.</w:t>
      </w:r>
    </w:p>
    <w:p w14:paraId="52C7E8E6" w14:textId="77777777" w:rsidR="003B36F6" w:rsidRDefault="003B36F6" w:rsidP="00F07CAD">
      <w:pPr>
        <w:pStyle w:val="Heading2"/>
      </w:pPr>
      <w:bookmarkStart w:id="232" w:name="_Toc7561289"/>
      <w:bookmarkStart w:id="233" w:name="_Toc137198186"/>
      <w:r>
        <w:t>Crop safety</w:t>
      </w:r>
      <w:bookmarkEnd w:id="232"/>
      <w:bookmarkEnd w:id="233"/>
    </w:p>
    <w:p w14:paraId="5A3E9113" w14:textId="3D36F865" w:rsidR="003B36F6" w:rsidRDefault="006B31E5" w:rsidP="003B36F6">
      <w:pPr>
        <w:pStyle w:val="APVMAText"/>
      </w:pPr>
      <w:r>
        <w:t xml:space="preserve">Crop safety was evaluated in all </w:t>
      </w:r>
      <w:r w:rsidR="0013016D">
        <w:t xml:space="preserve">of </w:t>
      </w:r>
      <w:r>
        <w:t xml:space="preserve">the </w:t>
      </w:r>
      <w:r w:rsidR="00DD03C2">
        <w:t>21</w:t>
      </w:r>
      <w:r>
        <w:t xml:space="preserve"> trials</w:t>
      </w:r>
      <w:r w:rsidR="00C563CE">
        <w:t xml:space="preserve"> </w:t>
      </w:r>
      <w:r w:rsidR="0013016D">
        <w:t>at</w:t>
      </w:r>
      <w:r w:rsidRPr="006B31E5">
        <w:t xml:space="preserve"> rates up to 3</w:t>
      </w:r>
      <w:r w:rsidR="00E55EFC">
        <w:t>x</w:t>
      </w:r>
      <w:r w:rsidRPr="006B31E5">
        <w:t xml:space="preserve"> the proposed dilute rate</w:t>
      </w:r>
      <w:r>
        <w:t xml:space="preserve"> </w:t>
      </w:r>
      <w:r w:rsidR="0013016D">
        <w:t>(</w:t>
      </w:r>
      <w:proofErr w:type="spellStart"/>
      <w:r w:rsidR="0013016D">
        <w:t>ie</w:t>
      </w:r>
      <w:proofErr w:type="spellEnd"/>
      <w:r w:rsidR="0013016D">
        <w:t xml:space="preserve">. up to </w:t>
      </w:r>
      <w:proofErr w:type="gramStart"/>
      <w:r w:rsidR="0013016D">
        <w:t>12</w:t>
      </w:r>
      <w:r w:rsidR="00DD03C2">
        <w:t>0 </w:t>
      </w:r>
      <w:r w:rsidR="0013016D">
        <w:t xml:space="preserve"> mL</w:t>
      </w:r>
      <w:proofErr w:type="gramEnd"/>
      <w:r w:rsidR="0013016D">
        <w:t>/100 L). The trials included evaluations of phytotoxicity, ‘green’ index of grapevine leaves and harvest yield.</w:t>
      </w:r>
    </w:p>
    <w:p w14:paraId="2D5077B8" w14:textId="5427A7BC" w:rsidR="003B36F6" w:rsidRDefault="006B31E5" w:rsidP="00F07CAD">
      <w:pPr>
        <w:pStyle w:val="Heading2"/>
      </w:pPr>
      <w:bookmarkStart w:id="234" w:name="_Toc137198187"/>
      <w:r>
        <w:t>Organoleptic tests</w:t>
      </w:r>
      <w:bookmarkEnd w:id="234"/>
    </w:p>
    <w:p w14:paraId="105AB137" w14:textId="00E40925" w:rsidR="006B31E5" w:rsidRPr="006B31E5" w:rsidRDefault="006B31E5" w:rsidP="00426EBB">
      <w:pPr>
        <w:pStyle w:val="NormalText"/>
      </w:pPr>
      <w:r w:rsidRPr="00C563CE">
        <w:rPr>
          <w:sz w:val="20"/>
          <w:szCs w:val="20"/>
        </w:rPr>
        <w:t>Impact</w:t>
      </w:r>
      <w:r w:rsidR="00C563CE">
        <w:rPr>
          <w:sz w:val="20"/>
          <w:szCs w:val="20"/>
        </w:rPr>
        <w:t>s</w:t>
      </w:r>
      <w:r w:rsidRPr="00C563CE">
        <w:rPr>
          <w:sz w:val="20"/>
          <w:szCs w:val="20"/>
        </w:rPr>
        <w:t xml:space="preserve"> on the fermentation or sensory characteristics of wine produced was assessed in one organoleptic trial.</w:t>
      </w:r>
      <w:r w:rsidR="00426EBB" w:rsidRPr="00C563CE">
        <w:rPr>
          <w:sz w:val="20"/>
          <w:szCs w:val="20"/>
        </w:rPr>
        <w:t xml:space="preserve"> The results </w:t>
      </w:r>
      <w:r w:rsidR="00C563CE">
        <w:rPr>
          <w:sz w:val="20"/>
          <w:szCs w:val="20"/>
        </w:rPr>
        <w:t>demonstrated</w:t>
      </w:r>
      <w:r w:rsidR="00426EBB" w:rsidRPr="00C563CE">
        <w:rPr>
          <w:sz w:val="20"/>
          <w:szCs w:val="20"/>
        </w:rPr>
        <w:t xml:space="preserve"> SEEKER Duo </w:t>
      </w:r>
      <w:r w:rsidR="00FB1455">
        <w:rPr>
          <w:sz w:val="20"/>
          <w:szCs w:val="20"/>
        </w:rPr>
        <w:t xml:space="preserve">Fungicide </w:t>
      </w:r>
      <w:r w:rsidR="00426EBB" w:rsidRPr="00C563CE">
        <w:rPr>
          <w:sz w:val="20"/>
          <w:szCs w:val="20"/>
        </w:rPr>
        <w:t xml:space="preserve">did not cause any significant impacts on the fermentation or sensory characteristics of the wine produced although </w:t>
      </w:r>
      <w:r w:rsidR="0013016D" w:rsidRPr="00C563CE">
        <w:rPr>
          <w:sz w:val="20"/>
          <w:szCs w:val="20"/>
        </w:rPr>
        <w:t>S</w:t>
      </w:r>
      <w:r w:rsidR="0013016D">
        <w:rPr>
          <w:sz w:val="20"/>
          <w:szCs w:val="20"/>
        </w:rPr>
        <w:t>EEKER Duo</w:t>
      </w:r>
      <w:r w:rsidR="0013016D" w:rsidRPr="00C563CE">
        <w:rPr>
          <w:sz w:val="20"/>
          <w:szCs w:val="20"/>
        </w:rPr>
        <w:t xml:space="preserve"> </w:t>
      </w:r>
      <w:r w:rsidR="00FB1455">
        <w:rPr>
          <w:sz w:val="20"/>
          <w:szCs w:val="20"/>
        </w:rPr>
        <w:t xml:space="preserve">Fungicide </w:t>
      </w:r>
      <w:r w:rsidR="00426EBB" w:rsidRPr="00C563CE">
        <w:rPr>
          <w:sz w:val="20"/>
          <w:szCs w:val="20"/>
        </w:rPr>
        <w:t xml:space="preserve">caused acceleration of fermentation, higher alcohol concentration and </w:t>
      </w:r>
      <w:proofErr w:type="spellStart"/>
      <w:r w:rsidR="00426EBB" w:rsidRPr="00C563CE">
        <w:rPr>
          <w:sz w:val="20"/>
          <w:szCs w:val="20"/>
        </w:rPr>
        <w:t>pH.</w:t>
      </w:r>
      <w:proofErr w:type="spellEnd"/>
      <w:r w:rsidR="00426EBB" w:rsidRPr="00C563CE">
        <w:rPr>
          <w:sz w:val="20"/>
          <w:szCs w:val="20"/>
        </w:rPr>
        <w:t xml:space="preserve"> However, the overall time to complete fermentation was not affected. There was a </w:t>
      </w:r>
      <w:r w:rsidR="00E55EFC">
        <w:rPr>
          <w:sz w:val="20"/>
          <w:szCs w:val="20"/>
        </w:rPr>
        <w:t>no significant</w:t>
      </w:r>
      <w:r w:rsidR="00426EBB" w:rsidRPr="00C563CE">
        <w:rPr>
          <w:sz w:val="20"/>
          <w:szCs w:val="20"/>
        </w:rPr>
        <w:t xml:space="preserve"> difference in sensory detection</w:t>
      </w:r>
      <w:r w:rsidR="0013016D">
        <w:rPr>
          <w:sz w:val="20"/>
          <w:szCs w:val="20"/>
        </w:rPr>
        <w:t xml:space="preserve"> when tested by an expert panel</w:t>
      </w:r>
      <w:r w:rsidR="00426EBB" w:rsidRPr="00C563CE">
        <w:rPr>
          <w:sz w:val="20"/>
          <w:szCs w:val="20"/>
        </w:rPr>
        <w:t>.</w:t>
      </w:r>
    </w:p>
    <w:p w14:paraId="3D655C11" w14:textId="701A414D" w:rsidR="003B36F6" w:rsidRDefault="003B36F6" w:rsidP="00F07CAD">
      <w:pPr>
        <w:pStyle w:val="Heading2"/>
      </w:pPr>
      <w:bookmarkStart w:id="235" w:name="_Toc7561291"/>
      <w:bookmarkStart w:id="236" w:name="_Toc137198188"/>
      <w:r>
        <w:lastRenderedPageBreak/>
        <w:t>Resistance management</w:t>
      </w:r>
      <w:bookmarkEnd w:id="235"/>
      <w:bookmarkEnd w:id="236"/>
    </w:p>
    <w:p w14:paraId="2F7BDDD0" w14:textId="48FF2AA5" w:rsidR="00426EBB" w:rsidRDefault="00426EBB" w:rsidP="00426EBB">
      <w:pPr>
        <w:pStyle w:val="NormalText"/>
        <w:rPr>
          <w:sz w:val="20"/>
          <w:szCs w:val="20"/>
        </w:rPr>
      </w:pPr>
      <w:r w:rsidRPr="00C563CE">
        <w:rPr>
          <w:sz w:val="20"/>
          <w:szCs w:val="20"/>
        </w:rPr>
        <w:t xml:space="preserve">Fenpropidin belongs to the amines </w:t>
      </w:r>
      <w:r w:rsidR="0013016D">
        <w:rPr>
          <w:sz w:val="20"/>
          <w:szCs w:val="20"/>
        </w:rPr>
        <w:t xml:space="preserve">(morpholines) (SBI: Class III) </w:t>
      </w:r>
      <w:r w:rsidRPr="00C563CE">
        <w:rPr>
          <w:sz w:val="20"/>
          <w:szCs w:val="20"/>
        </w:rPr>
        <w:t xml:space="preserve">group of chemicals with a mode of action classified by the Fungicide Resistance Action Committee (FRAC 2022) as </w:t>
      </w:r>
      <w:r w:rsidR="00C563CE">
        <w:rPr>
          <w:sz w:val="20"/>
          <w:szCs w:val="20"/>
        </w:rPr>
        <w:t>G</w:t>
      </w:r>
      <w:r w:rsidRPr="00C563CE">
        <w:rPr>
          <w:sz w:val="20"/>
          <w:szCs w:val="20"/>
        </w:rPr>
        <w:t xml:space="preserve">roup 5 with </w:t>
      </w:r>
      <w:r w:rsidR="0013016D" w:rsidRPr="0013016D">
        <w:rPr>
          <w:sz w:val="20"/>
          <w:szCs w:val="20"/>
        </w:rPr>
        <w:t>a</w:t>
      </w:r>
      <w:r w:rsidR="0013016D" w:rsidRPr="00C563CE">
        <w:rPr>
          <w:sz w:val="20"/>
          <w:szCs w:val="20"/>
        </w:rPr>
        <w:t xml:space="preserve"> Δ</w:t>
      </w:r>
      <w:r w:rsidR="0013016D" w:rsidRPr="00C563CE">
        <w:rPr>
          <w:sz w:val="20"/>
          <w:szCs w:val="20"/>
          <w:vertAlign w:val="superscript"/>
        </w:rPr>
        <w:t>14</w:t>
      </w:r>
      <w:r w:rsidR="0013016D" w:rsidRPr="00C563CE">
        <w:rPr>
          <w:sz w:val="20"/>
          <w:szCs w:val="20"/>
        </w:rPr>
        <w:t>-reductase and Δ</w:t>
      </w:r>
      <w:r w:rsidR="0013016D" w:rsidRPr="00C563CE">
        <w:rPr>
          <w:sz w:val="20"/>
          <w:szCs w:val="20"/>
          <w:vertAlign w:val="superscript"/>
        </w:rPr>
        <w:t>8</w:t>
      </w:r>
      <w:r w:rsidR="0013016D" w:rsidRPr="00C563CE">
        <w:rPr>
          <w:sz w:val="20"/>
          <w:szCs w:val="20"/>
        </w:rPr>
        <w:t>→Δ</w:t>
      </w:r>
      <w:r w:rsidR="0013016D" w:rsidRPr="00C563CE">
        <w:rPr>
          <w:sz w:val="20"/>
          <w:szCs w:val="20"/>
          <w:vertAlign w:val="superscript"/>
        </w:rPr>
        <w:t>7</w:t>
      </w:r>
      <w:r w:rsidR="0013016D" w:rsidRPr="00C563CE">
        <w:rPr>
          <w:sz w:val="20"/>
          <w:szCs w:val="20"/>
        </w:rPr>
        <w:t xml:space="preserve"> isomerase in sterol biosynthesis</w:t>
      </w:r>
      <w:r w:rsidRPr="00C563CE">
        <w:rPr>
          <w:sz w:val="20"/>
          <w:szCs w:val="20"/>
        </w:rPr>
        <w:t xml:space="preserve"> target site. </w:t>
      </w:r>
    </w:p>
    <w:p w14:paraId="787FC1DA" w14:textId="7327B19D" w:rsidR="0013016D" w:rsidRPr="00C563CE" w:rsidRDefault="0013016D" w:rsidP="00426EBB">
      <w:pPr>
        <w:pStyle w:val="NormalText"/>
        <w:rPr>
          <w:sz w:val="20"/>
          <w:szCs w:val="20"/>
        </w:rPr>
      </w:pPr>
      <w:r w:rsidRPr="007C6059">
        <w:rPr>
          <w:sz w:val="20"/>
          <w:szCs w:val="20"/>
        </w:rPr>
        <w:t xml:space="preserve">Difenoconazole belongs to the DMI </w:t>
      </w:r>
      <w:r>
        <w:rPr>
          <w:sz w:val="20"/>
          <w:szCs w:val="20"/>
        </w:rPr>
        <w:t xml:space="preserve">(SBI: Class I) </w:t>
      </w:r>
      <w:r w:rsidRPr="007C6059">
        <w:rPr>
          <w:sz w:val="20"/>
          <w:szCs w:val="20"/>
        </w:rPr>
        <w:t xml:space="preserve">group of chemicals with a mode of action classified by the Fungicide Resistance Action Committee (FRAC 2022) as </w:t>
      </w:r>
      <w:r w:rsidR="00C563CE">
        <w:rPr>
          <w:sz w:val="20"/>
          <w:szCs w:val="20"/>
        </w:rPr>
        <w:t>G</w:t>
      </w:r>
      <w:r w:rsidRPr="007C6059">
        <w:rPr>
          <w:sz w:val="20"/>
          <w:szCs w:val="20"/>
        </w:rPr>
        <w:t xml:space="preserve">roup 3 with a </w:t>
      </w:r>
      <w:r w:rsidR="00CF3C3D">
        <w:rPr>
          <w:sz w:val="20"/>
          <w:szCs w:val="20"/>
        </w:rPr>
        <w:t>C14-demethylase in sterol biosynthesis</w:t>
      </w:r>
      <w:r w:rsidRPr="007C6059">
        <w:rPr>
          <w:sz w:val="20"/>
          <w:szCs w:val="20"/>
        </w:rPr>
        <w:t xml:space="preserve"> target site.</w:t>
      </w:r>
    </w:p>
    <w:p w14:paraId="410CF49B" w14:textId="3875D808" w:rsidR="00426EBB" w:rsidRPr="00C563CE" w:rsidRDefault="00426EBB" w:rsidP="00426EBB">
      <w:pPr>
        <w:pStyle w:val="NormalText"/>
        <w:rPr>
          <w:sz w:val="20"/>
          <w:szCs w:val="20"/>
        </w:rPr>
      </w:pPr>
      <w:r w:rsidRPr="00C563CE">
        <w:rPr>
          <w:sz w:val="20"/>
          <w:szCs w:val="20"/>
        </w:rPr>
        <w:t>Powdery mildew is a principal fungal disease of grapevine worldwide. Even though it usually does not cause plant death directly, heavy infections can lead to extensive yield losses, and even low levels of the disease can negatively affect the quality of the wine. Therefore, intensive spraying programs are commonly applied to control the disease, which often leads to the emergence and spread of powdery mildew strains resistant to different fungicides.</w:t>
      </w:r>
    </w:p>
    <w:p w14:paraId="1BED8C04" w14:textId="3C5C8455" w:rsidR="00426EBB" w:rsidRPr="00C563CE" w:rsidRDefault="00426EBB" w:rsidP="00426EBB">
      <w:pPr>
        <w:pStyle w:val="NormalText"/>
        <w:rPr>
          <w:sz w:val="20"/>
          <w:szCs w:val="20"/>
        </w:rPr>
      </w:pPr>
      <w:r w:rsidRPr="00C563CE">
        <w:rPr>
          <w:sz w:val="20"/>
          <w:szCs w:val="20"/>
        </w:rPr>
        <w:t xml:space="preserve">CropLife Australia </w:t>
      </w:r>
      <w:r w:rsidR="0013016D" w:rsidRPr="00C563CE">
        <w:rPr>
          <w:sz w:val="20"/>
          <w:szCs w:val="20"/>
        </w:rPr>
        <w:t>recommend</w:t>
      </w:r>
      <w:r w:rsidR="0013016D">
        <w:rPr>
          <w:sz w:val="20"/>
          <w:szCs w:val="20"/>
        </w:rPr>
        <w:t>s the following measures</w:t>
      </w:r>
      <w:r w:rsidR="0013016D" w:rsidRPr="00C563CE">
        <w:rPr>
          <w:sz w:val="20"/>
          <w:szCs w:val="20"/>
        </w:rPr>
        <w:t xml:space="preserve"> </w:t>
      </w:r>
      <w:r w:rsidRPr="00C563CE">
        <w:rPr>
          <w:sz w:val="20"/>
          <w:szCs w:val="20"/>
        </w:rPr>
        <w:t>to manage powdery mildew resistance to difenoconazole and fenpropidin in grapevines</w:t>
      </w:r>
      <w:r w:rsidR="0013016D">
        <w:rPr>
          <w:sz w:val="20"/>
          <w:szCs w:val="20"/>
        </w:rPr>
        <w:t xml:space="preserve">: do </w:t>
      </w:r>
      <w:r w:rsidRPr="00C563CE">
        <w:rPr>
          <w:sz w:val="20"/>
          <w:szCs w:val="20"/>
        </w:rPr>
        <w:t>not apply more than two consecutive sprays of Group 3 or 5</w:t>
      </w:r>
      <w:r w:rsidR="0013016D">
        <w:rPr>
          <w:sz w:val="20"/>
          <w:szCs w:val="20"/>
        </w:rPr>
        <w:t xml:space="preserve"> fungicides</w:t>
      </w:r>
      <w:r w:rsidRPr="00C563CE">
        <w:rPr>
          <w:sz w:val="20"/>
          <w:szCs w:val="20"/>
        </w:rPr>
        <w:t>. The proposed label recommends using the product within a protectant fungicide program aimed at controlling powdery mildew and to not apply the product more than one application per season.</w:t>
      </w:r>
    </w:p>
    <w:p w14:paraId="0615E6F4" w14:textId="5ADC0C3E" w:rsidR="00C563CE" w:rsidRDefault="003B36F6" w:rsidP="00CF3C3D">
      <w:pPr>
        <w:pStyle w:val="Heading2"/>
        <w:ind w:left="907" w:hanging="907"/>
      </w:pPr>
      <w:bookmarkStart w:id="237" w:name="_Toc531181106"/>
      <w:bookmarkStart w:id="238" w:name="_Toc7561292"/>
      <w:bookmarkStart w:id="239" w:name="_Toc137198189"/>
      <w:r>
        <w:t>Recommendations</w:t>
      </w:r>
      <w:bookmarkEnd w:id="237"/>
      <w:bookmarkEnd w:id="238"/>
      <w:bookmarkEnd w:id="239"/>
    </w:p>
    <w:p w14:paraId="3EE682E7" w14:textId="444D8B18" w:rsidR="0013016D" w:rsidRPr="0013016D" w:rsidRDefault="00C563CE" w:rsidP="00CF3C3D">
      <w:pPr>
        <w:spacing w:before="240" w:after="240" w:line="280" w:lineRule="exact"/>
      </w:pPr>
      <w:r>
        <w:t>SEEKER Duo</w:t>
      </w:r>
      <w:r w:rsidR="0013016D">
        <w:t xml:space="preserve"> Fungicide is intended for use as part of a protectant fungicide program alternating with fungicides from different mode of action groups. The weight-of-evidence from evaluation of disease incidence and severity across the fourteen trials indicates that </w:t>
      </w:r>
      <w:r>
        <w:t>SEEKER Duo Fungicide</w:t>
      </w:r>
      <w:r w:rsidR="0013016D">
        <w:t xml:space="preserve"> will provide control of powdery mildew in grapevines commensurate with registered industry standards when used as part of a preventative spray program in accordance with CropLife resistance management guidelines.</w:t>
      </w:r>
    </w:p>
    <w:p w14:paraId="5C1C4CBC" w14:textId="77777777" w:rsidR="00DD03C2" w:rsidRDefault="0013016D" w:rsidP="00426EBB">
      <w:pPr>
        <w:pStyle w:val="APVMAText"/>
        <w:sectPr w:rsidR="00DD03C2">
          <w:headerReference w:type="even" r:id="rId57"/>
          <w:headerReference w:type="default" r:id="rId58"/>
          <w:pgSz w:w="11906" w:h="16838" w:code="9"/>
          <w:pgMar w:top="2835" w:right="1134" w:bottom="1134" w:left="1134" w:header="1701" w:footer="680" w:gutter="0"/>
          <w:cols w:space="708"/>
          <w:docGrid w:linePitch="360"/>
        </w:sectPr>
      </w:pPr>
      <w:r>
        <w:t>Phytotox</w:t>
      </w:r>
      <w:r w:rsidR="0055178F">
        <w:t>i</w:t>
      </w:r>
      <w:r>
        <w:t xml:space="preserve">city at rates up to 120 mL/100 L (3X proposed label rate) was absent in all trials except for one that indicated minor leaf damage in grape variety Sauvignon </w:t>
      </w:r>
      <w:proofErr w:type="spellStart"/>
      <w:r>
        <w:t>blanc</w:t>
      </w:r>
      <w:proofErr w:type="spellEnd"/>
      <w:r>
        <w:t xml:space="preserve"> when applied at pre-flowering stage. However, no damage was noted at the second application (80% </w:t>
      </w:r>
      <w:proofErr w:type="spellStart"/>
      <w:r>
        <w:t>capfall</w:t>
      </w:r>
      <w:proofErr w:type="spellEnd"/>
      <w:r>
        <w:t>) stage. No significant difference</w:t>
      </w:r>
      <w:r w:rsidR="00320C36">
        <w:t xml:space="preserve"> to untreated controls were reported</w:t>
      </w:r>
      <w:r>
        <w:t xml:space="preserve"> in green index ratings on grapevine leaves or harvest yields in any of the trials. Thus, overall, the trials provided </w:t>
      </w:r>
      <w:r w:rsidR="00C563CE">
        <w:t xml:space="preserve">sufficient </w:t>
      </w:r>
      <w:r>
        <w:t>support for crop safety for the proposed use in grapevines at 40 mL/100 L for one application per season.</w:t>
      </w:r>
    </w:p>
    <w:p w14:paraId="00142BFE" w14:textId="222120FD" w:rsidR="00705195" w:rsidRDefault="00705195">
      <w:pPr>
        <w:pStyle w:val="Heading1"/>
      </w:pPr>
      <w:bookmarkStart w:id="240" w:name="_Toc531181107"/>
      <w:bookmarkStart w:id="241" w:name="_Toc7561293"/>
      <w:bookmarkStart w:id="242" w:name="_Toc137198190"/>
      <w:r>
        <w:lastRenderedPageBreak/>
        <w:t>Spray drift assessment</w:t>
      </w:r>
      <w:bookmarkEnd w:id="242"/>
    </w:p>
    <w:p w14:paraId="1BF40747" w14:textId="2B3C4D75" w:rsidR="00705195" w:rsidRDefault="00705195" w:rsidP="00772458">
      <w:pPr>
        <w:pStyle w:val="APVMAText"/>
      </w:pPr>
      <w:r w:rsidRPr="00556F3D">
        <w:t>Regulatory Acceptable Level</w:t>
      </w:r>
      <w:r>
        <w:t>s</w:t>
      </w:r>
      <w:r w:rsidRPr="00556F3D">
        <w:t xml:space="preserve"> (RAL</w:t>
      </w:r>
      <w:r>
        <w:t>s</w:t>
      </w:r>
      <w:r w:rsidRPr="00556F3D">
        <w:t xml:space="preserve">) </w:t>
      </w:r>
      <w:r>
        <w:t xml:space="preserve">were established </w:t>
      </w:r>
      <w:r w:rsidR="00703BDD">
        <w:t xml:space="preserve">using </w:t>
      </w:r>
      <w:r w:rsidR="00703BDD" w:rsidRPr="00DC6610">
        <w:t xml:space="preserve">the </w:t>
      </w:r>
      <w:r w:rsidR="00703BDD">
        <w:t xml:space="preserve">APVMA </w:t>
      </w:r>
      <w:r w:rsidR="00703BDD" w:rsidRPr="00DC6610">
        <w:t>Spray Dr</w:t>
      </w:r>
      <w:r w:rsidR="00703BDD">
        <w:t xml:space="preserve">ift Assessment Tool (SDRAT), or Spray Drift Management Tool (SDMT), by </w:t>
      </w:r>
      <w:r>
        <w:t>each risk area</w:t>
      </w:r>
      <w:r w:rsidR="00703BDD">
        <w:t>,</w:t>
      </w:r>
      <w:r>
        <w:t xml:space="preserve"> in order to calculate the appropriate spray drift buffer zones for </w:t>
      </w:r>
      <w:r w:rsidR="00C563CE">
        <w:t>SEEKER Duo</w:t>
      </w:r>
      <w:r w:rsidR="00EF2C8D">
        <w:t xml:space="preserve"> Fungicide</w:t>
      </w:r>
      <w:r w:rsidR="00703BDD">
        <w:t>.</w:t>
      </w:r>
    </w:p>
    <w:p w14:paraId="01235FE1" w14:textId="570B5247" w:rsidR="00705195" w:rsidRDefault="00705195" w:rsidP="00424BBE">
      <w:pPr>
        <w:pStyle w:val="Heading2"/>
      </w:pPr>
      <w:bookmarkStart w:id="243" w:name="_Toc137198191"/>
      <w:r>
        <w:t xml:space="preserve">Human </w:t>
      </w:r>
      <w:r w:rsidR="00772458">
        <w:t>h</w:t>
      </w:r>
      <w:r>
        <w:t>ealth</w:t>
      </w:r>
      <w:bookmarkEnd w:id="243"/>
    </w:p>
    <w:p w14:paraId="3C98803F" w14:textId="482089C6" w:rsidR="00076007" w:rsidRPr="006D0FC8" w:rsidRDefault="00301BE4" w:rsidP="00772458">
      <w:pPr>
        <w:pStyle w:val="APVMAText"/>
      </w:pPr>
      <w:r w:rsidRPr="00773E27">
        <w:t>RALs were 3.</w:t>
      </w:r>
      <w:r>
        <w:t>54</w:t>
      </w:r>
      <w:r w:rsidRPr="00773E27">
        <w:t xml:space="preserve"> x 10</w:t>
      </w:r>
      <w:r w:rsidRPr="00773E27">
        <w:rPr>
          <w:vertAlign w:val="superscript"/>
        </w:rPr>
        <w:t>-4</w:t>
      </w:r>
      <w:r w:rsidRPr="00773E27">
        <w:t xml:space="preserve"> and </w:t>
      </w:r>
      <w:r>
        <w:t>6.60</w:t>
      </w:r>
      <w:r w:rsidRPr="00773E27">
        <w:t xml:space="preserve"> x 10</w:t>
      </w:r>
      <w:r w:rsidRPr="00773E27">
        <w:rPr>
          <w:vertAlign w:val="superscript"/>
        </w:rPr>
        <w:t>-4</w:t>
      </w:r>
      <w:r w:rsidRPr="00773E27">
        <w:t xml:space="preserve"> mg/cm</w:t>
      </w:r>
      <w:r w:rsidRPr="00773E27">
        <w:rPr>
          <w:vertAlign w:val="superscript"/>
        </w:rPr>
        <w:t>2</w:t>
      </w:r>
      <w:r w:rsidRPr="00773E27">
        <w:t xml:space="preserve"> or </w:t>
      </w:r>
      <w:r>
        <w:t>65</w:t>
      </w:r>
      <w:r w:rsidRPr="00773E27">
        <w:t xml:space="preserve"> and </w:t>
      </w:r>
      <w:r>
        <w:t>66</w:t>
      </w:r>
      <w:r w:rsidRPr="00773E27">
        <w:t xml:space="preserve"> g/ha for </w:t>
      </w:r>
      <w:proofErr w:type="gramStart"/>
      <w:r w:rsidRPr="00773E27">
        <w:t>1</w:t>
      </w:r>
      <w:r w:rsidR="00DD03C2">
        <w:t xml:space="preserve"> to </w:t>
      </w:r>
      <w:r w:rsidRPr="00773E27">
        <w:t>2 year old</w:t>
      </w:r>
      <w:r w:rsidR="00F75B64">
        <w:t>s</w:t>
      </w:r>
      <w:proofErr w:type="gramEnd"/>
      <w:r w:rsidRPr="00773E27">
        <w:t xml:space="preserve"> and 2</w:t>
      </w:r>
      <w:r w:rsidR="00DD03C2">
        <w:t xml:space="preserve"> to </w:t>
      </w:r>
      <w:r w:rsidRPr="00773E27">
        <w:t>3 year old toddlers, respectively.</w:t>
      </w:r>
      <w:r>
        <w:t xml:space="preserve"> On this basis, </w:t>
      </w:r>
      <w:r w:rsidRPr="00301BE4">
        <w:t xml:space="preserve">no </w:t>
      </w:r>
      <w:r w:rsidR="00320C36">
        <w:t xml:space="preserve">mandatory downwind </w:t>
      </w:r>
      <w:r w:rsidRPr="00301BE4">
        <w:t>buffer zones are required for</w:t>
      </w:r>
      <w:r>
        <w:t xml:space="preserve"> bystanders’ protection</w:t>
      </w:r>
      <w:r w:rsidRPr="00301BE4">
        <w:t>.</w:t>
      </w:r>
    </w:p>
    <w:p w14:paraId="54069496" w14:textId="501EE9BB" w:rsidR="00705195" w:rsidRDefault="00705195">
      <w:pPr>
        <w:pStyle w:val="Heading2"/>
      </w:pPr>
      <w:bookmarkStart w:id="244" w:name="_Toc137198192"/>
      <w:r>
        <w:t xml:space="preserve">Residues and </w:t>
      </w:r>
      <w:r w:rsidR="00772458">
        <w:t>t</w:t>
      </w:r>
      <w:r>
        <w:t>rade</w:t>
      </w:r>
      <w:bookmarkEnd w:id="244"/>
    </w:p>
    <w:p w14:paraId="0C3EC373" w14:textId="302962EC" w:rsidR="0013016D" w:rsidRDefault="0013016D" w:rsidP="00C563CE">
      <w:pPr>
        <w:spacing w:before="240" w:after="240" w:line="280" w:lineRule="atLeast"/>
      </w:pPr>
      <w:bookmarkStart w:id="245" w:name="_Hlk136615343"/>
      <w:bookmarkStart w:id="246" w:name="_Hlk129243685"/>
      <w:r>
        <w:t>For fenpropidin, MRLs/</w:t>
      </w:r>
      <w:r w:rsidRPr="00D87293">
        <w:t xml:space="preserve">tolerances are not established in </w:t>
      </w:r>
      <w:r>
        <w:t>most</w:t>
      </w:r>
      <w:r w:rsidRPr="00D87293">
        <w:t xml:space="preserve"> significant markets therefore residues </w:t>
      </w:r>
      <w:r>
        <w:t>in animal commodities will need to be below the LOQ (&lt;0.01 mg/kg for fenpropidin and its significant metabolites) to prevent residue related trade issues.</w:t>
      </w:r>
    </w:p>
    <w:p w14:paraId="08956D7D" w14:textId="78F7CEDD" w:rsidR="0013016D" w:rsidRPr="000766FA" w:rsidRDefault="0013016D" w:rsidP="00C563CE">
      <w:pPr>
        <w:spacing w:before="240" w:after="240" w:line="280" w:lineRule="atLeast"/>
      </w:pPr>
      <w:r w:rsidRPr="000766FA">
        <w:t xml:space="preserve">For </w:t>
      </w:r>
      <w:r>
        <w:t>fenpropidin,</w:t>
      </w:r>
      <w:r w:rsidRPr="000766FA">
        <w:rPr>
          <w:color w:val="92D050"/>
        </w:rPr>
        <w:t xml:space="preserve"> </w:t>
      </w:r>
      <w:r w:rsidRPr="000766FA">
        <w:t xml:space="preserve">the target tissue is the </w:t>
      </w:r>
      <w:r>
        <w:t>liver</w:t>
      </w:r>
      <w:r w:rsidRPr="000766FA">
        <w:t>.</w:t>
      </w:r>
      <w:r>
        <w:t xml:space="preserve"> </w:t>
      </w:r>
      <w:r w:rsidRPr="000766FA">
        <w:t xml:space="preserve">In the animal transfer study, a feeding level of </w:t>
      </w:r>
      <w:r>
        <w:t>3.15</w:t>
      </w:r>
      <w:r w:rsidRPr="000766FA">
        <w:rPr>
          <w:color w:val="92D050"/>
        </w:rPr>
        <w:t xml:space="preserve"> </w:t>
      </w:r>
      <w:r w:rsidRPr="000766FA">
        <w:t xml:space="preserve">ppm </w:t>
      </w:r>
      <w:r>
        <w:t>in the feed resulted in highest residues of fenpropidin at 0.028 mg/kg and the metabolite CGA 289267 at 0.10</w:t>
      </w:r>
      <w:r w:rsidR="00DD03C2">
        <w:t> </w:t>
      </w:r>
      <w:r>
        <w:t xml:space="preserve">mg/kg in liver (0.13 mg/kg fenpropidin + CGA 289267). </w:t>
      </w:r>
      <w:r w:rsidRPr="000766FA">
        <w:t xml:space="preserve">A </w:t>
      </w:r>
      <w:r>
        <w:t>RAL (</w:t>
      </w:r>
      <w:r w:rsidRPr="000766FA">
        <w:t>feeding level</w:t>
      </w:r>
      <w:r>
        <w:t>)</w:t>
      </w:r>
      <w:r w:rsidRPr="000766FA">
        <w:t xml:space="preserve"> of </w:t>
      </w:r>
      <w:r>
        <w:t xml:space="preserve">0.48 </w:t>
      </w:r>
      <w:r w:rsidRPr="000766FA">
        <w:t xml:space="preserve">ppm </w:t>
      </w:r>
      <w:r>
        <w:t>(</w:t>
      </w:r>
      <w:r w:rsidRPr="000766FA">
        <w:t>(</w:t>
      </w:r>
      <w:r>
        <w:t>0.02</w:t>
      </w:r>
      <w:r w:rsidR="00DD03C2">
        <w:t> </w:t>
      </w:r>
      <w:r>
        <w:t xml:space="preserve">mg/kg × 3.15 ppm) </w:t>
      </w:r>
      <w:r w:rsidRPr="00D56DB2">
        <w:t xml:space="preserve">÷ </w:t>
      </w:r>
      <w:r>
        <w:t>0.13 mg/kg</w:t>
      </w:r>
      <w:r w:rsidRPr="00D56DB2">
        <w:t xml:space="preserve"> in the </w:t>
      </w:r>
      <w:r>
        <w:t xml:space="preserve">liver) would </w:t>
      </w:r>
      <w:r w:rsidRPr="000766FA">
        <w:t xml:space="preserve">be required for residues </w:t>
      </w:r>
      <w:r>
        <w:t xml:space="preserve">of fenpropidin + CGA 289267 </w:t>
      </w:r>
      <w:r w:rsidRPr="000766FA">
        <w:t xml:space="preserve">in </w:t>
      </w:r>
      <w:r>
        <w:t xml:space="preserve">liver </w:t>
      </w:r>
      <w:r w:rsidRPr="000766FA">
        <w:t xml:space="preserve">to be at </w:t>
      </w:r>
      <w:r>
        <w:t xml:space="preserve">&lt;0.02 </w:t>
      </w:r>
      <w:r w:rsidRPr="000766FA">
        <w:t>mg/kg.</w:t>
      </w:r>
    </w:p>
    <w:p w14:paraId="32B7078C" w14:textId="3A6DE06E" w:rsidR="0013016D" w:rsidRPr="00D87293" w:rsidRDefault="0013016D" w:rsidP="00FB1455">
      <w:pPr>
        <w:spacing w:before="240" w:after="240" w:line="280" w:lineRule="exact"/>
      </w:pPr>
      <w:r>
        <w:t xml:space="preserve">If this </w:t>
      </w:r>
      <w:r w:rsidR="00320C36">
        <w:t>RAL</w:t>
      </w:r>
      <w:r>
        <w:t xml:space="preserve"> (0.48 mg/kg) for fenpropidin</w:t>
      </w:r>
      <w:r w:rsidRPr="004658EB">
        <w:t xml:space="preserve"> and the </w:t>
      </w:r>
      <w:r w:rsidRPr="00D56DB2">
        <w:t xml:space="preserve">proposed </w:t>
      </w:r>
      <w:r>
        <w:t xml:space="preserve">spray drift parameters are used in the APVMA Spray Drift Risk Assessment Tool (SDRAT) </w:t>
      </w:r>
      <w:r w:rsidR="00320C36">
        <w:t>a</w:t>
      </w:r>
      <w:r w:rsidR="00320C36" w:rsidRPr="00F719AD">
        <w:t xml:space="preserve"> livestock area </w:t>
      </w:r>
      <w:r w:rsidR="00320C36">
        <w:t xml:space="preserve">mandatory downwind </w:t>
      </w:r>
      <w:r w:rsidR="00320C36" w:rsidRPr="00F719AD">
        <w:t>buffer zone of 5 metres for protection of international trade is required for the</w:t>
      </w:r>
      <w:r w:rsidR="00320C36">
        <w:t xml:space="preserve"> proposed</w:t>
      </w:r>
      <w:r w:rsidR="00320C36" w:rsidRPr="00F719AD">
        <w:t xml:space="preserve"> use pattern.</w:t>
      </w:r>
      <w:bookmarkEnd w:id="245"/>
    </w:p>
    <w:p w14:paraId="58188567" w14:textId="43CCAD71" w:rsidR="00705195" w:rsidRDefault="00705195">
      <w:pPr>
        <w:pStyle w:val="Heading2"/>
      </w:pPr>
      <w:bookmarkStart w:id="247" w:name="_Toc137198193"/>
      <w:bookmarkEnd w:id="246"/>
      <w:r>
        <w:t>Environment</w:t>
      </w:r>
      <w:bookmarkEnd w:id="247"/>
    </w:p>
    <w:p w14:paraId="1E26AE1B" w14:textId="5DD07F74" w:rsidR="00705195" w:rsidRDefault="00EF2C8D" w:rsidP="00C563CE">
      <w:pPr>
        <w:pStyle w:val="APVMAText"/>
      </w:pPr>
      <w:r>
        <w:t xml:space="preserve">The aquatic RAL of 0.16 µg </w:t>
      </w:r>
      <w:proofErr w:type="spellStart"/>
      <w:r>
        <w:t>acs</w:t>
      </w:r>
      <w:proofErr w:type="spellEnd"/>
      <w:r>
        <w:t xml:space="preserve">/L is based on the </w:t>
      </w:r>
      <w:proofErr w:type="spellStart"/>
      <w:r w:rsidRPr="00EF2C8D">
        <w:rPr>
          <w:i/>
          <w:iCs/>
        </w:rPr>
        <w:t>Desmodesmus</w:t>
      </w:r>
      <w:proofErr w:type="spellEnd"/>
      <w:r w:rsidRPr="00EF2C8D">
        <w:rPr>
          <w:i/>
          <w:iCs/>
        </w:rPr>
        <w:t xml:space="preserve"> </w:t>
      </w:r>
      <w:proofErr w:type="spellStart"/>
      <w:r w:rsidRPr="00EF2C8D">
        <w:rPr>
          <w:i/>
          <w:iCs/>
        </w:rPr>
        <w:t>subspicatus</w:t>
      </w:r>
      <w:proofErr w:type="spellEnd"/>
      <w:r>
        <w:t xml:space="preserve"> E</w:t>
      </w:r>
      <w:r w:rsidRPr="00EF2C8D">
        <w:rPr>
          <w:vertAlign w:val="subscript"/>
        </w:rPr>
        <w:t>r</w:t>
      </w:r>
      <w:r>
        <w:t>C</w:t>
      </w:r>
      <w:r w:rsidRPr="00EF2C8D">
        <w:rPr>
          <w:vertAlign w:val="subscript"/>
        </w:rPr>
        <w:t>10</w:t>
      </w:r>
      <w:r>
        <w:t xml:space="preserve"> of 0.16 µg </w:t>
      </w:r>
      <w:proofErr w:type="spellStart"/>
      <w:r>
        <w:t>acs</w:t>
      </w:r>
      <w:proofErr w:type="spellEnd"/>
      <w:r>
        <w:t xml:space="preserve">/L for the combination product </w:t>
      </w:r>
      <w:r w:rsidR="00C563CE">
        <w:t>SEEKER Duo</w:t>
      </w:r>
      <w:r>
        <w:t xml:space="preserve"> Fungicide and an assessment factor of 1. On this basis, a mandatory downwind buffer zone of 55 metres was determined for the protection of natural aquatic areas.</w:t>
      </w:r>
    </w:p>
    <w:p w14:paraId="3A54A9F5" w14:textId="55C7F131" w:rsidR="00EF2C8D" w:rsidRDefault="00EF2C8D" w:rsidP="00424BBE">
      <w:pPr>
        <w:pStyle w:val="APVMAText"/>
      </w:pPr>
      <w:r>
        <w:t xml:space="preserve">The pollinator RAL of 14000 µg </w:t>
      </w:r>
      <w:proofErr w:type="spellStart"/>
      <w:r>
        <w:t>acs</w:t>
      </w:r>
      <w:proofErr w:type="spellEnd"/>
      <w:r>
        <w:t xml:space="preserve">/bee is based on the </w:t>
      </w:r>
      <w:proofErr w:type="spellStart"/>
      <w:r w:rsidRPr="00EF2C8D">
        <w:rPr>
          <w:i/>
          <w:iCs/>
        </w:rPr>
        <w:t>Apis</w:t>
      </w:r>
      <w:proofErr w:type="spellEnd"/>
      <w:r w:rsidRPr="00EF2C8D">
        <w:rPr>
          <w:i/>
          <w:iCs/>
        </w:rPr>
        <w:t xml:space="preserve"> mellifera</w:t>
      </w:r>
      <w:r>
        <w:t xml:space="preserve"> contact LD</w:t>
      </w:r>
      <w:r w:rsidRPr="00EF2C8D">
        <w:rPr>
          <w:vertAlign w:val="subscript"/>
        </w:rPr>
        <w:t>50</w:t>
      </w:r>
      <w:r>
        <w:t xml:space="preserve"> 84 µg </w:t>
      </w:r>
      <w:proofErr w:type="spellStart"/>
      <w:r>
        <w:t>acs</w:t>
      </w:r>
      <w:proofErr w:type="spellEnd"/>
      <w:r>
        <w:t xml:space="preserve">/bee for the combination product </w:t>
      </w:r>
      <w:r w:rsidR="00C563CE">
        <w:t>SEEKER Duo</w:t>
      </w:r>
      <w:r>
        <w:t xml:space="preserve"> Fungicide and a conversion factor of LOC 0.4 / </w:t>
      </w:r>
      <w:proofErr w:type="spellStart"/>
      <w:r>
        <w:t>ExpE</w:t>
      </w:r>
      <w:proofErr w:type="spellEnd"/>
      <w:r>
        <w:t xml:space="preserve"> 2.4 * 1</w:t>
      </w:r>
      <w:r w:rsidR="00DD03C2">
        <w:t>,</w:t>
      </w:r>
      <w:r>
        <w:t>000. On this basis, a mandatory downwind buffer zone is not required for the protection of pollinator areas.</w:t>
      </w:r>
    </w:p>
    <w:p w14:paraId="6019E37D" w14:textId="505E8957" w:rsidR="00EF2C8D" w:rsidRDefault="00EF2C8D" w:rsidP="00424BBE">
      <w:pPr>
        <w:pStyle w:val="APVMAText"/>
      </w:pPr>
      <w:r>
        <w:t xml:space="preserve">The vegetation RAL of 120 g </w:t>
      </w:r>
      <w:proofErr w:type="spellStart"/>
      <w:r>
        <w:t>acs</w:t>
      </w:r>
      <w:proofErr w:type="spellEnd"/>
      <w:r>
        <w:t xml:space="preserve">/ha is based on the </w:t>
      </w:r>
      <w:r w:rsidRPr="00EF2C8D">
        <w:rPr>
          <w:i/>
          <w:iCs/>
        </w:rPr>
        <w:t>Brassica napus</w:t>
      </w:r>
      <w:r>
        <w:t xml:space="preserve"> post-emergent ER</w:t>
      </w:r>
      <w:r w:rsidRPr="00EF2C8D">
        <w:rPr>
          <w:vertAlign w:val="subscript"/>
        </w:rPr>
        <w:t>25</w:t>
      </w:r>
      <w:r>
        <w:t xml:space="preserve"> &gt;239 g </w:t>
      </w:r>
      <w:proofErr w:type="spellStart"/>
      <w:r>
        <w:t>acs</w:t>
      </w:r>
      <w:proofErr w:type="spellEnd"/>
      <w:r>
        <w:t xml:space="preserve">/ha for the combination product </w:t>
      </w:r>
      <w:r w:rsidR="00C563CE">
        <w:t>SEEKER Duo</w:t>
      </w:r>
      <w:r>
        <w:t xml:space="preserve"> Fungicide and an assessment factor of 2. On this basis, a mandatory downwind buffer zone is not required for the protection of vegetation areas.</w:t>
      </w:r>
    </w:p>
    <w:p w14:paraId="395A67F8" w14:textId="27F3EBE3" w:rsidR="00705195" w:rsidRDefault="00DD03C2" w:rsidP="00DD03C2">
      <w:pPr>
        <w:pStyle w:val="Caption"/>
      </w:pPr>
      <w:bookmarkStart w:id="248" w:name="_Toc137198205"/>
      <w:r>
        <w:lastRenderedPageBreak/>
        <w:t xml:space="preserve">Table </w:t>
      </w:r>
      <w:fldSimple w:instr=" SEQ Table \* ARABIC ">
        <w:r>
          <w:rPr>
            <w:noProof/>
          </w:rPr>
          <w:t>8</w:t>
        </w:r>
      </w:fldSimple>
      <w:r w:rsidR="00772458">
        <w:t>:</w:t>
      </w:r>
      <w:r w:rsidR="00772458" w:rsidRPr="001D4D17">
        <w:t xml:space="preserve"> </w:t>
      </w:r>
      <w:r w:rsidR="00705195">
        <w:t xml:space="preserve">Summary of RALs for </w:t>
      </w:r>
      <w:r w:rsidR="00C563CE">
        <w:t>SEEKER Duo</w:t>
      </w:r>
      <w:r w:rsidR="00EF2C8D">
        <w:t xml:space="preserve"> Fungicide</w:t>
      </w:r>
      <w:bookmarkEnd w:id="248"/>
    </w:p>
    <w:tbl>
      <w:tblPr>
        <w:tblW w:w="5000" w:type="pct"/>
        <w:tblLook w:val="00A0" w:firstRow="1" w:lastRow="0" w:firstColumn="1" w:lastColumn="0" w:noHBand="0" w:noVBand="0"/>
      </w:tblPr>
      <w:tblGrid>
        <w:gridCol w:w="3024"/>
        <w:gridCol w:w="3946"/>
        <w:gridCol w:w="2668"/>
      </w:tblGrid>
      <w:tr w:rsidR="00772458" w:rsidRPr="00F40B8F" w14:paraId="4F22CBA6" w14:textId="77777777" w:rsidTr="00772458">
        <w:trPr>
          <w:trHeight w:val="689"/>
          <w:tblHeader/>
        </w:trPr>
        <w:tc>
          <w:tcPr>
            <w:tcW w:w="1569" w:type="pct"/>
            <w:vMerge w:val="restart"/>
            <w:tcBorders>
              <w:top w:val="single" w:sz="4" w:space="0" w:color="auto"/>
            </w:tcBorders>
            <w:shd w:val="clear" w:color="auto" w:fill="00747A" w:themeFill="background2"/>
            <w:vAlign w:val="center"/>
          </w:tcPr>
          <w:p w14:paraId="5C5373E0" w14:textId="77777777" w:rsidR="00772458" w:rsidRPr="004D4E61" w:rsidRDefault="00772458" w:rsidP="00772458">
            <w:pPr>
              <w:pStyle w:val="APVMATableHead"/>
            </w:pPr>
            <w:r>
              <w:t>Sensitive area</w:t>
            </w:r>
          </w:p>
        </w:tc>
        <w:tc>
          <w:tcPr>
            <w:tcW w:w="3431" w:type="pct"/>
            <w:gridSpan w:val="2"/>
            <w:tcBorders>
              <w:top w:val="single" w:sz="4" w:space="0" w:color="auto"/>
              <w:bottom w:val="single" w:sz="4" w:space="0" w:color="auto"/>
            </w:tcBorders>
            <w:shd w:val="clear" w:color="auto" w:fill="00747A" w:themeFill="background2"/>
            <w:vAlign w:val="center"/>
          </w:tcPr>
          <w:p w14:paraId="49B5664F" w14:textId="03B00922" w:rsidR="00772458" w:rsidRDefault="00772458" w:rsidP="00772458">
            <w:pPr>
              <w:pStyle w:val="APVMATableHead"/>
              <w:jc w:val="center"/>
            </w:pPr>
            <w:r>
              <w:t>Regulatory Acceptable Level</w:t>
            </w:r>
          </w:p>
        </w:tc>
      </w:tr>
      <w:tr w:rsidR="00705195" w:rsidRPr="00F40B8F" w14:paraId="448E9CF0" w14:textId="77777777" w:rsidTr="00DD03C2">
        <w:trPr>
          <w:trHeight w:val="483"/>
        </w:trPr>
        <w:tc>
          <w:tcPr>
            <w:tcW w:w="1569" w:type="pct"/>
            <w:vMerge/>
            <w:tcBorders>
              <w:bottom w:val="single" w:sz="4" w:space="0" w:color="auto"/>
            </w:tcBorders>
          </w:tcPr>
          <w:p w14:paraId="04EB8F2D" w14:textId="77777777" w:rsidR="00705195" w:rsidRPr="00405CA9" w:rsidRDefault="00705195" w:rsidP="00772458">
            <w:pPr>
              <w:pStyle w:val="APVMATableHead"/>
              <w:rPr>
                <w:lang w:val="en-GB"/>
              </w:rPr>
            </w:pPr>
          </w:p>
        </w:tc>
        <w:tc>
          <w:tcPr>
            <w:tcW w:w="2047" w:type="pct"/>
            <w:tcBorders>
              <w:top w:val="single" w:sz="4" w:space="0" w:color="auto"/>
              <w:bottom w:val="single" w:sz="4" w:space="0" w:color="auto"/>
            </w:tcBorders>
            <w:shd w:val="clear" w:color="auto" w:fill="00747A" w:themeFill="background2"/>
            <w:vAlign w:val="center"/>
          </w:tcPr>
          <w:p w14:paraId="5BE06C17" w14:textId="44754A42" w:rsidR="00705195" w:rsidRPr="00DD45A4" w:rsidRDefault="00705195" w:rsidP="00DD03C2">
            <w:pPr>
              <w:pStyle w:val="APVMATableHead"/>
              <w:jc w:val="right"/>
              <w:rPr>
                <w:lang w:val="en-GB"/>
              </w:rPr>
            </w:pPr>
            <w:r w:rsidRPr="00DD45A4">
              <w:rPr>
                <w:lang w:val="en-GB"/>
              </w:rPr>
              <w:t xml:space="preserve">Level of </w:t>
            </w:r>
            <w:r w:rsidR="00EF2C8D">
              <w:rPr>
                <w:lang w:val="en-GB"/>
              </w:rPr>
              <w:t>difenoconazole + fenpropidin</w:t>
            </w:r>
          </w:p>
        </w:tc>
        <w:tc>
          <w:tcPr>
            <w:tcW w:w="1384" w:type="pct"/>
            <w:tcBorders>
              <w:top w:val="single" w:sz="4" w:space="0" w:color="auto"/>
              <w:bottom w:val="single" w:sz="4" w:space="0" w:color="auto"/>
            </w:tcBorders>
            <w:shd w:val="clear" w:color="auto" w:fill="00747A" w:themeFill="background2"/>
            <w:vAlign w:val="center"/>
          </w:tcPr>
          <w:p w14:paraId="4B9F97C7" w14:textId="77777777" w:rsidR="00705195" w:rsidRPr="00DD45A4" w:rsidRDefault="00705195" w:rsidP="00DD03C2">
            <w:pPr>
              <w:pStyle w:val="APVMATableHead"/>
              <w:jc w:val="right"/>
              <w:rPr>
                <w:lang w:val="en-GB"/>
              </w:rPr>
            </w:pPr>
            <w:r w:rsidRPr="00DD45A4">
              <w:rPr>
                <w:lang w:val="en-GB"/>
              </w:rPr>
              <w:t>Units</w:t>
            </w:r>
          </w:p>
        </w:tc>
      </w:tr>
      <w:tr w:rsidR="00705195" w:rsidRPr="00F40B8F" w14:paraId="1F241FD6" w14:textId="77777777" w:rsidTr="00772458">
        <w:trPr>
          <w:trHeight w:val="480"/>
        </w:trPr>
        <w:tc>
          <w:tcPr>
            <w:tcW w:w="1569" w:type="pct"/>
            <w:tcBorders>
              <w:top w:val="single" w:sz="4" w:space="0" w:color="auto"/>
              <w:bottom w:val="single" w:sz="4" w:space="0" w:color="auto"/>
            </w:tcBorders>
          </w:tcPr>
          <w:p w14:paraId="2E276F64" w14:textId="7AFCA870" w:rsidR="00705195" w:rsidRPr="00405CA9" w:rsidRDefault="00705195" w:rsidP="00772458">
            <w:pPr>
              <w:pStyle w:val="APVMATableText"/>
              <w:rPr>
                <w:lang w:val="en-GB"/>
              </w:rPr>
            </w:pPr>
            <w:r>
              <w:rPr>
                <w:lang w:val="en-GB"/>
              </w:rPr>
              <w:t>Bystander</w:t>
            </w:r>
          </w:p>
        </w:tc>
        <w:tc>
          <w:tcPr>
            <w:tcW w:w="2047" w:type="pct"/>
            <w:tcBorders>
              <w:top w:val="single" w:sz="4" w:space="0" w:color="auto"/>
              <w:bottom w:val="single" w:sz="4" w:space="0" w:color="auto"/>
            </w:tcBorders>
            <w:vAlign w:val="center"/>
          </w:tcPr>
          <w:p w14:paraId="39E91EC1" w14:textId="53AD210E" w:rsidR="00705195" w:rsidRPr="00405CA9" w:rsidRDefault="00301BE4" w:rsidP="00772458">
            <w:pPr>
              <w:pStyle w:val="APVMATableText"/>
              <w:jc w:val="right"/>
              <w:rPr>
                <w:lang w:val="en-GB"/>
              </w:rPr>
            </w:pPr>
            <w:r>
              <w:rPr>
                <w:lang w:val="en-GB"/>
              </w:rPr>
              <w:t>65</w:t>
            </w:r>
          </w:p>
        </w:tc>
        <w:tc>
          <w:tcPr>
            <w:tcW w:w="1384" w:type="pct"/>
            <w:tcBorders>
              <w:top w:val="single" w:sz="4" w:space="0" w:color="auto"/>
              <w:bottom w:val="single" w:sz="4" w:space="0" w:color="auto"/>
            </w:tcBorders>
            <w:vAlign w:val="center"/>
          </w:tcPr>
          <w:p w14:paraId="3F4D9A45" w14:textId="4DB61965" w:rsidR="00705195" w:rsidRPr="00405CA9" w:rsidRDefault="00705195" w:rsidP="00772458">
            <w:pPr>
              <w:pStyle w:val="APVMATableText"/>
              <w:jc w:val="right"/>
            </w:pPr>
            <w:r>
              <w:t>g/ha</w:t>
            </w:r>
          </w:p>
        </w:tc>
      </w:tr>
      <w:tr w:rsidR="00705195" w:rsidRPr="00F40B8F" w14:paraId="181DA7FA" w14:textId="77777777" w:rsidTr="00772458">
        <w:trPr>
          <w:trHeight w:val="480"/>
        </w:trPr>
        <w:tc>
          <w:tcPr>
            <w:tcW w:w="1569" w:type="pct"/>
            <w:tcBorders>
              <w:top w:val="single" w:sz="4" w:space="0" w:color="auto"/>
              <w:bottom w:val="single" w:sz="4" w:space="0" w:color="auto"/>
            </w:tcBorders>
          </w:tcPr>
          <w:p w14:paraId="47E61541" w14:textId="33B43277" w:rsidR="00705195" w:rsidRPr="00405CA9" w:rsidRDefault="00705195" w:rsidP="00772458">
            <w:pPr>
              <w:pStyle w:val="APVMATableText"/>
              <w:rPr>
                <w:lang w:val="en-GB"/>
              </w:rPr>
            </w:pPr>
            <w:r>
              <w:rPr>
                <w:lang w:val="en-GB"/>
              </w:rPr>
              <w:t>Livestock</w:t>
            </w:r>
          </w:p>
        </w:tc>
        <w:tc>
          <w:tcPr>
            <w:tcW w:w="2047" w:type="pct"/>
            <w:tcBorders>
              <w:top w:val="single" w:sz="4" w:space="0" w:color="auto"/>
              <w:bottom w:val="single" w:sz="4" w:space="0" w:color="auto"/>
            </w:tcBorders>
            <w:vAlign w:val="center"/>
          </w:tcPr>
          <w:p w14:paraId="60CA4783" w14:textId="09CF541D" w:rsidR="00705195" w:rsidRPr="00405CA9" w:rsidRDefault="0013016D" w:rsidP="00772458">
            <w:pPr>
              <w:pStyle w:val="APVMATableText"/>
              <w:jc w:val="right"/>
              <w:rPr>
                <w:lang w:val="en-GB"/>
              </w:rPr>
            </w:pPr>
            <w:r>
              <w:rPr>
                <w:lang w:val="en-GB"/>
              </w:rPr>
              <w:t>0.48</w:t>
            </w:r>
          </w:p>
        </w:tc>
        <w:tc>
          <w:tcPr>
            <w:tcW w:w="1384" w:type="pct"/>
            <w:tcBorders>
              <w:top w:val="single" w:sz="4" w:space="0" w:color="auto"/>
              <w:bottom w:val="single" w:sz="4" w:space="0" w:color="auto"/>
            </w:tcBorders>
            <w:vAlign w:val="center"/>
          </w:tcPr>
          <w:p w14:paraId="4B2651D1" w14:textId="6FC1CF7B" w:rsidR="00705195" w:rsidRPr="00405CA9" w:rsidRDefault="00705195" w:rsidP="00772458">
            <w:pPr>
              <w:pStyle w:val="APVMATableText"/>
              <w:jc w:val="right"/>
              <w:rPr>
                <w:lang w:val="en-GB"/>
              </w:rPr>
            </w:pPr>
            <w:r>
              <w:t>ppm</w:t>
            </w:r>
          </w:p>
        </w:tc>
      </w:tr>
      <w:tr w:rsidR="00705195" w:rsidRPr="00F40B8F" w14:paraId="54FFAA9E" w14:textId="77777777" w:rsidTr="00772458">
        <w:trPr>
          <w:trHeight w:val="480"/>
        </w:trPr>
        <w:tc>
          <w:tcPr>
            <w:tcW w:w="1569" w:type="pct"/>
            <w:tcBorders>
              <w:top w:val="single" w:sz="4" w:space="0" w:color="auto"/>
              <w:bottom w:val="single" w:sz="4" w:space="0" w:color="auto"/>
            </w:tcBorders>
          </w:tcPr>
          <w:p w14:paraId="44C1EE9F" w14:textId="3CF9AB12" w:rsidR="00705195" w:rsidRPr="00405CA9" w:rsidRDefault="00705195" w:rsidP="00772458">
            <w:pPr>
              <w:pStyle w:val="APVMATableText"/>
              <w:rPr>
                <w:lang w:val="en-GB"/>
              </w:rPr>
            </w:pPr>
            <w:r>
              <w:rPr>
                <w:lang w:val="en-GB"/>
              </w:rPr>
              <w:t>Aquatic</w:t>
            </w:r>
          </w:p>
        </w:tc>
        <w:tc>
          <w:tcPr>
            <w:tcW w:w="2047" w:type="pct"/>
            <w:tcBorders>
              <w:top w:val="single" w:sz="4" w:space="0" w:color="auto"/>
              <w:bottom w:val="single" w:sz="4" w:space="0" w:color="auto"/>
            </w:tcBorders>
            <w:vAlign w:val="center"/>
          </w:tcPr>
          <w:p w14:paraId="5EEC2A91" w14:textId="3CF3910B" w:rsidR="00705195" w:rsidRPr="00405CA9" w:rsidRDefault="00EF2C8D" w:rsidP="00772458">
            <w:pPr>
              <w:pStyle w:val="APVMATableText"/>
              <w:jc w:val="right"/>
              <w:rPr>
                <w:lang w:val="en-GB"/>
              </w:rPr>
            </w:pPr>
            <w:r>
              <w:rPr>
                <w:lang w:val="en-GB"/>
              </w:rPr>
              <w:t>0.16</w:t>
            </w:r>
          </w:p>
        </w:tc>
        <w:tc>
          <w:tcPr>
            <w:tcW w:w="1384" w:type="pct"/>
            <w:tcBorders>
              <w:top w:val="single" w:sz="4" w:space="0" w:color="auto"/>
              <w:bottom w:val="single" w:sz="4" w:space="0" w:color="auto"/>
            </w:tcBorders>
            <w:vAlign w:val="center"/>
          </w:tcPr>
          <w:p w14:paraId="2529F098" w14:textId="70D87A55" w:rsidR="00705195" w:rsidRPr="00405CA9" w:rsidRDefault="00705195" w:rsidP="00772458">
            <w:pPr>
              <w:pStyle w:val="APVMATableText"/>
              <w:jc w:val="right"/>
            </w:pPr>
            <w:r>
              <w:t>µg/L</w:t>
            </w:r>
          </w:p>
        </w:tc>
      </w:tr>
      <w:tr w:rsidR="00705195" w:rsidRPr="00F40B8F" w14:paraId="3B5B70A6" w14:textId="77777777" w:rsidTr="00772458">
        <w:trPr>
          <w:trHeight w:val="480"/>
        </w:trPr>
        <w:tc>
          <w:tcPr>
            <w:tcW w:w="1569" w:type="pct"/>
            <w:tcBorders>
              <w:top w:val="single" w:sz="4" w:space="0" w:color="auto"/>
              <w:bottom w:val="single" w:sz="4" w:space="0" w:color="auto"/>
            </w:tcBorders>
          </w:tcPr>
          <w:p w14:paraId="6F416076" w14:textId="527739CF" w:rsidR="00705195" w:rsidRPr="00405CA9" w:rsidRDefault="00705195" w:rsidP="00772458">
            <w:pPr>
              <w:pStyle w:val="APVMATableText"/>
              <w:rPr>
                <w:lang w:val="en-GB"/>
              </w:rPr>
            </w:pPr>
            <w:r>
              <w:rPr>
                <w:lang w:val="en-GB"/>
              </w:rPr>
              <w:t>Pollinator</w:t>
            </w:r>
          </w:p>
        </w:tc>
        <w:tc>
          <w:tcPr>
            <w:tcW w:w="2047" w:type="pct"/>
            <w:tcBorders>
              <w:top w:val="single" w:sz="4" w:space="0" w:color="auto"/>
              <w:bottom w:val="single" w:sz="4" w:space="0" w:color="auto"/>
            </w:tcBorders>
            <w:vAlign w:val="center"/>
          </w:tcPr>
          <w:p w14:paraId="3A1E92BE" w14:textId="7412A19F" w:rsidR="00705195" w:rsidRPr="00405CA9" w:rsidRDefault="00F75B64" w:rsidP="00772458">
            <w:pPr>
              <w:pStyle w:val="APVMATableText"/>
              <w:jc w:val="right"/>
              <w:rPr>
                <w:lang w:val="en-GB"/>
              </w:rPr>
            </w:pPr>
            <w:r>
              <w:rPr>
                <w:lang w:val="en-GB"/>
              </w:rPr>
              <w:t>0.0</w:t>
            </w:r>
            <w:r w:rsidR="00EF2C8D">
              <w:rPr>
                <w:lang w:val="en-GB"/>
              </w:rPr>
              <w:t>14</w:t>
            </w:r>
          </w:p>
        </w:tc>
        <w:tc>
          <w:tcPr>
            <w:tcW w:w="1384" w:type="pct"/>
            <w:tcBorders>
              <w:top w:val="single" w:sz="4" w:space="0" w:color="auto"/>
              <w:bottom w:val="single" w:sz="4" w:space="0" w:color="auto"/>
            </w:tcBorders>
            <w:vAlign w:val="center"/>
          </w:tcPr>
          <w:p w14:paraId="41F050E0" w14:textId="77777777" w:rsidR="00705195" w:rsidRPr="00405CA9" w:rsidRDefault="00705195" w:rsidP="00772458">
            <w:pPr>
              <w:pStyle w:val="APVMATableText"/>
              <w:jc w:val="right"/>
            </w:pPr>
            <w:r>
              <w:t>g/ha</w:t>
            </w:r>
          </w:p>
        </w:tc>
      </w:tr>
      <w:tr w:rsidR="00705195" w:rsidRPr="00F40B8F" w14:paraId="68606892" w14:textId="77777777" w:rsidTr="00772458">
        <w:trPr>
          <w:trHeight w:val="480"/>
        </w:trPr>
        <w:tc>
          <w:tcPr>
            <w:tcW w:w="1569" w:type="pct"/>
            <w:tcBorders>
              <w:top w:val="single" w:sz="4" w:space="0" w:color="auto"/>
              <w:bottom w:val="single" w:sz="4" w:space="0" w:color="auto"/>
            </w:tcBorders>
          </w:tcPr>
          <w:p w14:paraId="3DFD70E3" w14:textId="3CC3B6AE" w:rsidR="00705195" w:rsidRPr="00405CA9" w:rsidRDefault="00705195" w:rsidP="00772458">
            <w:pPr>
              <w:pStyle w:val="APVMATableText"/>
              <w:rPr>
                <w:lang w:val="en-GB"/>
              </w:rPr>
            </w:pPr>
            <w:r>
              <w:rPr>
                <w:lang w:val="en-GB"/>
              </w:rPr>
              <w:t>Vegetation</w:t>
            </w:r>
          </w:p>
        </w:tc>
        <w:tc>
          <w:tcPr>
            <w:tcW w:w="2047" w:type="pct"/>
            <w:tcBorders>
              <w:top w:val="single" w:sz="4" w:space="0" w:color="auto"/>
              <w:bottom w:val="single" w:sz="4" w:space="0" w:color="auto"/>
            </w:tcBorders>
            <w:vAlign w:val="center"/>
          </w:tcPr>
          <w:p w14:paraId="3EE09379" w14:textId="60EA3582" w:rsidR="00705195" w:rsidRPr="00405CA9" w:rsidRDefault="00EF2C8D" w:rsidP="00772458">
            <w:pPr>
              <w:pStyle w:val="APVMATableText"/>
              <w:jc w:val="right"/>
              <w:rPr>
                <w:lang w:val="en-GB"/>
              </w:rPr>
            </w:pPr>
            <w:r>
              <w:rPr>
                <w:lang w:val="en-GB"/>
              </w:rPr>
              <w:t>120</w:t>
            </w:r>
          </w:p>
        </w:tc>
        <w:tc>
          <w:tcPr>
            <w:tcW w:w="1384" w:type="pct"/>
            <w:tcBorders>
              <w:top w:val="single" w:sz="4" w:space="0" w:color="auto"/>
              <w:bottom w:val="single" w:sz="4" w:space="0" w:color="auto"/>
            </w:tcBorders>
            <w:vAlign w:val="center"/>
          </w:tcPr>
          <w:p w14:paraId="48866F16" w14:textId="796C445F" w:rsidR="00705195" w:rsidRPr="00405CA9" w:rsidRDefault="00705195" w:rsidP="00772458">
            <w:pPr>
              <w:pStyle w:val="APVMATableText"/>
              <w:jc w:val="right"/>
              <w:rPr>
                <w:lang w:val="en-GB"/>
              </w:rPr>
            </w:pPr>
            <w:r>
              <w:t>g/</w:t>
            </w:r>
            <w:r w:rsidR="00EF2C8D">
              <w:t>ha</w:t>
            </w:r>
          </w:p>
        </w:tc>
      </w:tr>
    </w:tbl>
    <w:p w14:paraId="132A210A" w14:textId="33D9FBC4" w:rsidR="003B36F6" w:rsidRDefault="00705195" w:rsidP="00772458">
      <w:pPr>
        <w:pStyle w:val="APVMAText"/>
        <w:sectPr w:rsidR="003B36F6">
          <w:headerReference w:type="even" r:id="rId59"/>
          <w:pgSz w:w="11906" w:h="16838" w:code="9"/>
          <w:pgMar w:top="2835" w:right="1134" w:bottom="1134" w:left="1134" w:header="1701" w:footer="680" w:gutter="0"/>
          <w:cols w:space="708"/>
          <w:docGrid w:linePitch="360"/>
        </w:sectPr>
      </w:pPr>
      <w:r>
        <w:t xml:space="preserve">Buffer zones calculated by the SDRAT or SDMT, using the above RALs, were incorporated into the </w:t>
      </w:r>
      <w:r w:rsidR="0013016D">
        <w:t>SEEKER Duo Fungicide</w:t>
      </w:r>
      <w:r>
        <w:t xml:space="preserve"> label spray drift instructions (see </w:t>
      </w:r>
      <w:r w:rsidR="0076267D" w:rsidRPr="0076267D">
        <w:rPr>
          <w:i/>
        </w:rPr>
        <w:t>Labelling Requirements</w:t>
      </w:r>
      <w:r w:rsidR="0076267D">
        <w:t xml:space="preserve"> </w:t>
      </w:r>
      <w:r>
        <w:t>below</w:t>
      </w:r>
      <w:r w:rsidR="00C563CE">
        <w:t>).</w:t>
      </w:r>
      <w:bookmarkEnd w:id="240"/>
      <w:bookmarkEnd w:id="241"/>
    </w:p>
    <w:p w14:paraId="524248FC" w14:textId="77777777" w:rsidR="003F67BE" w:rsidRDefault="003F67BE" w:rsidP="00C563CE">
      <w:pPr>
        <w:pStyle w:val="Heading1"/>
        <w:tabs>
          <w:tab w:val="num" w:pos="907"/>
        </w:tabs>
      </w:pPr>
      <w:bookmarkStart w:id="249" w:name="_Toc531181108"/>
      <w:bookmarkStart w:id="250" w:name="_Toc7561294"/>
      <w:bookmarkStart w:id="251" w:name="_Toc137198194"/>
      <w:r>
        <w:lastRenderedPageBreak/>
        <w:t>Labelling requirements</w:t>
      </w:r>
      <w:bookmarkEnd w:id="249"/>
      <w:bookmarkEnd w:id="250"/>
      <w:bookmarkEnd w:id="251"/>
    </w:p>
    <w:p w14:paraId="0EFD247F" w14:textId="77777777" w:rsidR="0013016D" w:rsidRPr="0013016D" w:rsidRDefault="0013016D" w:rsidP="00DD03C2">
      <w:pPr>
        <w:spacing w:before="400" w:line="240" w:lineRule="auto"/>
        <w:rPr>
          <w:rFonts w:cs="Arial"/>
          <w:b/>
          <w:bCs/>
          <w:snapToGrid w:val="0"/>
          <w:sz w:val="48"/>
          <w:szCs w:val="48"/>
        </w:rPr>
      </w:pPr>
      <w:r w:rsidRPr="0013016D">
        <w:rPr>
          <w:rFonts w:cs="Arial"/>
          <w:b/>
          <w:bCs/>
          <w:snapToGrid w:val="0"/>
          <w:sz w:val="48"/>
          <w:szCs w:val="48"/>
        </w:rPr>
        <w:t>POISON</w:t>
      </w:r>
    </w:p>
    <w:p w14:paraId="206DC281" w14:textId="77777777" w:rsidR="0013016D" w:rsidRPr="0013016D" w:rsidRDefault="0013016D" w:rsidP="0013016D">
      <w:pPr>
        <w:spacing w:line="240" w:lineRule="auto"/>
        <w:rPr>
          <w:rFonts w:cs="Arial"/>
          <w:b/>
          <w:bCs/>
          <w:snapToGrid w:val="0"/>
          <w:sz w:val="48"/>
          <w:szCs w:val="48"/>
        </w:rPr>
      </w:pPr>
      <w:r w:rsidRPr="0013016D">
        <w:rPr>
          <w:rFonts w:cs="Arial"/>
          <w:b/>
          <w:bCs/>
          <w:sz w:val="24"/>
        </w:rPr>
        <w:t>KEEP OUT OF REACH OF CHILDREN</w:t>
      </w:r>
    </w:p>
    <w:p w14:paraId="034D98AD" w14:textId="38F85FAC" w:rsidR="0013016D" w:rsidRPr="0013016D" w:rsidRDefault="0013016D" w:rsidP="00DD03C2">
      <w:pPr>
        <w:spacing w:after="500" w:line="240" w:lineRule="auto"/>
        <w:rPr>
          <w:rFonts w:cs="Arial"/>
          <w:szCs w:val="20"/>
        </w:rPr>
      </w:pPr>
      <w:r w:rsidRPr="0013016D">
        <w:rPr>
          <w:rFonts w:cs="Arial"/>
          <w:b/>
          <w:bCs/>
          <w:noProof/>
          <w:sz w:val="24"/>
        </w:rPr>
        <w:drawing>
          <wp:anchor distT="0" distB="0" distL="114300" distR="114300" simplePos="0" relativeHeight="251660288" behindDoc="1" locked="0" layoutInCell="1" allowOverlap="1" wp14:anchorId="1A3F8ED2" wp14:editId="1356C9A3">
            <wp:simplePos x="0" y="0"/>
            <wp:positionH relativeFrom="page">
              <wp:align>center</wp:align>
            </wp:positionH>
            <wp:positionV relativeFrom="paragraph">
              <wp:posOffset>209550</wp:posOffset>
            </wp:positionV>
            <wp:extent cx="6456906" cy="7583805"/>
            <wp:effectExtent l="0" t="0" r="1270" b="0"/>
            <wp:wrapNone/>
            <wp:docPr id="11" name="Picture 11"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logo&#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56906" cy="758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16D">
        <w:rPr>
          <w:rFonts w:cs="Arial"/>
          <w:b/>
          <w:bCs/>
          <w:snapToGrid w:val="0"/>
          <w:sz w:val="24"/>
        </w:rPr>
        <w:t>READ SAFETY DIRECTIONS BEFORE OPENING OR USING</w:t>
      </w:r>
    </w:p>
    <w:p w14:paraId="0D47F61F" w14:textId="224BB167" w:rsidR="0013016D" w:rsidRPr="00C563CE" w:rsidRDefault="0013016D" w:rsidP="0013016D">
      <w:pPr>
        <w:spacing w:line="240" w:lineRule="auto"/>
        <w:rPr>
          <w:rFonts w:cs="Arial"/>
          <w:szCs w:val="20"/>
        </w:rPr>
      </w:pPr>
      <w:r w:rsidRPr="0013016D">
        <w:rPr>
          <w:rFonts w:ascii="Times New Roman" w:hAnsi="Times New Roman"/>
          <w:noProof/>
          <w:szCs w:val="20"/>
          <w:lang w:eastAsia="en-AU"/>
        </w:rPr>
        <mc:AlternateContent>
          <mc:Choice Requires="wps">
            <w:drawing>
              <wp:anchor distT="0" distB="0" distL="114300" distR="114300" simplePos="0" relativeHeight="251659264" behindDoc="0" locked="0" layoutInCell="1" allowOverlap="1" wp14:anchorId="0382204D" wp14:editId="321DD249">
                <wp:simplePos x="0" y="0"/>
                <wp:positionH relativeFrom="margin">
                  <wp:posOffset>-2540</wp:posOffset>
                </wp:positionH>
                <wp:positionV relativeFrom="paragraph">
                  <wp:posOffset>2282825</wp:posOffset>
                </wp:positionV>
                <wp:extent cx="4629150" cy="3506470"/>
                <wp:effectExtent l="0" t="0" r="0" b="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0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77578" w14:textId="77777777" w:rsidR="0013016D" w:rsidRDefault="0013016D" w:rsidP="0013016D">
                            <w:pPr>
                              <w:ind w:left="3119" w:hanging="3119"/>
                              <w:rPr>
                                <w:rFonts w:cs="Arial"/>
                                <w:b/>
                                <w:sz w:val="24"/>
                                <w:lang w:val="fr-FR"/>
                              </w:rPr>
                            </w:pPr>
                            <w:r w:rsidRPr="003F075E">
                              <w:rPr>
                                <w:rFonts w:cs="Arial"/>
                                <w:b/>
                                <w:sz w:val="24"/>
                                <w:lang w:val="fr-FR"/>
                              </w:rPr>
                              <w:t>ACTIVE CONSTITUENT</w:t>
                            </w:r>
                            <w:r>
                              <w:rPr>
                                <w:rFonts w:cs="Arial"/>
                                <w:b/>
                                <w:sz w:val="24"/>
                                <w:lang w:val="fr-FR"/>
                              </w:rPr>
                              <w:t>S</w:t>
                            </w:r>
                            <w:r w:rsidRPr="003F075E">
                              <w:rPr>
                                <w:rFonts w:cs="Arial"/>
                                <w:b/>
                                <w:sz w:val="24"/>
                                <w:lang w:val="fr-FR"/>
                              </w:rPr>
                              <w:t>:</w:t>
                            </w:r>
                            <w:r>
                              <w:rPr>
                                <w:rFonts w:cs="Arial"/>
                                <w:b/>
                                <w:sz w:val="24"/>
                                <w:lang w:val="fr-FR"/>
                              </w:rPr>
                              <w:tab/>
                              <w:t>375</w:t>
                            </w:r>
                            <w:r w:rsidRPr="003F075E">
                              <w:rPr>
                                <w:rFonts w:cs="Arial"/>
                                <w:b/>
                                <w:sz w:val="24"/>
                                <w:lang w:val="fr-FR"/>
                              </w:rPr>
                              <w:t xml:space="preserve"> g/L </w:t>
                            </w:r>
                            <w:r>
                              <w:rPr>
                                <w:rFonts w:cs="Arial"/>
                                <w:b/>
                                <w:sz w:val="24"/>
                                <w:lang w:val="fr-FR"/>
                              </w:rPr>
                              <w:t>FENPROPIDIN</w:t>
                            </w:r>
                            <w:r>
                              <w:rPr>
                                <w:rFonts w:cs="Arial"/>
                                <w:b/>
                                <w:sz w:val="24"/>
                                <w:lang w:val="fr-FR"/>
                              </w:rPr>
                              <w:br/>
                              <w:t>100 g/L DIFENOCONAZOLE</w:t>
                            </w:r>
                          </w:p>
                          <w:p w14:paraId="33226AAA" w14:textId="77777777" w:rsidR="0013016D" w:rsidRDefault="0013016D" w:rsidP="0013016D">
                            <w:pPr>
                              <w:ind w:left="3119" w:hanging="3119"/>
                              <w:rPr>
                                <w:rFonts w:cs="Arial"/>
                                <w:b/>
                                <w:sz w:val="24"/>
                                <w:lang w:val="fr-FR"/>
                              </w:rPr>
                            </w:pPr>
                          </w:p>
                          <w:p w14:paraId="4A62CF14" w14:textId="77777777" w:rsidR="0013016D" w:rsidRPr="003F075E" w:rsidRDefault="0013016D" w:rsidP="0013016D">
                            <w:pPr>
                              <w:ind w:left="3119" w:hanging="3119"/>
                              <w:rPr>
                                <w:rFonts w:cs="Arial"/>
                                <w:b/>
                                <w:sz w:val="24"/>
                                <w:lang w:val="fr-FR"/>
                              </w:rPr>
                            </w:pPr>
                            <w:r>
                              <w:rPr>
                                <w:rFonts w:cs="Arial"/>
                                <w:b/>
                                <w:sz w:val="24"/>
                                <w:lang w:val="fr-FR"/>
                              </w:rPr>
                              <w:t>SOLVENT:</w:t>
                            </w:r>
                            <w:r>
                              <w:rPr>
                                <w:rFonts w:cs="Arial"/>
                                <w:b/>
                                <w:sz w:val="24"/>
                                <w:lang w:val="fr-FR"/>
                              </w:rPr>
                              <w:tab/>
                              <w:t>318 g/L LIQUID HYDROCARBONS</w:t>
                            </w:r>
                          </w:p>
                          <w:p w14:paraId="4BAF0B81" w14:textId="77777777" w:rsidR="0013016D" w:rsidRPr="00CA2961" w:rsidRDefault="0013016D" w:rsidP="0013016D">
                            <w:pPr>
                              <w:rPr>
                                <w:rFonts w:cs="Arial"/>
                                <w:b/>
                                <w:sz w:val="22"/>
                                <w:szCs w:val="22"/>
                                <w:lang w:val="fr-FR"/>
                              </w:rPr>
                            </w:pPr>
                          </w:p>
                          <w:tbl>
                            <w:tblPr>
                              <w:tblW w:w="0" w:type="auto"/>
                              <w:tblInd w:w="108" w:type="dxa"/>
                              <w:tblLayout w:type="fixed"/>
                              <w:tblLook w:val="0000" w:firstRow="0" w:lastRow="0" w:firstColumn="0" w:lastColumn="0" w:noHBand="0" w:noVBand="0"/>
                            </w:tblPr>
                            <w:tblGrid>
                              <w:gridCol w:w="1418"/>
                              <w:gridCol w:w="723"/>
                              <w:gridCol w:w="723"/>
                              <w:gridCol w:w="1843"/>
                            </w:tblGrid>
                            <w:tr w:rsidR="0013016D" w:rsidRPr="00CA2961" w14:paraId="4D75E6C0" w14:textId="77777777" w:rsidTr="0013016D">
                              <w:trPr>
                                <w:cantSplit/>
                              </w:trPr>
                              <w:tc>
                                <w:tcPr>
                                  <w:tcW w:w="1418" w:type="dxa"/>
                                  <w:tcBorders>
                                    <w:top w:val="single" w:sz="4" w:space="0" w:color="auto"/>
                                    <w:left w:val="single" w:sz="4" w:space="0" w:color="auto"/>
                                    <w:bottom w:val="single" w:sz="4" w:space="0" w:color="auto"/>
                                    <w:right w:val="single" w:sz="4" w:space="0" w:color="auto"/>
                                  </w:tcBorders>
                                  <w:vAlign w:val="center"/>
                                </w:tcPr>
                                <w:p w14:paraId="15593A85" w14:textId="77777777" w:rsidR="0013016D" w:rsidRPr="00933B5F" w:rsidRDefault="0013016D" w:rsidP="00CA2961">
                                  <w:pPr>
                                    <w:jc w:val="center"/>
                                    <w:rPr>
                                      <w:rFonts w:cs="Arial"/>
                                      <w:b/>
                                      <w:sz w:val="28"/>
                                      <w:szCs w:val="28"/>
                                    </w:rPr>
                                  </w:pPr>
                                  <w:r w:rsidRPr="00933B5F">
                                    <w:rPr>
                                      <w:rFonts w:cs="Arial"/>
                                      <w:b/>
                                      <w:sz w:val="28"/>
                                      <w:szCs w:val="28"/>
                                    </w:rPr>
                                    <w:t>GROUP</w:t>
                                  </w:r>
                                </w:p>
                              </w:tc>
                              <w:tc>
                                <w:tcPr>
                                  <w:tcW w:w="723" w:type="dxa"/>
                                  <w:tcBorders>
                                    <w:top w:val="single" w:sz="4" w:space="0" w:color="auto"/>
                                    <w:left w:val="single" w:sz="4" w:space="0" w:color="auto"/>
                                    <w:bottom w:val="single" w:sz="4" w:space="0" w:color="auto"/>
                                    <w:right w:val="single" w:sz="18" w:space="0" w:color="FFFFFF"/>
                                  </w:tcBorders>
                                  <w:shd w:val="clear" w:color="auto" w:fill="000000"/>
                                </w:tcPr>
                                <w:p w14:paraId="1B26ADF3" w14:textId="77777777" w:rsidR="0013016D" w:rsidRPr="00933B5F" w:rsidRDefault="0013016D" w:rsidP="00A3713A">
                                  <w:pPr>
                                    <w:jc w:val="center"/>
                                    <w:rPr>
                                      <w:rFonts w:cs="Arial"/>
                                      <w:b/>
                                      <w:bCs/>
                                      <w:sz w:val="48"/>
                                      <w:szCs w:val="48"/>
                                    </w:rPr>
                                  </w:pPr>
                                  <w:r>
                                    <w:rPr>
                                      <w:rFonts w:cs="Arial"/>
                                      <w:b/>
                                      <w:bCs/>
                                      <w:sz w:val="48"/>
                                      <w:szCs w:val="48"/>
                                    </w:rPr>
                                    <w:t>5</w:t>
                                  </w:r>
                                </w:p>
                              </w:tc>
                              <w:tc>
                                <w:tcPr>
                                  <w:tcW w:w="723" w:type="dxa"/>
                                  <w:tcBorders>
                                    <w:top w:val="single" w:sz="4" w:space="0" w:color="auto"/>
                                    <w:left w:val="single" w:sz="18" w:space="0" w:color="FFFFFF"/>
                                    <w:bottom w:val="single" w:sz="4" w:space="0" w:color="auto"/>
                                    <w:right w:val="single" w:sz="4" w:space="0" w:color="auto"/>
                                  </w:tcBorders>
                                  <w:shd w:val="clear" w:color="auto" w:fill="000000"/>
                                  <w:vAlign w:val="center"/>
                                </w:tcPr>
                                <w:p w14:paraId="35EC0E82" w14:textId="77777777" w:rsidR="0013016D" w:rsidRPr="00933B5F" w:rsidRDefault="0013016D" w:rsidP="00A3713A">
                                  <w:pPr>
                                    <w:jc w:val="center"/>
                                    <w:rPr>
                                      <w:rFonts w:cs="Arial"/>
                                      <w:b/>
                                      <w:sz w:val="48"/>
                                      <w:szCs w:val="48"/>
                                    </w:rPr>
                                  </w:pPr>
                                  <w:r>
                                    <w:rPr>
                                      <w:rFonts w:cs="Arial"/>
                                      <w:b/>
                                      <w:bCs/>
                                      <w:sz w:val="48"/>
                                      <w:szCs w:val="48"/>
                                    </w:rPr>
                                    <w:t>3</w:t>
                                  </w:r>
                                </w:p>
                              </w:tc>
                              <w:tc>
                                <w:tcPr>
                                  <w:tcW w:w="1843" w:type="dxa"/>
                                  <w:tcBorders>
                                    <w:top w:val="single" w:sz="4" w:space="0" w:color="auto"/>
                                    <w:left w:val="single" w:sz="4" w:space="0" w:color="auto"/>
                                    <w:bottom w:val="single" w:sz="4" w:space="0" w:color="auto"/>
                                    <w:right w:val="single" w:sz="4" w:space="0" w:color="auto"/>
                                  </w:tcBorders>
                                  <w:vAlign w:val="center"/>
                                </w:tcPr>
                                <w:p w14:paraId="3BF552CA" w14:textId="77777777" w:rsidR="0013016D" w:rsidRPr="00933B5F" w:rsidRDefault="0013016D" w:rsidP="00CA2961">
                                  <w:pPr>
                                    <w:jc w:val="center"/>
                                    <w:rPr>
                                      <w:rFonts w:cs="Arial"/>
                                      <w:b/>
                                      <w:sz w:val="28"/>
                                      <w:szCs w:val="28"/>
                                    </w:rPr>
                                  </w:pPr>
                                  <w:r>
                                    <w:rPr>
                                      <w:rFonts w:cs="Arial"/>
                                      <w:b/>
                                      <w:sz w:val="28"/>
                                      <w:szCs w:val="28"/>
                                    </w:rPr>
                                    <w:t>FUNG</w:t>
                                  </w:r>
                                  <w:r w:rsidRPr="00933B5F">
                                    <w:rPr>
                                      <w:rFonts w:cs="Arial"/>
                                      <w:b/>
                                      <w:sz w:val="28"/>
                                      <w:szCs w:val="28"/>
                                    </w:rPr>
                                    <w:t>ICIDE</w:t>
                                  </w:r>
                                </w:p>
                              </w:tc>
                            </w:tr>
                          </w:tbl>
                          <w:p w14:paraId="3F2225A6" w14:textId="77777777" w:rsidR="0013016D" w:rsidRPr="00933B5F" w:rsidRDefault="0013016D" w:rsidP="0013016D">
                            <w:pPr>
                              <w:rPr>
                                <w:rFonts w:cs="Arial"/>
                                <w:b/>
                                <w:sz w:val="22"/>
                                <w:szCs w:val="22"/>
                                <w:lang w:val="fr-FR"/>
                              </w:rPr>
                            </w:pPr>
                          </w:p>
                          <w:p w14:paraId="1C0B193D" w14:textId="77777777" w:rsidR="0013016D" w:rsidRPr="00933B5F" w:rsidRDefault="0013016D" w:rsidP="0013016D">
                            <w:pPr>
                              <w:rPr>
                                <w:rFonts w:cs="Arial"/>
                                <w:b/>
                                <w:sz w:val="22"/>
                                <w:szCs w:val="22"/>
                                <w:lang w:val="fr-FR"/>
                              </w:rPr>
                            </w:pPr>
                          </w:p>
                          <w:p w14:paraId="70D3FB05" w14:textId="77777777" w:rsidR="0013016D" w:rsidRPr="00CA2961" w:rsidRDefault="0013016D" w:rsidP="0013016D">
                            <w:pPr>
                              <w:pStyle w:val="BodyText0"/>
                              <w:rPr>
                                <w:sz w:val="28"/>
                              </w:rPr>
                            </w:pPr>
                            <w:r w:rsidRPr="00CA2961">
                              <w:rPr>
                                <w:sz w:val="28"/>
                              </w:rPr>
                              <w:t xml:space="preserve">For the control </w:t>
                            </w:r>
                            <w:r>
                              <w:rPr>
                                <w:sz w:val="28"/>
                              </w:rPr>
                              <w:t>of powdery mildew in wine grapes</w:t>
                            </w:r>
                          </w:p>
                          <w:p w14:paraId="0F51E20F" w14:textId="77777777" w:rsidR="0013016D" w:rsidRDefault="0013016D" w:rsidP="0013016D">
                            <w:pPr>
                              <w:rPr>
                                <w:rFonts w:cs="Arial"/>
                                <w:b/>
                                <w:sz w:val="22"/>
                                <w:szCs w:val="22"/>
                                <w:lang w:val="fr-FR"/>
                              </w:rPr>
                            </w:pPr>
                          </w:p>
                          <w:p w14:paraId="535A1B03" w14:textId="77777777" w:rsidR="0013016D" w:rsidRDefault="0013016D" w:rsidP="0013016D">
                            <w:pPr>
                              <w:rPr>
                                <w:rFonts w:cs="Arial"/>
                                <w:b/>
                                <w:sz w:val="22"/>
                                <w:szCs w:val="22"/>
                                <w:lang w:val="fr-FR"/>
                              </w:rPr>
                            </w:pPr>
                          </w:p>
                          <w:p w14:paraId="42CB1975" w14:textId="77777777" w:rsidR="0013016D" w:rsidRPr="00CA2961" w:rsidRDefault="0013016D" w:rsidP="0013016D">
                            <w:pPr>
                              <w:rPr>
                                <w:rFonts w:cs="Arial"/>
                                <w:b/>
                                <w:sz w:val="22"/>
                                <w:szCs w:val="22"/>
                                <w:lang w:val="fr-FR"/>
                              </w:rPr>
                            </w:pPr>
                          </w:p>
                          <w:p w14:paraId="049C6F68" w14:textId="77777777" w:rsidR="0013016D" w:rsidRPr="00CA2961" w:rsidRDefault="0013016D" w:rsidP="0013016D">
                            <w:pPr>
                              <w:rPr>
                                <w:rFonts w:cs="Arial"/>
                                <w:b/>
                                <w:sz w:val="22"/>
                                <w:szCs w:val="22"/>
                                <w:lang w:val="fr-FR"/>
                              </w:rPr>
                            </w:pPr>
                          </w:p>
                          <w:p w14:paraId="006A8A5A" w14:textId="77777777" w:rsidR="0013016D" w:rsidRPr="0013016D" w:rsidRDefault="0013016D" w:rsidP="0013016D">
                            <w:pPr>
                              <w:rPr>
                                <w:rFonts w:cs="Arial"/>
                                <w:b/>
                                <w:sz w:val="40"/>
                                <w:szCs w:val="40"/>
                              </w:rPr>
                            </w:pPr>
                            <w:r w:rsidRPr="0013016D">
                              <w:rPr>
                                <w:rFonts w:cs="Arial"/>
                                <w:b/>
                                <w:sz w:val="40"/>
                                <w:szCs w:val="40"/>
                              </w:rPr>
                              <w:t>1 - 20 LITRES</w:t>
                            </w:r>
                          </w:p>
                          <w:p w14:paraId="124A608F" w14:textId="77777777" w:rsidR="0013016D" w:rsidRPr="0013016D" w:rsidRDefault="0013016D" w:rsidP="0013016D">
                            <w:pPr>
                              <w:ind w:left="3402" w:hanging="3402"/>
                              <w:rPr>
                                <w:rFonts w:cs="Arial"/>
                                <w:bCs/>
                                <w:caps/>
                              </w:rPr>
                            </w:pPr>
                          </w:p>
                          <w:p w14:paraId="4A671AD4" w14:textId="77777777" w:rsidR="0013016D" w:rsidRPr="0013016D" w:rsidRDefault="0013016D" w:rsidP="0013016D">
                            <w:pPr>
                              <w:rPr>
                                <w:rFonts w:cs="Arial"/>
                                <w:b/>
                                <w:lang w:val="fr-FR"/>
                              </w:rPr>
                            </w:pPr>
                          </w:p>
                          <w:p w14:paraId="707D03ED" w14:textId="77777777" w:rsidR="0013016D" w:rsidRPr="0013016D" w:rsidRDefault="0013016D" w:rsidP="0013016D">
                            <w:pPr>
                              <w:pStyle w:val="Header"/>
                              <w:rPr>
                                <w:rFonts w:cs="Arial"/>
                                <w:b/>
                                <w:bCs/>
                                <w:sz w:val="18"/>
                                <w:szCs w:val="18"/>
                              </w:rPr>
                            </w:pPr>
                            <w:r w:rsidRPr="0013016D">
                              <w:rPr>
                                <w:rFonts w:cs="Arial"/>
                                <w:b/>
                                <w:bCs/>
                                <w:sz w:val="18"/>
                                <w:szCs w:val="18"/>
                              </w:rPr>
                              <w:t>Syngenta Australia Pty Ltd</w:t>
                            </w:r>
                          </w:p>
                          <w:p w14:paraId="070C9995" w14:textId="77777777" w:rsidR="0013016D" w:rsidRPr="0013016D" w:rsidRDefault="0013016D" w:rsidP="0013016D">
                            <w:pPr>
                              <w:rPr>
                                <w:rFonts w:cs="Arial"/>
                                <w:sz w:val="18"/>
                                <w:szCs w:val="18"/>
                              </w:rPr>
                            </w:pPr>
                            <w:r w:rsidRPr="0013016D">
                              <w:rPr>
                                <w:rFonts w:cs="Arial"/>
                                <w:sz w:val="18"/>
                                <w:szCs w:val="18"/>
                              </w:rPr>
                              <w:t>Level 1, 2 Lyonpark Road, Macquarie Park NSW 2113</w:t>
                            </w:r>
                          </w:p>
                          <w:p w14:paraId="096C8D9F" w14:textId="77777777" w:rsidR="0013016D" w:rsidRPr="003F075E" w:rsidRDefault="0013016D" w:rsidP="0013016D">
                            <w:pPr>
                              <w:spacing w:before="80"/>
                              <w:rPr>
                                <w:rFonts w:cs="Arial"/>
                                <w:b/>
                                <w:bCs/>
                                <w:sz w:val="18"/>
                                <w:szCs w:val="18"/>
                              </w:rPr>
                            </w:pPr>
                            <w:r w:rsidRPr="003F075E">
                              <w:rPr>
                                <w:rFonts w:cs="Arial"/>
                                <w:b/>
                                <w:bCs/>
                                <w:sz w:val="18"/>
                                <w:szCs w:val="18"/>
                              </w:rPr>
                              <w:t>In a transport emergency dial 000, Police or Fire Brigade</w:t>
                            </w:r>
                          </w:p>
                          <w:p w14:paraId="2481D1D9" w14:textId="77777777" w:rsidR="0013016D" w:rsidRPr="003F075E" w:rsidRDefault="0013016D" w:rsidP="0013016D">
                            <w:pPr>
                              <w:rPr>
                                <w:rFonts w:cs="Arial"/>
                                <w:b/>
                                <w:bCs/>
                                <w:sz w:val="18"/>
                                <w:szCs w:val="18"/>
                              </w:rPr>
                            </w:pPr>
                            <w:r w:rsidRPr="003F075E">
                              <w:rPr>
                                <w:rFonts w:cs="Arial"/>
                                <w:b/>
                                <w:bCs/>
                                <w:sz w:val="18"/>
                                <w:szCs w:val="18"/>
                              </w:rPr>
                              <w:t>For specialist advice in an emergency only, call 1800 033 111 (24 hours)</w:t>
                            </w:r>
                          </w:p>
                          <w:p w14:paraId="235C3771" w14:textId="77777777" w:rsidR="0013016D" w:rsidRPr="003F075E" w:rsidRDefault="0013016D" w:rsidP="0013016D">
                            <w:pPr>
                              <w:spacing w:before="80"/>
                              <w:rPr>
                                <w:rFonts w:cs="Arial"/>
                                <w:b/>
                                <w:bCs/>
                                <w:sz w:val="18"/>
                                <w:szCs w:val="18"/>
                              </w:rPr>
                            </w:pPr>
                            <w:r w:rsidRPr="003F075E">
                              <w:rPr>
                                <w:rFonts w:cs="Arial"/>
                                <w:b/>
                                <w:bCs/>
                                <w:sz w:val="18"/>
                                <w:szCs w:val="18"/>
                              </w:rPr>
                              <w:t xml:space="preserve">APVMA Approval no. </w:t>
                            </w:r>
                            <w:r>
                              <w:rPr>
                                <w:rFonts w:cs="Arial"/>
                                <w:b/>
                                <w:bCs/>
                                <w:sz w:val="18"/>
                                <w:szCs w:val="18"/>
                              </w:rPr>
                              <w:t xml:space="preserve"> xxxxx/xxxxxx</w:t>
                            </w:r>
                          </w:p>
                          <w:p w14:paraId="23C7BA14" w14:textId="77777777" w:rsidR="0013016D" w:rsidRPr="0013016D" w:rsidRDefault="0013016D" w:rsidP="0013016D">
                            <w:pPr>
                              <w:rPr>
                                <w:rFonts w:cs="Arial"/>
                                <w:b/>
                                <w:bCs/>
                              </w:rPr>
                            </w:pPr>
                          </w:p>
                          <w:p w14:paraId="403A4471" w14:textId="77777777" w:rsidR="0013016D" w:rsidRPr="00CA2961" w:rsidRDefault="0013016D" w:rsidP="0013016D">
                            <w:pPr>
                              <w:rPr>
                                <w:rFonts w:cs="Arial"/>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82204D" id="_x0000_t202" coordsize="21600,21600" o:spt="202" path="m,l,21600r21600,l21600,xe">
                <v:stroke joinstyle="miter"/>
                <v:path gradientshapeok="t" o:connecttype="rect"/>
              </v:shapetype>
              <v:shape id="Text Box 28" o:spid="_x0000_s1026" type="#_x0000_t202" style="position:absolute;margin-left:-.2pt;margin-top:179.75pt;width:364.5pt;height:27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" stroked="f">
                <v:textbox>
                  <w:txbxContent>
                    <w:p w14:paraId="62B77578" w14:textId="77777777" w:rsidR="0013016D" w:rsidRDefault="0013016D" w:rsidP="0013016D">
                      <w:pPr>
                        <w:ind w:left="3119" w:hanging="3119"/>
                        <w:rPr>
                          <w:rFonts w:cs="Arial"/>
                          <w:b/>
                          <w:sz w:val="24"/>
                          <w:lang w:val="fr-FR"/>
                        </w:rPr>
                      </w:pPr>
                      <w:r w:rsidRPr="003F075E">
                        <w:rPr>
                          <w:rFonts w:cs="Arial"/>
                          <w:b/>
                          <w:sz w:val="24"/>
                          <w:lang w:val="fr-FR"/>
                        </w:rPr>
                        <w:t>ACTIVE CONSTITUENT</w:t>
                      </w:r>
                      <w:r>
                        <w:rPr>
                          <w:rFonts w:cs="Arial"/>
                          <w:b/>
                          <w:sz w:val="24"/>
                          <w:lang w:val="fr-FR"/>
                        </w:rPr>
                        <w:t>S</w:t>
                      </w:r>
                      <w:r w:rsidRPr="003F075E">
                        <w:rPr>
                          <w:rFonts w:cs="Arial"/>
                          <w:b/>
                          <w:sz w:val="24"/>
                          <w:lang w:val="fr-FR"/>
                        </w:rPr>
                        <w:t>:</w:t>
                      </w:r>
                      <w:r>
                        <w:rPr>
                          <w:rFonts w:cs="Arial"/>
                          <w:b/>
                          <w:sz w:val="24"/>
                          <w:lang w:val="fr-FR"/>
                        </w:rPr>
                        <w:tab/>
                        <w:t>375</w:t>
                      </w:r>
                      <w:r w:rsidRPr="003F075E">
                        <w:rPr>
                          <w:rFonts w:cs="Arial"/>
                          <w:b/>
                          <w:sz w:val="24"/>
                          <w:lang w:val="fr-FR"/>
                        </w:rPr>
                        <w:t xml:space="preserve"> g/L </w:t>
                      </w:r>
                      <w:r>
                        <w:rPr>
                          <w:rFonts w:cs="Arial"/>
                          <w:b/>
                          <w:sz w:val="24"/>
                          <w:lang w:val="fr-FR"/>
                        </w:rPr>
                        <w:t>FENPROPIDIN</w:t>
                      </w:r>
                      <w:r>
                        <w:rPr>
                          <w:rFonts w:cs="Arial"/>
                          <w:b/>
                          <w:sz w:val="24"/>
                          <w:lang w:val="fr-FR"/>
                        </w:rPr>
                        <w:br/>
                        <w:t>100 g/L DIFENOCONAZOLE</w:t>
                      </w:r>
                    </w:p>
                    <w:p w14:paraId="33226AAA" w14:textId="77777777" w:rsidR="0013016D" w:rsidRDefault="0013016D" w:rsidP="0013016D">
                      <w:pPr>
                        <w:ind w:left="3119" w:hanging="3119"/>
                        <w:rPr>
                          <w:rFonts w:cs="Arial"/>
                          <w:b/>
                          <w:sz w:val="24"/>
                          <w:lang w:val="fr-FR"/>
                        </w:rPr>
                      </w:pPr>
                    </w:p>
                    <w:p w14:paraId="4A62CF14" w14:textId="77777777" w:rsidR="0013016D" w:rsidRPr="003F075E" w:rsidRDefault="0013016D" w:rsidP="0013016D">
                      <w:pPr>
                        <w:ind w:left="3119" w:hanging="3119"/>
                        <w:rPr>
                          <w:rFonts w:cs="Arial"/>
                          <w:b/>
                          <w:sz w:val="24"/>
                          <w:lang w:val="fr-FR"/>
                        </w:rPr>
                      </w:pPr>
                      <w:r>
                        <w:rPr>
                          <w:rFonts w:cs="Arial"/>
                          <w:b/>
                          <w:sz w:val="24"/>
                          <w:lang w:val="fr-FR"/>
                        </w:rPr>
                        <w:t>SOLVENT:</w:t>
                      </w:r>
                      <w:r>
                        <w:rPr>
                          <w:rFonts w:cs="Arial"/>
                          <w:b/>
                          <w:sz w:val="24"/>
                          <w:lang w:val="fr-FR"/>
                        </w:rPr>
                        <w:tab/>
                        <w:t>318 g/L LIQUID HYDROCARBONS</w:t>
                      </w:r>
                    </w:p>
                    <w:p w14:paraId="4BAF0B81" w14:textId="77777777" w:rsidR="0013016D" w:rsidRPr="00CA2961" w:rsidRDefault="0013016D" w:rsidP="0013016D">
                      <w:pPr>
                        <w:rPr>
                          <w:rFonts w:cs="Arial"/>
                          <w:b/>
                          <w:sz w:val="22"/>
                          <w:szCs w:val="22"/>
                          <w:lang w:val="fr-FR"/>
                        </w:rPr>
                      </w:pPr>
                    </w:p>
                    <w:tbl>
                      <w:tblPr>
                        <w:tblW w:w="0" w:type="auto"/>
                        <w:tblInd w:w="108" w:type="dxa"/>
                        <w:tblLayout w:type="fixed"/>
                        <w:tblLook w:val="0000" w:firstRow="0" w:lastRow="0" w:firstColumn="0" w:lastColumn="0" w:noHBand="0" w:noVBand="0"/>
                      </w:tblPr>
                      <w:tblGrid>
                        <w:gridCol w:w="1418"/>
                        <w:gridCol w:w="723"/>
                        <w:gridCol w:w="723"/>
                        <w:gridCol w:w="1843"/>
                      </w:tblGrid>
                      <w:tr w:rsidR="0013016D" w:rsidRPr="00CA2961" w14:paraId="4D75E6C0" w14:textId="77777777" w:rsidTr="0013016D">
                        <w:trPr>
                          <w:cantSplit/>
                        </w:trPr>
                        <w:tc>
                          <w:tcPr>
                            <w:tcW w:w="1418" w:type="dxa"/>
                            <w:tcBorders>
                              <w:top w:val="single" w:sz="4" w:space="0" w:color="auto"/>
                              <w:left w:val="single" w:sz="4" w:space="0" w:color="auto"/>
                              <w:bottom w:val="single" w:sz="4" w:space="0" w:color="auto"/>
                              <w:right w:val="single" w:sz="4" w:space="0" w:color="auto"/>
                            </w:tcBorders>
                            <w:vAlign w:val="center"/>
                          </w:tcPr>
                          <w:p w14:paraId="15593A85" w14:textId="77777777" w:rsidR="0013016D" w:rsidRPr="00933B5F" w:rsidRDefault="0013016D" w:rsidP="00CA2961">
                            <w:pPr>
                              <w:jc w:val="center"/>
                              <w:rPr>
                                <w:rFonts w:cs="Arial"/>
                                <w:b/>
                                <w:sz w:val="28"/>
                                <w:szCs w:val="28"/>
                              </w:rPr>
                            </w:pPr>
                            <w:r w:rsidRPr="00933B5F">
                              <w:rPr>
                                <w:rFonts w:cs="Arial"/>
                                <w:b/>
                                <w:sz w:val="28"/>
                                <w:szCs w:val="28"/>
                              </w:rPr>
                              <w:t>GROUP</w:t>
                            </w:r>
                          </w:p>
                        </w:tc>
                        <w:tc>
                          <w:tcPr>
                            <w:tcW w:w="723" w:type="dxa"/>
                            <w:tcBorders>
                              <w:top w:val="single" w:sz="4" w:space="0" w:color="auto"/>
                              <w:left w:val="single" w:sz="4" w:space="0" w:color="auto"/>
                              <w:bottom w:val="single" w:sz="4" w:space="0" w:color="auto"/>
                              <w:right w:val="single" w:sz="18" w:space="0" w:color="FFFFFF"/>
                            </w:tcBorders>
                            <w:shd w:val="clear" w:color="auto" w:fill="000000"/>
                          </w:tcPr>
                          <w:p w14:paraId="1B26ADF3" w14:textId="77777777" w:rsidR="0013016D" w:rsidRPr="00933B5F" w:rsidRDefault="0013016D" w:rsidP="00A3713A">
                            <w:pPr>
                              <w:jc w:val="center"/>
                              <w:rPr>
                                <w:rFonts w:cs="Arial"/>
                                <w:b/>
                                <w:bCs/>
                                <w:sz w:val="48"/>
                                <w:szCs w:val="48"/>
                              </w:rPr>
                            </w:pPr>
                            <w:r>
                              <w:rPr>
                                <w:rFonts w:cs="Arial"/>
                                <w:b/>
                                <w:bCs/>
                                <w:sz w:val="48"/>
                                <w:szCs w:val="48"/>
                              </w:rPr>
                              <w:t>5</w:t>
                            </w:r>
                          </w:p>
                        </w:tc>
                        <w:tc>
                          <w:tcPr>
                            <w:tcW w:w="723" w:type="dxa"/>
                            <w:tcBorders>
                              <w:top w:val="single" w:sz="4" w:space="0" w:color="auto"/>
                              <w:left w:val="single" w:sz="18" w:space="0" w:color="FFFFFF"/>
                              <w:bottom w:val="single" w:sz="4" w:space="0" w:color="auto"/>
                              <w:right w:val="single" w:sz="4" w:space="0" w:color="auto"/>
                            </w:tcBorders>
                            <w:shd w:val="clear" w:color="auto" w:fill="000000"/>
                            <w:vAlign w:val="center"/>
                          </w:tcPr>
                          <w:p w14:paraId="35EC0E82" w14:textId="77777777" w:rsidR="0013016D" w:rsidRPr="00933B5F" w:rsidRDefault="0013016D" w:rsidP="00A3713A">
                            <w:pPr>
                              <w:jc w:val="center"/>
                              <w:rPr>
                                <w:rFonts w:cs="Arial"/>
                                <w:b/>
                                <w:sz w:val="48"/>
                                <w:szCs w:val="48"/>
                              </w:rPr>
                            </w:pPr>
                            <w:r>
                              <w:rPr>
                                <w:rFonts w:cs="Arial"/>
                                <w:b/>
                                <w:bCs/>
                                <w:sz w:val="48"/>
                                <w:szCs w:val="48"/>
                              </w:rPr>
                              <w:t>3</w:t>
                            </w:r>
                          </w:p>
                        </w:tc>
                        <w:tc>
                          <w:tcPr>
                            <w:tcW w:w="1843" w:type="dxa"/>
                            <w:tcBorders>
                              <w:top w:val="single" w:sz="4" w:space="0" w:color="auto"/>
                              <w:left w:val="single" w:sz="4" w:space="0" w:color="auto"/>
                              <w:bottom w:val="single" w:sz="4" w:space="0" w:color="auto"/>
                              <w:right w:val="single" w:sz="4" w:space="0" w:color="auto"/>
                            </w:tcBorders>
                            <w:vAlign w:val="center"/>
                          </w:tcPr>
                          <w:p w14:paraId="3BF552CA" w14:textId="77777777" w:rsidR="0013016D" w:rsidRPr="00933B5F" w:rsidRDefault="0013016D" w:rsidP="00CA2961">
                            <w:pPr>
                              <w:jc w:val="center"/>
                              <w:rPr>
                                <w:rFonts w:cs="Arial"/>
                                <w:b/>
                                <w:sz w:val="28"/>
                                <w:szCs w:val="28"/>
                              </w:rPr>
                            </w:pPr>
                            <w:r>
                              <w:rPr>
                                <w:rFonts w:cs="Arial"/>
                                <w:b/>
                                <w:sz w:val="28"/>
                                <w:szCs w:val="28"/>
                              </w:rPr>
                              <w:t>FUNG</w:t>
                            </w:r>
                            <w:r w:rsidRPr="00933B5F">
                              <w:rPr>
                                <w:rFonts w:cs="Arial"/>
                                <w:b/>
                                <w:sz w:val="28"/>
                                <w:szCs w:val="28"/>
                              </w:rPr>
                              <w:t>ICIDE</w:t>
                            </w:r>
                          </w:p>
                        </w:tc>
                      </w:tr>
                    </w:tbl>
                    <w:p w14:paraId="3F2225A6" w14:textId="77777777" w:rsidR="0013016D" w:rsidRPr="00933B5F" w:rsidRDefault="0013016D" w:rsidP="0013016D">
                      <w:pPr>
                        <w:rPr>
                          <w:rFonts w:cs="Arial"/>
                          <w:b/>
                          <w:sz w:val="22"/>
                          <w:szCs w:val="22"/>
                          <w:lang w:val="fr-FR"/>
                        </w:rPr>
                      </w:pPr>
                    </w:p>
                    <w:p w14:paraId="1C0B193D" w14:textId="77777777" w:rsidR="0013016D" w:rsidRPr="00933B5F" w:rsidRDefault="0013016D" w:rsidP="0013016D">
                      <w:pPr>
                        <w:rPr>
                          <w:rFonts w:cs="Arial"/>
                          <w:b/>
                          <w:sz w:val="22"/>
                          <w:szCs w:val="22"/>
                          <w:lang w:val="fr-FR"/>
                        </w:rPr>
                      </w:pPr>
                    </w:p>
                    <w:p w14:paraId="70D3FB05" w14:textId="77777777" w:rsidR="0013016D" w:rsidRPr="00CA2961" w:rsidRDefault="0013016D" w:rsidP="0013016D">
                      <w:pPr>
                        <w:pStyle w:val="BodyText0"/>
                        <w:rPr>
                          <w:sz w:val="28"/>
                        </w:rPr>
                      </w:pPr>
                      <w:r w:rsidRPr="00CA2961">
                        <w:rPr>
                          <w:sz w:val="28"/>
                        </w:rPr>
                        <w:t xml:space="preserve">For the control </w:t>
                      </w:r>
                      <w:r>
                        <w:rPr>
                          <w:sz w:val="28"/>
                        </w:rPr>
                        <w:t>of powdery mildew in wine grapes</w:t>
                      </w:r>
                    </w:p>
                    <w:p w14:paraId="0F51E20F" w14:textId="77777777" w:rsidR="0013016D" w:rsidRDefault="0013016D" w:rsidP="0013016D">
                      <w:pPr>
                        <w:rPr>
                          <w:rFonts w:cs="Arial"/>
                          <w:b/>
                          <w:sz w:val="22"/>
                          <w:szCs w:val="22"/>
                          <w:lang w:val="fr-FR"/>
                        </w:rPr>
                      </w:pPr>
                    </w:p>
                    <w:p w14:paraId="535A1B03" w14:textId="77777777" w:rsidR="0013016D" w:rsidRDefault="0013016D" w:rsidP="0013016D">
                      <w:pPr>
                        <w:rPr>
                          <w:rFonts w:cs="Arial"/>
                          <w:b/>
                          <w:sz w:val="22"/>
                          <w:szCs w:val="22"/>
                          <w:lang w:val="fr-FR"/>
                        </w:rPr>
                      </w:pPr>
                    </w:p>
                    <w:p w14:paraId="42CB1975" w14:textId="77777777" w:rsidR="0013016D" w:rsidRPr="00CA2961" w:rsidRDefault="0013016D" w:rsidP="0013016D">
                      <w:pPr>
                        <w:rPr>
                          <w:rFonts w:cs="Arial"/>
                          <w:b/>
                          <w:sz w:val="22"/>
                          <w:szCs w:val="22"/>
                          <w:lang w:val="fr-FR"/>
                        </w:rPr>
                      </w:pPr>
                    </w:p>
                    <w:p w14:paraId="049C6F68" w14:textId="77777777" w:rsidR="0013016D" w:rsidRPr="00CA2961" w:rsidRDefault="0013016D" w:rsidP="0013016D">
                      <w:pPr>
                        <w:rPr>
                          <w:rFonts w:cs="Arial"/>
                          <w:b/>
                          <w:sz w:val="22"/>
                          <w:szCs w:val="22"/>
                          <w:lang w:val="fr-FR"/>
                        </w:rPr>
                      </w:pPr>
                    </w:p>
                    <w:p w14:paraId="006A8A5A" w14:textId="77777777" w:rsidR="0013016D" w:rsidRPr="0013016D" w:rsidRDefault="0013016D" w:rsidP="0013016D">
                      <w:pPr>
                        <w:rPr>
                          <w:rFonts w:cs="Arial"/>
                          <w:b/>
                          <w:sz w:val="40"/>
                          <w:szCs w:val="40"/>
                        </w:rPr>
                      </w:pPr>
                      <w:r w:rsidRPr="0013016D">
                        <w:rPr>
                          <w:rFonts w:cs="Arial"/>
                          <w:b/>
                          <w:sz w:val="40"/>
                          <w:szCs w:val="40"/>
                        </w:rPr>
                        <w:t>1 - 20 LITRES</w:t>
                      </w:r>
                    </w:p>
                    <w:p w14:paraId="124A608F" w14:textId="77777777" w:rsidR="0013016D" w:rsidRPr="0013016D" w:rsidRDefault="0013016D" w:rsidP="0013016D">
                      <w:pPr>
                        <w:ind w:left="3402" w:hanging="3402"/>
                        <w:rPr>
                          <w:rFonts w:cs="Arial"/>
                          <w:bCs/>
                          <w:caps/>
                        </w:rPr>
                      </w:pPr>
                    </w:p>
                    <w:p w14:paraId="4A671AD4" w14:textId="77777777" w:rsidR="0013016D" w:rsidRPr="0013016D" w:rsidRDefault="0013016D" w:rsidP="0013016D">
                      <w:pPr>
                        <w:rPr>
                          <w:rFonts w:cs="Arial"/>
                          <w:b/>
                          <w:lang w:val="fr-FR"/>
                        </w:rPr>
                      </w:pPr>
                    </w:p>
                    <w:p w14:paraId="707D03ED" w14:textId="77777777" w:rsidR="0013016D" w:rsidRPr="0013016D" w:rsidRDefault="0013016D" w:rsidP="0013016D">
                      <w:pPr>
                        <w:pStyle w:val="Header"/>
                        <w:rPr>
                          <w:rFonts w:cs="Arial"/>
                          <w:b/>
                          <w:bCs/>
                          <w:sz w:val="18"/>
                          <w:szCs w:val="18"/>
                        </w:rPr>
                      </w:pPr>
                      <w:r w:rsidRPr="0013016D">
                        <w:rPr>
                          <w:rFonts w:cs="Arial"/>
                          <w:b/>
                          <w:bCs/>
                          <w:sz w:val="18"/>
                          <w:szCs w:val="18"/>
                        </w:rPr>
                        <w:t>Syngenta Australia Pty Ltd</w:t>
                      </w:r>
                    </w:p>
                    <w:p w14:paraId="070C9995" w14:textId="77777777" w:rsidR="0013016D" w:rsidRPr="0013016D" w:rsidRDefault="0013016D" w:rsidP="0013016D">
                      <w:pPr>
                        <w:rPr>
                          <w:rFonts w:cs="Arial"/>
                          <w:sz w:val="18"/>
                          <w:szCs w:val="18"/>
                        </w:rPr>
                      </w:pPr>
                      <w:r w:rsidRPr="0013016D">
                        <w:rPr>
                          <w:rFonts w:cs="Arial"/>
                          <w:sz w:val="18"/>
                          <w:szCs w:val="18"/>
                        </w:rPr>
                        <w:t>Level 1, 2 Lyonpark Road, Macquarie Park NSW 2113</w:t>
                      </w:r>
                    </w:p>
                    <w:p w14:paraId="096C8D9F" w14:textId="77777777" w:rsidR="0013016D" w:rsidRPr="003F075E" w:rsidRDefault="0013016D" w:rsidP="0013016D">
                      <w:pPr>
                        <w:spacing w:before="80"/>
                        <w:rPr>
                          <w:rFonts w:cs="Arial"/>
                          <w:b/>
                          <w:bCs/>
                          <w:sz w:val="18"/>
                          <w:szCs w:val="18"/>
                        </w:rPr>
                      </w:pPr>
                      <w:r w:rsidRPr="003F075E">
                        <w:rPr>
                          <w:rFonts w:cs="Arial"/>
                          <w:b/>
                          <w:bCs/>
                          <w:sz w:val="18"/>
                          <w:szCs w:val="18"/>
                        </w:rPr>
                        <w:t>In a transport emergency dial 000, Police or Fire Brigade</w:t>
                      </w:r>
                    </w:p>
                    <w:p w14:paraId="2481D1D9" w14:textId="77777777" w:rsidR="0013016D" w:rsidRPr="003F075E" w:rsidRDefault="0013016D" w:rsidP="0013016D">
                      <w:pPr>
                        <w:rPr>
                          <w:rFonts w:cs="Arial"/>
                          <w:b/>
                          <w:bCs/>
                          <w:sz w:val="18"/>
                          <w:szCs w:val="18"/>
                        </w:rPr>
                      </w:pPr>
                      <w:r w:rsidRPr="003F075E">
                        <w:rPr>
                          <w:rFonts w:cs="Arial"/>
                          <w:b/>
                          <w:bCs/>
                          <w:sz w:val="18"/>
                          <w:szCs w:val="18"/>
                        </w:rPr>
                        <w:t>For specialist advice in an emergency only, call 1800 033 111 (24 hours)</w:t>
                      </w:r>
                    </w:p>
                    <w:p w14:paraId="235C3771" w14:textId="77777777" w:rsidR="0013016D" w:rsidRPr="003F075E" w:rsidRDefault="0013016D" w:rsidP="0013016D">
                      <w:pPr>
                        <w:spacing w:before="80"/>
                        <w:rPr>
                          <w:rFonts w:cs="Arial"/>
                          <w:b/>
                          <w:bCs/>
                          <w:sz w:val="18"/>
                          <w:szCs w:val="18"/>
                        </w:rPr>
                      </w:pPr>
                      <w:r w:rsidRPr="003F075E">
                        <w:rPr>
                          <w:rFonts w:cs="Arial"/>
                          <w:b/>
                          <w:bCs/>
                          <w:sz w:val="18"/>
                          <w:szCs w:val="18"/>
                        </w:rPr>
                        <w:t xml:space="preserve">APVMA Approval no. </w:t>
                      </w:r>
                      <w:r>
                        <w:rPr>
                          <w:rFonts w:cs="Arial"/>
                          <w:b/>
                          <w:bCs/>
                          <w:sz w:val="18"/>
                          <w:szCs w:val="18"/>
                        </w:rPr>
                        <w:t xml:space="preserve"> xxxxx/xxxxxx</w:t>
                      </w:r>
                    </w:p>
                    <w:p w14:paraId="23C7BA14" w14:textId="77777777" w:rsidR="0013016D" w:rsidRPr="0013016D" w:rsidRDefault="0013016D" w:rsidP="0013016D">
                      <w:pPr>
                        <w:rPr>
                          <w:rFonts w:cs="Arial"/>
                          <w:b/>
                          <w:bCs/>
                        </w:rPr>
                      </w:pPr>
                    </w:p>
                    <w:p w14:paraId="403A4471" w14:textId="77777777" w:rsidR="0013016D" w:rsidRPr="00CA2961" w:rsidRDefault="0013016D" w:rsidP="0013016D">
                      <w:pPr>
                        <w:rPr>
                          <w:rFonts w:cs="Arial"/>
                          <w:b/>
                          <w:bCs/>
                        </w:rPr>
                      </w:pPr>
                    </w:p>
                  </w:txbxContent>
                </v:textbox>
                <w10:wrap anchorx="margin"/>
              </v:shape>
            </w:pict>
          </mc:Fallback>
        </mc:AlternateContent>
      </w:r>
      <w:r w:rsidRPr="0013016D">
        <w:rPr>
          <w:rFonts w:ascii="Times New Roman" w:hAnsi="Times New Roman"/>
          <w:szCs w:val="20"/>
        </w:rPr>
        <w:br w:type="page"/>
      </w:r>
    </w:p>
    <w:p w14:paraId="1CB9B7CA" w14:textId="77777777" w:rsidR="0013016D" w:rsidRPr="0013016D" w:rsidRDefault="0013016D" w:rsidP="0013016D">
      <w:pPr>
        <w:spacing w:line="360" w:lineRule="auto"/>
        <w:rPr>
          <w:rFonts w:cs="Arial"/>
          <w:b/>
          <w:szCs w:val="20"/>
        </w:rPr>
      </w:pPr>
      <w:r w:rsidRPr="0013016D">
        <w:rPr>
          <w:rFonts w:cs="Arial"/>
          <w:b/>
          <w:szCs w:val="20"/>
        </w:rPr>
        <w:lastRenderedPageBreak/>
        <w:t>Restraints</w:t>
      </w:r>
    </w:p>
    <w:p w14:paraId="1BCC8086" w14:textId="77777777" w:rsidR="0013016D" w:rsidRPr="0013016D" w:rsidRDefault="0013016D" w:rsidP="0013016D">
      <w:pPr>
        <w:spacing w:line="360" w:lineRule="auto"/>
        <w:rPr>
          <w:rFonts w:cs="Arial"/>
          <w:szCs w:val="20"/>
        </w:rPr>
      </w:pPr>
      <w:r w:rsidRPr="0013016D">
        <w:rPr>
          <w:rFonts w:cs="Arial"/>
          <w:b/>
          <w:szCs w:val="20"/>
          <w:lang w:val="en-GB"/>
        </w:rPr>
        <w:t>DO NOT</w:t>
      </w:r>
      <w:r w:rsidRPr="0013016D">
        <w:rPr>
          <w:rFonts w:cs="Arial"/>
          <w:szCs w:val="20"/>
          <w:lang w:val="en-GB"/>
        </w:rPr>
        <w:t xml:space="preserve"> apply by aircraft.</w:t>
      </w:r>
      <w:r w:rsidRPr="0013016D">
        <w:rPr>
          <w:rFonts w:cs="Arial"/>
          <w:szCs w:val="20"/>
        </w:rPr>
        <w:t xml:space="preserve"> </w:t>
      </w:r>
    </w:p>
    <w:p w14:paraId="0F6B5ABE" w14:textId="77777777" w:rsidR="0013016D" w:rsidRPr="0013016D" w:rsidRDefault="0013016D" w:rsidP="0013016D">
      <w:pPr>
        <w:spacing w:line="360" w:lineRule="auto"/>
        <w:rPr>
          <w:rFonts w:cs="Arial"/>
          <w:szCs w:val="20"/>
        </w:rPr>
      </w:pPr>
      <w:r w:rsidRPr="0013016D">
        <w:rPr>
          <w:rFonts w:cs="Arial"/>
          <w:b/>
          <w:bCs/>
          <w:szCs w:val="20"/>
        </w:rPr>
        <w:t xml:space="preserve">DO NOT </w:t>
      </w:r>
      <w:r w:rsidRPr="0013016D">
        <w:rPr>
          <w:rFonts w:cs="Arial"/>
          <w:szCs w:val="20"/>
        </w:rPr>
        <w:t>apply if heavy rains or storms are forecast within 3 days.</w:t>
      </w:r>
      <w:r w:rsidRPr="0013016D">
        <w:rPr>
          <w:rFonts w:cs="Arial"/>
          <w:szCs w:val="20"/>
        </w:rPr>
        <w:br/>
      </w:r>
      <w:r w:rsidRPr="0013016D">
        <w:rPr>
          <w:rFonts w:cs="Arial"/>
          <w:b/>
          <w:bCs/>
          <w:szCs w:val="20"/>
        </w:rPr>
        <w:t>DO NOT</w:t>
      </w:r>
      <w:r w:rsidRPr="0013016D">
        <w:rPr>
          <w:rFonts w:cs="Arial"/>
          <w:szCs w:val="20"/>
        </w:rPr>
        <w:t xml:space="preserve"> irrigate to the point of runoff for at least 3 days after application.</w:t>
      </w:r>
    </w:p>
    <w:p w14:paraId="2484D822" w14:textId="77777777" w:rsidR="0013016D" w:rsidRPr="0013016D" w:rsidRDefault="0013016D" w:rsidP="0013016D">
      <w:pPr>
        <w:spacing w:line="360" w:lineRule="auto"/>
        <w:rPr>
          <w:rFonts w:cs="Arial"/>
          <w:szCs w:val="20"/>
        </w:rPr>
      </w:pPr>
      <w:r w:rsidRPr="0013016D">
        <w:rPr>
          <w:rFonts w:cs="Arial"/>
          <w:b/>
          <w:bCs/>
          <w:szCs w:val="20"/>
        </w:rPr>
        <w:t>DO NOT</w:t>
      </w:r>
      <w:r w:rsidRPr="0013016D">
        <w:rPr>
          <w:rFonts w:cs="Arial"/>
          <w:szCs w:val="20"/>
        </w:rPr>
        <w:t xml:space="preserve"> use on broken skin, cover any skin wounds with an impermeable dressing before using.</w:t>
      </w:r>
    </w:p>
    <w:p w14:paraId="1764512B" w14:textId="77777777" w:rsidR="0013016D" w:rsidRPr="0013016D" w:rsidRDefault="0013016D" w:rsidP="0013016D">
      <w:pPr>
        <w:spacing w:line="360" w:lineRule="auto"/>
        <w:rPr>
          <w:rFonts w:cs="Arial"/>
          <w:szCs w:val="20"/>
        </w:rPr>
      </w:pPr>
      <w:r w:rsidRPr="0013016D">
        <w:rPr>
          <w:rFonts w:cs="Arial"/>
          <w:b/>
          <w:bCs/>
          <w:szCs w:val="20"/>
        </w:rPr>
        <w:t>DO NOT</w:t>
      </w:r>
      <w:r w:rsidRPr="0013016D">
        <w:rPr>
          <w:rFonts w:cs="Arial"/>
          <w:szCs w:val="20"/>
        </w:rPr>
        <w:t xml:space="preserve"> continue using if skin, eye or respiratory irritation occurs.</w:t>
      </w:r>
    </w:p>
    <w:p w14:paraId="7E8A96AA" w14:textId="77777777" w:rsidR="0013016D" w:rsidRPr="0013016D" w:rsidRDefault="0013016D" w:rsidP="0013016D">
      <w:pPr>
        <w:spacing w:line="360" w:lineRule="auto"/>
        <w:rPr>
          <w:rFonts w:cs="Arial"/>
          <w:szCs w:val="20"/>
        </w:rPr>
      </w:pPr>
      <w:r w:rsidRPr="0013016D">
        <w:rPr>
          <w:rFonts w:cs="Arial"/>
          <w:b/>
          <w:bCs/>
          <w:szCs w:val="20"/>
        </w:rPr>
        <w:t>DO NOT</w:t>
      </w:r>
      <w:r w:rsidRPr="0013016D">
        <w:rPr>
          <w:rFonts w:cs="Arial"/>
          <w:szCs w:val="20"/>
        </w:rPr>
        <w:t xml:space="preserve"> apply more than one application per season.</w:t>
      </w:r>
    </w:p>
    <w:p w14:paraId="25C2F2DE" w14:textId="77777777" w:rsidR="0013016D" w:rsidRPr="0013016D" w:rsidRDefault="0013016D" w:rsidP="0013016D">
      <w:pPr>
        <w:spacing w:line="360" w:lineRule="auto"/>
        <w:rPr>
          <w:rFonts w:cs="Arial"/>
          <w:szCs w:val="20"/>
        </w:rPr>
      </w:pPr>
      <w:r w:rsidRPr="0013016D">
        <w:rPr>
          <w:rFonts w:cs="Arial"/>
          <w:b/>
          <w:bCs/>
          <w:szCs w:val="20"/>
        </w:rPr>
        <w:t>DO NOT</w:t>
      </w:r>
      <w:r w:rsidRPr="0013016D">
        <w:rPr>
          <w:rFonts w:cs="Arial"/>
          <w:szCs w:val="20"/>
        </w:rPr>
        <w:t xml:space="preserve"> apply later than 80% </w:t>
      </w:r>
      <w:proofErr w:type="spellStart"/>
      <w:r w:rsidRPr="0013016D">
        <w:rPr>
          <w:rFonts w:cs="Arial"/>
          <w:szCs w:val="20"/>
        </w:rPr>
        <w:t>capfall</w:t>
      </w:r>
      <w:proofErr w:type="spellEnd"/>
      <w:r w:rsidRPr="0013016D">
        <w:rPr>
          <w:rFonts w:cs="Arial"/>
          <w:szCs w:val="20"/>
        </w:rPr>
        <w:t xml:space="preserve"> (E-L25).</w:t>
      </w:r>
    </w:p>
    <w:p w14:paraId="42EBF2E9" w14:textId="77777777" w:rsidR="0013016D" w:rsidRPr="0013016D" w:rsidRDefault="0013016D" w:rsidP="0013016D">
      <w:pPr>
        <w:spacing w:before="120" w:line="240" w:lineRule="auto"/>
        <w:rPr>
          <w:rFonts w:cs="Arial"/>
          <w:b/>
          <w:bCs/>
          <w:color w:val="000000"/>
          <w:szCs w:val="20"/>
          <w:lang w:val="en-GB"/>
        </w:rPr>
      </w:pPr>
      <w:r w:rsidRPr="0013016D">
        <w:rPr>
          <w:rFonts w:cs="Arial"/>
          <w:b/>
          <w:bCs/>
          <w:color w:val="000000"/>
          <w:szCs w:val="20"/>
        </w:rPr>
        <w:t>Spray Drift Restraints</w:t>
      </w:r>
    </w:p>
    <w:p w14:paraId="70D29A53" w14:textId="77777777" w:rsidR="0013016D" w:rsidRPr="0013016D" w:rsidRDefault="0013016D" w:rsidP="0013016D">
      <w:pPr>
        <w:autoSpaceDE w:val="0"/>
        <w:autoSpaceDN w:val="0"/>
        <w:adjustRightInd w:val="0"/>
        <w:spacing w:line="240" w:lineRule="auto"/>
        <w:jc w:val="both"/>
        <w:rPr>
          <w:rFonts w:eastAsia="Arial Unicode MS" w:cs="Arial"/>
          <w:szCs w:val="20"/>
          <w:lang w:eastAsia="en-AU"/>
        </w:rPr>
      </w:pPr>
      <w:r w:rsidRPr="0013016D">
        <w:rPr>
          <w:rFonts w:eastAsia="Arial Unicode MS" w:cs="Arial"/>
          <w:szCs w:val="20"/>
          <w:lang w:eastAsia="en-AU"/>
        </w:rPr>
        <w:t>Specific definitions for terms used in this section of the label can be found at apvma.gov.au/spraydrift.</w:t>
      </w:r>
    </w:p>
    <w:p w14:paraId="5A775F82" w14:textId="77777777" w:rsidR="0013016D" w:rsidRPr="0013016D" w:rsidRDefault="0013016D" w:rsidP="0013016D">
      <w:pPr>
        <w:autoSpaceDE w:val="0"/>
        <w:autoSpaceDN w:val="0"/>
        <w:adjustRightInd w:val="0"/>
        <w:spacing w:line="240" w:lineRule="auto"/>
        <w:jc w:val="both"/>
        <w:rPr>
          <w:rFonts w:eastAsia="Arial Unicode MS" w:cs="Arial"/>
          <w:szCs w:val="20"/>
          <w:lang w:eastAsia="en-AU"/>
        </w:rPr>
      </w:pPr>
      <w:r w:rsidRPr="0013016D">
        <w:rPr>
          <w:rFonts w:eastAsia="Arial Unicode MS" w:cs="Arial"/>
          <w:szCs w:val="20"/>
          <w:lang w:eastAsia="en-AU"/>
        </w:rPr>
        <w:t>DO NOT allow bystanders to come into contact with spray cloud.</w:t>
      </w:r>
    </w:p>
    <w:p w14:paraId="3097D3B9" w14:textId="77777777" w:rsidR="0013016D" w:rsidRPr="0013016D" w:rsidRDefault="0013016D" w:rsidP="0013016D">
      <w:pPr>
        <w:autoSpaceDE w:val="0"/>
        <w:autoSpaceDN w:val="0"/>
        <w:adjustRightInd w:val="0"/>
        <w:spacing w:line="240" w:lineRule="auto"/>
        <w:jc w:val="both"/>
        <w:rPr>
          <w:rFonts w:eastAsia="Arial Unicode MS" w:cs="Arial"/>
          <w:szCs w:val="20"/>
          <w:lang w:eastAsia="en-AU"/>
        </w:rPr>
      </w:pPr>
      <w:r w:rsidRPr="0013016D">
        <w:rPr>
          <w:rFonts w:eastAsia="Arial Unicode MS" w:cs="Arial"/>
          <w:szCs w:val="20"/>
          <w:lang w:eastAsia="en-AU"/>
        </w:rPr>
        <w:t>DO NOT apply in a manner that may cause an unacceptable impact to native vegetation, agricultural crops, landscaped gardens and aquaculture production, or cause contamination of plant or livestock commodities, outside the application site from spray drift. The buffer zones in the relevant buffer zone table below provide guidance but may not be sufficient in all situations. Wherever possible, correctly use application equipment designed to reduce spray drift and apply when the wind direction is away from these sensitive areas.</w:t>
      </w:r>
    </w:p>
    <w:p w14:paraId="4BA21D59" w14:textId="77777777" w:rsidR="0013016D" w:rsidRPr="0013016D" w:rsidRDefault="0013016D" w:rsidP="0013016D">
      <w:pPr>
        <w:autoSpaceDE w:val="0"/>
        <w:autoSpaceDN w:val="0"/>
        <w:adjustRightInd w:val="0"/>
        <w:spacing w:line="240" w:lineRule="auto"/>
        <w:jc w:val="both"/>
        <w:rPr>
          <w:rFonts w:eastAsia="Arial Unicode MS" w:cs="Arial"/>
          <w:szCs w:val="20"/>
          <w:lang w:eastAsia="en-AU"/>
        </w:rPr>
      </w:pPr>
      <w:r w:rsidRPr="0013016D">
        <w:rPr>
          <w:rFonts w:eastAsia="Arial Unicode MS" w:cs="Arial"/>
          <w:szCs w:val="20"/>
          <w:lang w:eastAsia="en-AU"/>
        </w:rPr>
        <w:t>DO NOT apply unless the wind speed is between 3 and 20 kilometres per hour at the application site during the time of application.</w:t>
      </w:r>
    </w:p>
    <w:p w14:paraId="254CC191" w14:textId="77777777" w:rsidR="0013016D" w:rsidRPr="0013016D" w:rsidRDefault="0013016D" w:rsidP="0013016D">
      <w:pPr>
        <w:autoSpaceDE w:val="0"/>
        <w:autoSpaceDN w:val="0"/>
        <w:adjustRightInd w:val="0"/>
        <w:spacing w:line="240" w:lineRule="auto"/>
        <w:jc w:val="both"/>
        <w:rPr>
          <w:rFonts w:eastAsia="Arial Unicode MS" w:cs="Arial"/>
          <w:szCs w:val="20"/>
          <w:lang w:eastAsia="en-AU"/>
        </w:rPr>
      </w:pPr>
      <w:r w:rsidRPr="0013016D">
        <w:rPr>
          <w:rFonts w:eastAsia="Arial Unicode MS" w:cs="Arial"/>
          <w:szCs w:val="20"/>
          <w:lang w:eastAsia="en-AU"/>
        </w:rPr>
        <w:t>DO NOT apply if there are hazardous surface temperature inversion conditions present at the application site during the time of application. Surface temperature inversion conditions exist most evenings one to two hours before sunset and persist until one to two hours after sunrise.</w:t>
      </w:r>
    </w:p>
    <w:p w14:paraId="0CAA902D" w14:textId="77777777" w:rsidR="0013016D" w:rsidRPr="0013016D" w:rsidRDefault="0013016D" w:rsidP="0013016D">
      <w:pPr>
        <w:autoSpaceDE w:val="0"/>
        <w:autoSpaceDN w:val="0"/>
        <w:adjustRightInd w:val="0"/>
        <w:spacing w:line="240" w:lineRule="auto"/>
        <w:jc w:val="both"/>
        <w:rPr>
          <w:rFonts w:eastAsia="Arial Unicode MS" w:cs="Arial"/>
          <w:szCs w:val="20"/>
          <w:lang w:eastAsia="en-AU"/>
        </w:rPr>
      </w:pPr>
      <w:r w:rsidRPr="0013016D">
        <w:rPr>
          <w:rFonts w:eastAsia="Arial Unicode MS" w:cs="Arial"/>
          <w:szCs w:val="20"/>
          <w:lang w:eastAsia="en-AU"/>
        </w:rPr>
        <w:t>DO NOT apply by vertical sprayer unless the following requirements are met:</w:t>
      </w:r>
    </w:p>
    <w:p w14:paraId="0669C02E" w14:textId="77777777" w:rsidR="0013016D" w:rsidRPr="0013016D" w:rsidRDefault="0013016D" w:rsidP="0013016D">
      <w:pPr>
        <w:numPr>
          <w:ilvl w:val="0"/>
          <w:numId w:val="42"/>
        </w:numPr>
        <w:autoSpaceDE w:val="0"/>
        <w:autoSpaceDN w:val="0"/>
        <w:adjustRightInd w:val="0"/>
        <w:spacing w:line="240" w:lineRule="auto"/>
        <w:ind w:left="284" w:hanging="284"/>
        <w:jc w:val="both"/>
        <w:rPr>
          <w:rFonts w:eastAsia="Arial Unicode MS" w:cs="Arial"/>
          <w:bCs/>
          <w:szCs w:val="20"/>
        </w:rPr>
      </w:pPr>
      <w:r w:rsidRPr="0013016D">
        <w:rPr>
          <w:rFonts w:eastAsia="Arial Unicode MS" w:cs="Arial"/>
          <w:bCs/>
          <w:szCs w:val="20"/>
        </w:rPr>
        <w:t>Spray is not directed above the target canopy</w:t>
      </w:r>
    </w:p>
    <w:p w14:paraId="21FE502C" w14:textId="77777777" w:rsidR="0013016D" w:rsidRPr="0013016D" w:rsidRDefault="0013016D" w:rsidP="0013016D">
      <w:pPr>
        <w:numPr>
          <w:ilvl w:val="0"/>
          <w:numId w:val="42"/>
        </w:numPr>
        <w:autoSpaceDE w:val="0"/>
        <w:autoSpaceDN w:val="0"/>
        <w:adjustRightInd w:val="0"/>
        <w:spacing w:line="240" w:lineRule="auto"/>
        <w:ind w:left="284" w:hanging="284"/>
        <w:jc w:val="both"/>
        <w:rPr>
          <w:rFonts w:eastAsia="Arial Unicode MS" w:cs="Arial"/>
          <w:bCs/>
          <w:szCs w:val="20"/>
        </w:rPr>
      </w:pPr>
      <w:r w:rsidRPr="0013016D">
        <w:rPr>
          <w:rFonts w:eastAsia="Arial Unicode MS" w:cs="Arial"/>
          <w:bCs/>
          <w:szCs w:val="20"/>
        </w:rPr>
        <w:t>The outside of the sprayer is turned off when turning at the end of rows and when spraying the outer row on each side of the application site</w:t>
      </w:r>
    </w:p>
    <w:p w14:paraId="345668F3" w14:textId="77777777" w:rsidR="0013016D" w:rsidRPr="0013016D" w:rsidRDefault="0013016D" w:rsidP="0013016D">
      <w:pPr>
        <w:numPr>
          <w:ilvl w:val="0"/>
          <w:numId w:val="42"/>
        </w:numPr>
        <w:autoSpaceDE w:val="0"/>
        <w:autoSpaceDN w:val="0"/>
        <w:adjustRightInd w:val="0"/>
        <w:spacing w:line="240" w:lineRule="auto"/>
        <w:ind w:left="284" w:hanging="284"/>
        <w:jc w:val="both"/>
        <w:rPr>
          <w:rFonts w:eastAsia="Arial Unicode MS" w:cs="Arial"/>
          <w:bCs/>
          <w:szCs w:val="20"/>
        </w:rPr>
      </w:pPr>
      <w:r w:rsidRPr="0013016D">
        <w:rPr>
          <w:rFonts w:eastAsia="Arial Unicode MS" w:cs="Arial"/>
          <w:bCs/>
          <w:szCs w:val="20"/>
        </w:rPr>
        <w:t>For dilute water rates, minimum distances between the application site and downwind sensitive areas (see “</w:t>
      </w:r>
      <w:r w:rsidRPr="0013016D">
        <w:rPr>
          <w:rFonts w:eastAsia="Arial Unicode MS" w:cs="Arial"/>
          <w:b/>
          <w:szCs w:val="20"/>
        </w:rPr>
        <w:t>Mandatory buffer zones</w:t>
      </w:r>
      <w:r w:rsidRPr="0013016D">
        <w:rPr>
          <w:rFonts w:eastAsia="Arial Unicode MS" w:cs="Arial"/>
          <w:bCs/>
          <w:szCs w:val="20"/>
        </w:rPr>
        <w:t>” section of the following table titled “</w:t>
      </w:r>
      <w:r w:rsidRPr="0013016D">
        <w:rPr>
          <w:rFonts w:eastAsia="Arial Unicode MS" w:cs="Arial"/>
          <w:b/>
          <w:szCs w:val="20"/>
        </w:rPr>
        <w:t>Buffer zones for vertical sprayers</w:t>
      </w:r>
      <w:r w:rsidRPr="0013016D">
        <w:rPr>
          <w:rFonts w:eastAsia="Arial Unicode MS" w:cs="Arial"/>
          <w:bCs/>
          <w:szCs w:val="20"/>
        </w:rPr>
        <w:t>”) are observed</w:t>
      </w:r>
    </w:p>
    <w:p w14:paraId="0F3B997B" w14:textId="3521FBB7" w:rsidR="0013016D" w:rsidRPr="00C563CE" w:rsidRDefault="0013016D" w:rsidP="00C563CE">
      <w:pPr>
        <w:spacing w:before="120" w:after="10" w:line="240" w:lineRule="auto"/>
        <w:rPr>
          <w:rFonts w:eastAsia="Arial Unicode MS" w:cs="Arial"/>
          <w:b/>
          <w:bCs/>
          <w:szCs w:val="20"/>
        </w:rPr>
      </w:pPr>
      <w:bookmarkStart w:id="252" w:name="_Hlk38632252"/>
      <w:r w:rsidRPr="0013016D">
        <w:rPr>
          <w:rFonts w:eastAsia="Arial Unicode MS" w:cs="Arial"/>
          <w:b/>
          <w:bCs/>
          <w:szCs w:val="20"/>
          <w:lang w:eastAsia="en-AU"/>
        </w:rPr>
        <w:t>Buffer zones for vertical sprayers</w:t>
      </w:r>
    </w:p>
    <w:tbl>
      <w:tblPr>
        <w:tblW w:w="5000" w:type="pct"/>
        <w:tblCellMar>
          <w:left w:w="0" w:type="dxa"/>
          <w:right w:w="0" w:type="dxa"/>
        </w:tblCellMar>
        <w:tblLook w:val="0000" w:firstRow="0" w:lastRow="0" w:firstColumn="0" w:lastColumn="0" w:noHBand="0" w:noVBand="0"/>
      </w:tblPr>
      <w:tblGrid>
        <w:gridCol w:w="2462"/>
        <w:gridCol w:w="1442"/>
        <w:gridCol w:w="1431"/>
        <w:gridCol w:w="1431"/>
        <w:gridCol w:w="1431"/>
        <w:gridCol w:w="1431"/>
      </w:tblGrid>
      <w:tr w:rsidR="0013016D" w:rsidRPr="0013016D" w14:paraId="0CC342DA" w14:textId="77777777" w:rsidTr="007C6059">
        <w:trPr>
          <w:trHeight w:val="319"/>
        </w:trPr>
        <w:tc>
          <w:tcPr>
            <w:tcW w:w="1279" w:type="pct"/>
            <w:vMerge w:val="restart"/>
            <w:tcBorders>
              <w:top w:val="single" w:sz="4" w:space="0" w:color="000000"/>
              <w:left w:val="single" w:sz="4" w:space="0" w:color="000000"/>
              <w:right w:val="single" w:sz="4" w:space="0" w:color="000000"/>
            </w:tcBorders>
            <w:vAlign w:val="center"/>
          </w:tcPr>
          <w:p w14:paraId="7C7BC252" w14:textId="77777777" w:rsidR="0013016D" w:rsidRPr="0013016D" w:rsidRDefault="0013016D" w:rsidP="0013016D">
            <w:pPr>
              <w:kinsoku w:val="0"/>
              <w:overflowPunct w:val="0"/>
              <w:autoSpaceDE w:val="0"/>
              <w:autoSpaceDN w:val="0"/>
              <w:adjustRightInd w:val="0"/>
              <w:spacing w:before="46" w:line="240" w:lineRule="auto"/>
              <w:ind w:left="88" w:right="105"/>
              <w:jc w:val="center"/>
              <w:rPr>
                <w:rFonts w:eastAsia="Arial Unicode MS" w:cs="Arial"/>
                <w:b/>
                <w:bCs/>
                <w:spacing w:val="-1"/>
                <w:sz w:val="18"/>
                <w:szCs w:val="18"/>
                <w:lang w:eastAsia="en-AU"/>
              </w:rPr>
            </w:pPr>
            <w:bookmarkStart w:id="253" w:name="_Hlk136590709"/>
            <w:r w:rsidRPr="0013016D">
              <w:rPr>
                <w:rFonts w:eastAsia="Arial Unicode MS" w:cs="Arial"/>
                <w:b/>
                <w:bCs/>
                <w:spacing w:val="-1"/>
                <w:sz w:val="18"/>
                <w:szCs w:val="18"/>
                <w:lang w:eastAsia="en-AU"/>
              </w:rPr>
              <w:t>Type of target canopy and dilute water rates</w:t>
            </w:r>
          </w:p>
        </w:tc>
        <w:tc>
          <w:tcPr>
            <w:tcW w:w="3721" w:type="pct"/>
            <w:gridSpan w:val="5"/>
            <w:tcBorders>
              <w:top w:val="single" w:sz="4" w:space="0" w:color="000000"/>
              <w:left w:val="single" w:sz="4" w:space="0" w:color="000000"/>
              <w:right w:val="single" w:sz="4" w:space="0" w:color="000000"/>
            </w:tcBorders>
            <w:vAlign w:val="center"/>
          </w:tcPr>
          <w:p w14:paraId="32DABE4C" w14:textId="77777777" w:rsidR="0013016D" w:rsidRPr="0013016D" w:rsidRDefault="0013016D" w:rsidP="0013016D">
            <w:pPr>
              <w:kinsoku w:val="0"/>
              <w:overflowPunct w:val="0"/>
              <w:autoSpaceDE w:val="0"/>
              <w:autoSpaceDN w:val="0"/>
              <w:adjustRightInd w:val="0"/>
              <w:spacing w:before="47" w:line="246" w:lineRule="auto"/>
              <w:ind w:left="33" w:right="4" w:firstLine="14"/>
              <w:jc w:val="center"/>
              <w:rPr>
                <w:rFonts w:eastAsia="Arial Unicode MS" w:cs="Arial"/>
                <w:b/>
                <w:bCs/>
                <w:sz w:val="18"/>
                <w:szCs w:val="18"/>
                <w:lang w:eastAsia="en-AU"/>
              </w:rPr>
            </w:pPr>
            <w:r w:rsidRPr="0013016D">
              <w:rPr>
                <w:rFonts w:eastAsia="Arial Unicode MS" w:cs="Arial"/>
                <w:b/>
                <w:bCs/>
                <w:sz w:val="18"/>
                <w:szCs w:val="18"/>
                <w:lang w:eastAsia="en-AU"/>
              </w:rPr>
              <w:t>Mandatory buffer zones</w:t>
            </w:r>
          </w:p>
        </w:tc>
      </w:tr>
      <w:tr w:rsidR="0013016D" w:rsidRPr="0013016D" w14:paraId="73C7CB74" w14:textId="77777777" w:rsidTr="007C6059">
        <w:trPr>
          <w:trHeight w:val="551"/>
        </w:trPr>
        <w:tc>
          <w:tcPr>
            <w:tcW w:w="1279" w:type="pct"/>
            <w:vMerge/>
            <w:tcBorders>
              <w:left w:val="single" w:sz="4" w:space="0" w:color="000000"/>
              <w:bottom w:val="single" w:sz="4" w:space="0" w:color="000000"/>
              <w:right w:val="single" w:sz="4" w:space="0" w:color="000000"/>
            </w:tcBorders>
            <w:vAlign w:val="center"/>
          </w:tcPr>
          <w:p w14:paraId="39E8657C" w14:textId="77777777" w:rsidR="0013016D" w:rsidRPr="0013016D" w:rsidRDefault="0013016D" w:rsidP="0013016D">
            <w:pPr>
              <w:kinsoku w:val="0"/>
              <w:overflowPunct w:val="0"/>
              <w:autoSpaceDE w:val="0"/>
              <w:autoSpaceDN w:val="0"/>
              <w:adjustRightInd w:val="0"/>
              <w:spacing w:before="46" w:line="240" w:lineRule="auto"/>
              <w:ind w:left="88" w:right="105"/>
              <w:jc w:val="center"/>
              <w:rPr>
                <w:rFonts w:eastAsia="Arial Unicode MS" w:cs="Arial"/>
                <w:b/>
                <w:bCs/>
                <w:sz w:val="18"/>
                <w:szCs w:val="18"/>
                <w:lang w:eastAsia="en-AU"/>
              </w:rPr>
            </w:pPr>
          </w:p>
        </w:tc>
        <w:tc>
          <w:tcPr>
            <w:tcW w:w="749" w:type="pct"/>
            <w:tcBorders>
              <w:top w:val="single" w:sz="4" w:space="0" w:color="000000"/>
              <w:left w:val="single" w:sz="4" w:space="0" w:color="000000"/>
              <w:right w:val="single" w:sz="4" w:space="0" w:color="000000"/>
            </w:tcBorders>
            <w:vAlign w:val="center"/>
          </w:tcPr>
          <w:p w14:paraId="238A1A0B" w14:textId="77777777" w:rsidR="0013016D" w:rsidRPr="0013016D" w:rsidRDefault="0013016D" w:rsidP="0013016D">
            <w:pPr>
              <w:kinsoku w:val="0"/>
              <w:overflowPunct w:val="0"/>
              <w:autoSpaceDE w:val="0"/>
              <w:autoSpaceDN w:val="0"/>
              <w:adjustRightInd w:val="0"/>
              <w:spacing w:before="47" w:line="246" w:lineRule="auto"/>
              <w:ind w:left="33" w:right="4" w:firstLine="14"/>
              <w:jc w:val="center"/>
              <w:rPr>
                <w:rFonts w:eastAsia="Arial Unicode MS" w:cs="Arial"/>
                <w:b/>
                <w:bCs/>
                <w:sz w:val="18"/>
                <w:szCs w:val="18"/>
                <w:lang w:eastAsia="en-AU"/>
              </w:rPr>
            </w:pPr>
            <w:r w:rsidRPr="0013016D">
              <w:rPr>
                <w:rFonts w:eastAsia="Arial Unicode MS" w:cs="Arial"/>
                <w:b/>
                <w:bCs/>
                <w:spacing w:val="-1"/>
                <w:sz w:val="18"/>
                <w:szCs w:val="18"/>
                <w:lang w:eastAsia="en-AU"/>
              </w:rPr>
              <w:t xml:space="preserve">Bystander </w:t>
            </w:r>
            <w:r w:rsidRPr="0013016D">
              <w:rPr>
                <w:rFonts w:eastAsia="Arial Unicode MS" w:cs="Arial"/>
                <w:b/>
                <w:bCs/>
                <w:sz w:val="18"/>
                <w:szCs w:val="18"/>
                <w:lang w:eastAsia="en-AU"/>
              </w:rPr>
              <w:t>are</w:t>
            </w:r>
            <w:r w:rsidRPr="0013016D">
              <w:rPr>
                <w:rFonts w:eastAsia="Arial Unicode MS" w:cs="Arial"/>
                <w:b/>
                <w:bCs/>
                <w:spacing w:val="1"/>
                <w:sz w:val="18"/>
                <w:szCs w:val="18"/>
                <w:lang w:eastAsia="en-AU"/>
              </w:rPr>
              <w:t>a</w:t>
            </w:r>
            <w:r w:rsidRPr="0013016D">
              <w:rPr>
                <w:rFonts w:eastAsia="Arial Unicode MS" w:cs="Arial"/>
                <w:b/>
                <w:bCs/>
                <w:sz w:val="18"/>
                <w:szCs w:val="18"/>
                <w:lang w:eastAsia="en-AU"/>
              </w:rPr>
              <w:t>s</w:t>
            </w:r>
          </w:p>
        </w:tc>
        <w:tc>
          <w:tcPr>
            <w:tcW w:w="743" w:type="pct"/>
            <w:tcBorders>
              <w:top w:val="single" w:sz="4" w:space="0" w:color="000000"/>
              <w:left w:val="single" w:sz="4" w:space="0" w:color="000000"/>
              <w:right w:val="single" w:sz="4" w:space="0" w:color="000000"/>
            </w:tcBorders>
            <w:vAlign w:val="center"/>
          </w:tcPr>
          <w:p w14:paraId="0415E33A" w14:textId="77777777" w:rsidR="0013016D" w:rsidRPr="0013016D" w:rsidRDefault="0013016D" w:rsidP="0013016D">
            <w:pPr>
              <w:kinsoku w:val="0"/>
              <w:overflowPunct w:val="0"/>
              <w:autoSpaceDE w:val="0"/>
              <w:autoSpaceDN w:val="0"/>
              <w:adjustRightInd w:val="0"/>
              <w:spacing w:before="47" w:line="246" w:lineRule="auto"/>
              <w:ind w:left="33" w:right="4" w:firstLine="14"/>
              <w:jc w:val="center"/>
              <w:rPr>
                <w:rFonts w:eastAsia="Arial Unicode MS" w:cs="Arial"/>
                <w:b/>
                <w:bCs/>
                <w:sz w:val="18"/>
                <w:szCs w:val="18"/>
                <w:lang w:eastAsia="en-AU"/>
              </w:rPr>
            </w:pPr>
            <w:r w:rsidRPr="0013016D">
              <w:rPr>
                <w:rFonts w:eastAsia="Arial Unicode MS" w:cs="Arial"/>
                <w:b/>
                <w:bCs/>
                <w:sz w:val="18"/>
                <w:szCs w:val="18"/>
                <w:lang w:eastAsia="en-AU"/>
              </w:rPr>
              <w:t>N</w:t>
            </w:r>
            <w:r w:rsidRPr="0013016D">
              <w:rPr>
                <w:rFonts w:eastAsia="Arial Unicode MS" w:cs="Arial"/>
                <w:b/>
                <w:bCs/>
                <w:spacing w:val="-1"/>
                <w:sz w:val="18"/>
                <w:szCs w:val="18"/>
                <w:lang w:eastAsia="en-AU"/>
              </w:rPr>
              <w:t>a</w:t>
            </w:r>
            <w:r w:rsidRPr="0013016D">
              <w:rPr>
                <w:rFonts w:eastAsia="Arial Unicode MS" w:cs="Arial"/>
                <w:b/>
                <w:bCs/>
                <w:sz w:val="18"/>
                <w:szCs w:val="18"/>
                <w:lang w:eastAsia="en-AU"/>
              </w:rPr>
              <w:t>tural</w:t>
            </w:r>
            <w:r w:rsidRPr="0013016D">
              <w:rPr>
                <w:rFonts w:eastAsia="Arial Unicode MS" w:cs="Arial"/>
                <w:b/>
                <w:bCs/>
                <w:spacing w:val="-21"/>
                <w:sz w:val="18"/>
                <w:szCs w:val="18"/>
                <w:lang w:eastAsia="en-AU"/>
              </w:rPr>
              <w:t xml:space="preserve"> </w:t>
            </w:r>
            <w:r w:rsidRPr="0013016D">
              <w:rPr>
                <w:rFonts w:eastAsia="Arial Unicode MS" w:cs="Arial"/>
                <w:b/>
                <w:bCs/>
                <w:sz w:val="18"/>
                <w:szCs w:val="18"/>
                <w:lang w:eastAsia="en-AU"/>
              </w:rPr>
              <w:t>aquatic areas</w:t>
            </w:r>
          </w:p>
        </w:tc>
        <w:tc>
          <w:tcPr>
            <w:tcW w:w="743" w:type="pct"/>
            <w:tcBorders>
              <w:top w:val="single" w:sz="4" w:space="0" w:color="000000"/>
              <w:left w:val="single" w:sz="4" w:space="0" w:color="000000"/>
              <w:right w:val="single" w:sz="4" w:space="0" w:color="000000"/>
            </w:tcBorders>
            <w:vAlign w:val="center"/>
          </w:tcPr>
          <w:p w14:paraId="56BAE9A2" w14:textId="77777777" w:rsidR="0013016D" w:rsidRPr="0013016D" w:rsidRDefault="0013016D" w:rsidP="0013016D">
            <w:pPr>
              <w:kinsoku w:val="0"/>
              <w:overflowPunct w:val="0"/>
              <w:autoSpaceDE w:val="0"/>
              <w:autoSpaceDN w:val="0"/>
              <w:adjustRightInd w:val="0"/>
              <w:spacing w:before="47" w:line="246" w:lineRule="auto"/>
              <w:ind w:left="33" w:right="4" w:firstLine="14"/>
              <w:jc w:val="center"/>
              <w:rPr>
                <w:rFonts w:eastAsia="Arial Unicode MS" w:cs="Arial"/>
                <w:b/>
                <w:bCs/>
                <w:sz w:val="18"/>
                <w:szCs w:val="18"/>
                <w:lang w:eastAsia="en-AU"/>
              </w:rPr>
            </w:pPr>
            <w:r w:rsidRPr="0013016D">
              <w:rPr>
                <w:rFonts w:eastAsia="Arial Unicode MS" w:cs="Arial"/>
                <w:b/>
                <w:bCs/>
                <w:sz w:val="18"/>
                <w:szCs w:val="18"/>
                <w:lang w:eastAsia="en-AU"/>
              </w:rPr>
              <w:t>Pollinator areas</w:t>
            </w:r>
          </w:p>
        </w:tc>
        <w:tc>
          <w:tcPr>
            <w:tcW w:w="743" w:type="pct"/>
            <w:tcBorders>
              <w:top w:val="single" w:sz="4" w:space="0" w:color="000000"/>
              <w:left w:val="single" w:sz="4" w:space="0" w:color="000000"/>
              <w:right w:val="single" w:sz="4" w:space="0" w:color="000000"/>
            </w:tcBorders>
            <w:vAlign w:val="center"/>
          </w:tcPr>
          <w:p w14:paraId="5BA1C337" w14:textId="77777777" w:rsidR="0013016D" w:rsidRPr="0013016D" w:rsidRDefault="0013016D" w:rsidP="0013016D">
            <w:pPr>
              <w:kinsoku w:val="0"/>
              <w:overflowPunct w:val="0"/>
              <w:autoSpaceDE w:val="0"/>
              <w:autoSpaceDN w:val="0"/>
              <w:adjustRightInd w:val="0"/>
              <w:spacing w:before="47" w:line="246" w:lineRule="auto"/>
              <w:ind w:left="33" w:right="4" w:firstLine="14"/>
              <w:jc w:val="center"/>
              <w:rPr>
                <w:rFonts w:eastAsia="Arial Unicode MS" w:cs="Arial"/>
                <w:b/>
                <w:bCs/>
                <w:sz w:val="18"/>
                <w:szCs w:val="18"/>
                <w:lang w:eastAsia="en-AU"/>
              </w:rPr>
            </w:pPr>
            <w:r w:rsidRPr="0013016D">
              <w:rPr>
                <w:rFonts w:eastAsia="Arial Unicode MS" w:cs="Arial"/>
                <w:b/>
                <w:bCs/>
                <w:sz w:val="18"/>
                <w:szCs w:val="18"/>
                <w:lang w:eastAsia="en-AU"/>
              </w:rPr>
              <w:t>Vegetation areas</w:t>
            </w:r>
          </w:p>
        </w:tc>
        <w:tc>
          <w:tcPr>
            <w:tcW w:w="743" w:type="pct"/>
            <w:tcBorders>
              <w:top w:val="single" w:sz="4" w:space="0" w:color="000000"/>
              <w:left w:val="single" w:sz="4" w:space="0" w:color="000000"/>
              <w:right w:val="single" w:sz="4" w:space="0" w:color="000000"/>
            </w:tcBorders>
            <w:vAlign w:val="center"/>
          </w:tcPr>
          <w:p w14:paraId="67CB0D3D" w14:textId="77777777" w:rsidR="0013016D" w:rsidRPr="0013016D" w:rsidRDefault="0013016D" w:rsidP="0013016D">
            <w:pPr>
              <w:kinsoku w:val="0"/>
              <w:overflowPunct w:val="0"/>
              <w:autoSpaceDE w:val="0"/>
              <w:autoSpaceDN w:val="0"/>
              <w:adjustRightInd w:val="0"/>
              <w:spacing w:before="47" w:line="246" w:lineRule="auto"/>
              <w:ind w:left="33" w:right="4" w:firstLine="14"/>
              <w:jc w:val="center"/>
              <w:rPr>
                <w:rFonts w:eastAsia="Arial Unicode MS" w:cs="Arial"/>
                <w:b/>
                <w:bCs/>
                <w:sz w:val="18"/>
                <w:szCs w:val="18"/>
                <w:lang w:eastAsia="en-AU"/>
              </w:rPr>
            </w:pPr>
            <w:r w:rsidRPr="0013016D">
              <w:rPr>
                <w:rFonts w:eastAsia="Arial Unicode MS" w:cs="Arial"/>
                <w:b/>
                <w:bCs/>
                <w:sz w:val="18"/>
                <w:szCs w:val="18"/>
                <w:lang w:eastAsia="en-AU"/>
              </w:rPr>
              <w:t>Livestock areas</w:t>
            </w:r>
          </w:p>
        </w:tc>
      </w:tr>
      <w:tr w:rsidR="0013016D" w:rsidRPr="0013016D" w14:paraId="776041C0" w14:textId="77777777" w:rsidTr="007C6059">
        <w:trPr>
          <w:trHeight w:hRule="exact" w:val="1340"/>
        </w:trPr>
        <w:tc>
          <w:tcPr>
            <w:tcW w:w="1279" w:type="pct"/>
            <w:tcBorders>
              <w:top w:val="single" w:sz="4" w:space="0" w:color="000000"/>
              <w:left w:val="single" w:sz="4" w:space="0" w:color="000000"/>
              <w:bottom w:val="single" w:sz="4" w:space="0" w:color="000000"/>
              <w:right w:val="single" w:sz="4" w:space="0" w:color="000000"/>
            </w:tcBorders>
            <w:vAlign w:val="center"/>
          </w:tcPr>
          <w:p w14:paraId="52D5095D" w14:textId="77777777" w:rsidR="0013016D" w:rsidRPr="0013016D" w:rsidRDefault="0013016D" w:rsidP="0013016D">
            <w:pPr>
              <w:kinsoku w:val="0"/>
              <w:overflowPunct w:val="0"/>
              <w:autoSpaceDE w:val="0"/>
              <w:autoSpaceDN w:val="0"/>
              <w:adjustRightInd w:val="0"/>
              <w:spacing w:before="46" w:line="249" w:lineRule="auto"/>
              <w:ind w:left="88" w:right="105"/>
              <w:jc w:val="center"/>
              <w:rPr>
                <w:rFonts w:eastAsia="Arial Unicode MS" w:cs="Arial"/>
                <w:szCs w:val="20"/>
                <w:lang w:eastAsia="en-AU"/>
              </w:rPr>
            </w:pPr>
            <w:r w:rsidRPr="0013016D">
              <w:rPr>
                <w:rFonts w:eastAsia="Arial Unicode MS" w:cs="Arial"/>
                <w:szCs w:val="20"/>
                <w:lang w:eastAsia="en-AU"/>
              </w:rPr>
              <w:t>All canopy types</w:t>
            </w:r>
          </w:p>
          <w:p w14:paraId="51D52819" w14:textId="77777777" w:rsidR="0013016D" w:rsidRPr="0013016D" w:rsidRDefault="0013016D" w:rsidP="0013016D">
            <w:pPr>
              <w:kinsoku w:val="0"/>
              <w:overflowPunct w:val="0"/>
              <w:autoSpaceDE w:val="0"/>
              <w:autoSpaceDN w:val="0"/>
              <w:adjustRightInd w:val="0"/>
              <w:spacing w:before="46" w:line="249" w:lineRule="auto"/>
              <w:ind w:left="88" w:right="105"/>
              <w:jc w:val="center"/>
              <w:rPr>
                <w:rFonts w:eastAsia="Arial Unicode MS" w:cs="Arial"/>
                <w:szCs w:val="20"/>
                <w:lang w:eastAsia="en-AU"/>
              </w:rPr>
            </w:pPr>
          </w:p>
          <w:p w14:paraId="797035D3" w14:textId="77777777" w:rsidR="0013016D" w:rsidRPr="0013016D" w:rsidRDefault="0013016D" w:rsidP="0013016D">
            <w:pPr>
              <w:kinsoku w:val="0"/>
              <w:overflowPunct w:val="0"/>
              <w:autoSpaceDE w:val="0"/>
              <w:autoSpaceDN w:val="0"/>
              <w:adjustRightInd w:val="0"/>
              <w:spacing w:before="46" w:line="249" w:lineRule="auto"/>
              <w:ind w:left="88" w:right="105"/>
              <w:jc w:val="center"/>
              <w:rPr>
                <w:rFonts w:eastAsia="Arial Unicode MS" w:cs="Arial"/>
                <w:szCs w:val="20"/>
                <w:lang w:eastAsia="en-AU"/>
              </w:rPr>
            </w:pPr>
            <w:r w:rsidRPr="0013016D">
              <w:rPr>
                <w:rFonts w:eastAsia="Arial Unicode MS" w:cs="Arial"/>
                <w:szCs w:val="20"/>
                <w:lang w:eastAsia="en-AU"/>
              </w:rPr>
              <w:t>Maximum dilute water rate of 1500 L/ha</w:t>
            </w:r>
          </w:p>
        </w:tc>
        <w:tc>
          <w:tcPr>
            <w:tcW w:w="749" w:type="pct"/>
            <w:tcBorders>
              <w:top w:val="single" w:sz="4" w:space="0" w:color="000000"/>
              <w:left w:val="single" w:sz="4" w:space="0" w:color="000000"/>
              <w:bottom w:val="single" w:sz="4" w:space="0" w:color="000000"/>
              <w:right w:val="single" w:sz="4" w:space="0" w:color="000000"/>
            </w:tcBorders>
            <w:vAlign w:val="center"/>
          </w:tcPr>
          <w:p w14:paraId="60CDCB53" w14:textId="77777777" w:rsidR="0013016D" w:rsidRPr="0013016D" w:rsidRDefault="0013016D" w:rsidP="0013016D">
            <w:pPr>
              <w:kinsoku w:val="0"/>
              <w:overflowPunct w:val="0"/>
              <w:autoSpaceDE w:val="0"/>
              <w:autoSpaceDN w:val="0"/>
              <w:adjustRightInd w:val="0"/>
              <w:spacing w:before="45" w:line="240" w:lineRule="auto"/>
              <w:ind w:left="33" w:right="4" w:firstLine="14"/>
              <w:jc w:val="center"/>
              <w:rPr>
                <w:rFonts w:eastAsia="Arial Unicode MS" w:cs="Arial"/>
                <w:szCs w:val="20"/>
                <w:lang w:eastAsia="en-AU"/>
              </w:rPr>
            </w:pPr>
            <w:r w:rsidRPr="0013016D">
              <w:rPr>
                <w:rFonts w:eastAsia="Arial Unicode MS" w:cs="Arial"/>
                <w:szCs w:val="20"/>
                <w:lang w:eastAsia="en-AU"/>
              </w:rPr>
              <w:t>0 metres</w:t>
            </w:r>
          </w:p>
        </w:tc>
        <w:tc>
          <w:tcPr>
            <w:tcW w:w="743" w:type="pct"/>
            <w:tcBorders>
              <w:top w:val="single" w:sz="4" w:space="0" w:color="000000"/>
              <w:left w:val="single" w:sz="4" w:space="0" w:color="000000"/>
              <w:bottom w:val="single" w:sz="4" w:space="0" w:color="000000"/>
              <w:right w:val="single" w:sz="4" w:space="0" w:color="000000"/>
            </w:tcBorders>
            <w:vAlign w:val="center"/>
          </w:tcPr>
          <w:p w14:paraId="51FE09BD" w14:textId="77777777" w:rsidR="0013016D" w:rsidRPr="0013016D" w:rsidRDefault="0013016D" w:rsidP="0013016D">
            <w:pPr>
              <w:kinsoku w:val="0"/>
              <w:overflowPunct w:val="0"/>
              <w:autoSpaceDE w:val="0"/>
              <w:autoSpaceDN w:val="0"/>
              <w:adjustRightInd w:val="0"/>
              <w:spacing w:before="45" w:line="240" w:lineRule="auto"/>
              <w:ind w:left="33" w:right="4" w:firstLine="14"/>
              <w:jc w:val="center"/>
              <w:rPr>
                <w:rFonts w:eastAsia="Arial Unicode MS" w:cs="Arial"/>
                <w:szCs w:val="20"/>
                <w:lang w:eastAsia="en-AU"/>
              </w:rPr>
            </w:pPr>
            <w:r w:rsidRPr="0013016D">
              <w:rPr>
                <w:rFonts w:eastAsia="Arial Unicode MS" w:cs="Arial"/>
                <w:szCs w:val="20"/>
                <w:lang w:eastAsia="en-AU"/>
              </w:rPr>
              <w:t>55 metres</w:t>
            </w:r>
          </w:p>
        </w:tc>
        <w:tc>
          <w:tcPr>
            <w:tcW w:w="743" w:type="pct"/>
            <w:tcBorders>
              <w:top w:val="single" w:sz="4" w:space="0" w:color="000000"/>
              <w:left w:val="single" w:sz="4" w:space="0" w:color="000000"/>
              <w:bottom w:val="single" w:sz="4" w:space="0" w:color="000000"/>
              <w:right w:val="single" w:sz="4" w:space="0" w:color="000000"/>
            </w:tcBorders>
            <w:vAlign w:val="center"/>
          </w:tcPr>
          <w:p w14:paraId="19C888A8" w14:textId="77777777" w:rsidR="0013016D" w:rsidRPr="0013016D" w:rsidRDefault="0013016D" w:rsidP="0013016D">
            <w:pPr>
              <w:kinsoku w:val="0"/>
              <w:overflowPunct w:val="0"/>
              <w:autoSpaceDE w:val="0"/>
              <w:autoSpaceDN w:val="0"/>
              <w:adjustRightInd w:val="0"/>
              <w:spacing w:before="45" w:line="240" w:lineRule="auto"/>
              <w:ind w:left="33" w:right="4" w:firstLine="14"/>
              <w:jc w:val="center"/>
              <w:rPr>
                <w:rFonts w:eastAsia="Arial Unicode MS" w:cs="Arial"/>
                <w:szCs w:val="20"/>
                <w:lang w:eastAsia="en-AU"/>
              </w:rPr>
            </w:pPr>
            <w:r w:rsidRPr="0013016D">
              <w:rPr>
                <w:rFonts w:eastAsia="Arial Unicode MS" w:cs="Arial"/>
                <w:szCs w:val="20"/>
                <w:lang w:eastAsia="en-AU"/>
              </w:rPr>
              <w:t>0 metres</w:t>
            </w:r>
          </w:p>
        </w:tc>
        <w:tc>
          <w:tcPr>
            <w:tcW w:w="743" w:type="pct"/>
            <w:tcBorders>
              <w:top w:val="single" w:sz="4" w:space="0" w:color="000000"/>
              <w:left w:val="single" w:sz="4" w:space="0" w:color="000000"/>
              <w:bottom w:val="single" w:sz="4" w:space="0" w:color="000000"/>
              <w:right w:val="single" w:sz="4" w:space="0" w:color="000000"/>
            </w:tcBorders>
            <w:vAlign w:val="center"/>
          </w:tcPr>
          <w:p w14:paraId="3D2F4536" w14:textId="77777777" w:rsidR="0013016D" w:rsidRPr="0013016D" w:rsidRDefault="0013016D" w:rsidP="0013016D">
            <w:pPr>
              <w:kinsoku w:val="0"/>
              <w:overflowPunct w:val="0"/>
              <w:autoSpaceDE w:val="0"/>
              <w:autoSpaceDN w:val="0"/>
              <w:adjustRightInd w:val="0"/>
              <w:spacing w:before="45" w:line="240" w:lineRule="auto"/>
              <w:ind w:left="33" w:right="4" w:firstLine="14"/>
              <w:jc w:val="center"/>
              <w:rPr>
                <w:rFonts w:eastAsia="Arial Unicode MS" w:cs="Arial"/>
                <w:szCs w:val="20"/>
                <w:lang w:eastAsia="en-AU"/>
              </w:rPr>
            </w:pPr>
            <w:r w:rsidRPr="0013016D">
              <w:rPr>
                <w:rFonts w:eastAsia="Arial Unicode MS" w:cs="Arial"/>
                <w:szCs w:val="20"/>
                <w:lang w:eastAsia="en-AU"/>
              </w:rPr>
              <w:t>0 metres</w:t>
            </w:r>
          </w:p>
        </w:tc>
        <w:tc>
          <w:tcPr>
            <w:tcW w:w="743" w:type="pct"/>
            <w:tcBorders>
              <w:top w:val="single" w:sz="4" w:space="0" w:color="000000"/>
              <w:left w:val="single" w:sz="4" w:space="0" w:color="000000"/>
              <w:bottom w:val="single" w:sz="4" w:space="0" w:color="000000"/>
              <w:right w:val="single" w:sz="4" w:space="0" w:color="000000"/>
            </w:tcBorders>
            <w:vAlign w:val="center"/>
          </w:tcPr>
          <w:p w14:paraId="597EFA96" w14:textId="77777777" w:rsidR="0013016D" w:rsidRPr="0013016D" w:rsidRDefault="0013016D" w:rsidP="0013016D">
            <w:pPr>
              <w:kinsoku w:val="0"/>
              <w:overflowPunct w:val="0"/>
              <w:autoSpaceDE w:val="0"/>
              <w:autoSpaceDN w:val="0"/>
              <w:adjustRightInd w:val="0"/>
              <w:spacing w:before="45" w:line="240" w:lineRule="auto"/>
              <w:ind w:left="33" w:right="4" w:firstLine="14"/>
              <w:jc w:val="center"/>
              <w:rPr>
                <w:rFonts w:eastAsia="Arial Unicode MS" w:cs="Arial"/>
                <w:szCs w:val="20"/>
                <w:lang w:eastAsia="en-AU"/>
              </w:rPr>
            </w:pPr>
            <w:r w:rsidRPr="0013016D">
              <w:rPr>
                <w:rFonts w:eastAsia="Arial Unicode MS" w:cs="Arial"/>
                <w:szCs w:val="20"/>
                <w:lang w:eastAsia="en-AU"/>
              </w:rPr>
              <w:t>5 metres</w:t>
            </w:r>
          </w:p>
        </w:tc>
      </w:tr>
      <w:bookmarkEnd w:id="253"/>
    </w:tbl>
    <w:p w14:paraId="42C76D38" w14:textId="3036CB4D" w:rsidR="00DD03C2" w:rsidRDefault="00DD03C2" w:rsidP="0013016D">
      <w:pPr>
        <w:spacing w:before="10" w:after="10" w:line="240" w:lineRule="auto"/>
        <w:rPr>
          <w:rFonts w:cs="Arial"/>
          <w:b/>
          <w:bCs/>
          <w:szCs w:val="20"/>
        </w:rPr>
      </w:pPr>
      <w:r>
        <w:rPr>
          <w:rFonts w:cs="Arial"/>
          <w:b/>
          <w:bCs/>
          <w:szCs w:val="20"/>
        </w:rPr>
        <w:br w:type="page"/>
      </w:r>
    </w:p>
    <w:p w14:paraId="0B8E0B9A" w14:textId="5217BFD8" w:rsidR="00C563CE" w:rsidRPr="00DD03C2" w:rsidRDefault="00C563CE" w:rsidP="00DD03C2">
      <w:pPr>
        <w:spacing w:line="240" w:lineRule="auto"/>
        <w:rPr>
          <w:rFonts w:cs="Arial"/>
          <w:b/>
          <w:sz w:val="22"/>
          <w:szCs w:val="22"/>
        </w:rPr>
      </w:pPr>
      <w:r w:rsidRPr="0013016D">
        <w:rPr>
          <w:rFonts w:cs="Arial"/>
          <w:b/>
          <w:sz w:val="22"/>
          <w:szCs w:val="22"/>
        </w:rPr>
        <w:lastRenderedPageBreak/>
        <w:t>DIRECTIONS FOR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88"/>
        <w:gridCol w:w="1749"/>
        <w:gridCol w:w="1310"/>
        <w:gridCol w:w="5281"/>
      </w:tblGrid>
      <w:tr w:rsidR="0013016D" w:rsidRPr="0013016D" w14:paraId="6F2967A3" w14:textId="77777777" w:rsidTr="007C6059">
        <w:trPr>
          <w:cantSplit/>
          <w:tblHeader/>
        </w:trPr>
        <w:tc>
          <w:tcPr>
            <w:tcW w:w="681" w:type="pct"/>
            <w:tcMar>
              <w:top w:w="85" w:type="dxa"/>
              <w:left w:w="57" w:type="dxa"/>
              <w:bottom w:w="85" w:type="dxa"/>
              <w:right w:w="57" w:type="dxa"/>
            </w:tcMar>
          </w:tcPr>
          <w:p w14:paraId="142A0D7A" w14:textId="77777777" w:rsidR="0013016D" w:rsidRPr="0013016D" w:rsidRDefault="0013016D" w:rsidP="0013016D">
            <w:pPr>
              <w:spacing w:line="240" w:lineRule="auto"/>
              <w:jc w:val="center"/>
              <w:rPr>
                <w:rFonts w:cs="Arial"/>
                <w:b/>
                <w:szCs w:val="20"/>
              </w:rPr>
            </w:pPr>
            <w:bookmarkStart w:id="254" w:name="_Hlk106285533"/>
            <w:bookmarkEnd w:id="252"/>
            <w:r w:rsidRPr="0013016D">
              <w:rPr>
                <w:rFonts w:cs="Arial"/>
                <w:b/>
                <w:szCs w:val="20"/>
              </w:rPr>
              <w:t>Crop</w:t>
            </w:r>
          </w:p>
        </w:tc>
        <w:tc>
          <w:tcPr>
            <w:tcW w:w="873" w:type="pct"/>
            <w:tcMar>
              <w:top w:w="85" w:type="dxa"/>
              <w:left w:w="57" w:type="dxa"/>
              <w:bottom w:w="85" w:type="dxa"/>
              <w:right w:w="57" w:type="dxa"/>
            </w:tcMar>
          </w:tcPr>
          <w:p w14:paraId="2C53B64C" w14:textId="77777777" w:rsidR="0013016D" w:rsidRPr="0013016D" w:rsidRDefault="0013016D" w:rsidP="0013016D">
            <w:pPr>
              <w:spacing w:line="240" w:lineRule="auto"/>
              <w:jc w:val="center"/>
              <w:rPr>
                <w:rFonts w:cs="Arial"/>
                <w:b/>
                <w:szCs w:val="20"/>
              </w:rPr>
            </w:pPr>
            <w:r w:rsidRPr="0013016D">
              <w:rPr>
                <w:rFonts w:cs="Arial"/>
                <w:b/>
                <w:szCs w:val="20"/>
              </w:rPr>
              <w:t>Disease</w:t>
            </w:r>
          </w:p>
        </w:tc>
        <w:tc>
          <w:tcPr>
            <w:tcW w:w="692" w:type="pct"/>
            <w:tcMar>
              <w:top w:w="85" w:type="dxa"/>
              <w:left w:w="57" w:type="dxa"/>
              <w:bottom w:w="85" w:type="dxa"/>
              <w:right w:w="57" w:type="dxa"/>
            </w:tcMar>
          </w:tcPr>
          <w:p w14:paraId="22854532" w14:textId="77777777" w:rsidR="0013016D" w:rsidRPr="0013016D" w:rsidRDefault="0013016D" w:rsidP="0013016D">
            <w:pPr>
              <w:spacing w:line="240" w:lineRule="auto"/>
              <w:jc w:val="center"/>
              <w:rPr>
                <w:rFonts w:cs="Arial"/>
                <w:b/>
                <w:szCs w:val="20"/>
              </w:rPr>
            </w:pPr>
            <w:r w:rsidRPr="0013016D">
              <w:rPr>
                <w:rFonts w:cs="Arial"/>
                <w:b/>
                <w:szCs w:val="20"/>
              </w:rPr>
              <w:t>Rate</w:t>
            </w:r>
          </w:p>
        </w:tc>
        <w:tc>
          <w:tcPr>
            <w:tcW w:w="2755" w:type="pct"/>
            <w:tcMar>
              <w:top w:w="85" w:type="dxa"/>
              <w:left w:w="57" w:type="dxa"/>
              <w:bottom w:w="85" w:type="dxa"/>
              <w:right w:w="57" w:type="dxa"/>
            </w:tcMar>
          </w:tcPr>
          <w:p w14:paraId="6DBC62DB" w14:textId="77777777" w:rsidR="0013016D" w:rsidRPr="0013016D" w:rsidRDefault="0013016D" w:rsidP="0013016D">
            <w:pPr>
              <w:spacing w:line="240" w:lineRule="auto"/>
              <w:jc w:val="center"/>
              <w:rPr>
                <w:rFonts w:cs="Arial"/>
                <w:b/>
                <w:szCs w:val="20"/>
              </w:rPr>
            </w:pPr>
            <w:r w:rsidRPr="0013016D">
              <w:rPr>
                <w:rFonts w:cs="Arial"/>
                <w:b/>
                <w:szCs w:val="20"/>
              </w:rPr>
              <w:t>Critical Comments</w:t>
            </w:r>
          </w:p>
        </w:tc>
      </w:tr>
      <w:tr w:rsidR="0013016D" w:rsidRPr="0013016D" w14:paraId="7236C2D3" w14:textId="77777777" w:rsidTr="007C6059">
        <w:trPr>
          <w:cantSplit/>
        </w:trPr>
        <w:tc>
          <w:tcPr>
            <w:tcW w:w="681" w:type="pct"/>
            <w:tcMar>
              <w:left w:w="57" w:type="dxa"/>
              <w:right w:w="57" w:type="dxa"/>
            </w:tcMar>
          </w:tcPr>
          <w:p w14:paraId="2279D0A0" w14:textId="77777777" w:rsidR="0013016D" w:rsidRPr="0013016D" w:rsidRDefault="0013016D" w:rsidP="0013016D">
            <w:pPr>
              <w:spacing w:line="240" w:lineRule="auto"/>
              <w:rPr>
                <w:rFonts w:cs="Arial"/>
                <w:szCs w:val="20"/>
                <w:lang w:eastAsia="zh-CN"/>
              </w:rPr>
            </w:pPr>
            <w:r w:rsidRPr="0013016D">
              <w:rPr>
                <w:rFonts w:cs="Arial"/>
                <w:szCs w:val="20"/>
                <w:lang w:eastAsia="zh-CN"/>
              </w:rPr>
              <w:t>Wine grapes</w:t>
            </w:r>
          </w:p>
        </w:tc>
        <w:tc>
          <w:tcPr>
            <w:tcW w:w="873" w:type="pct"/>
            <w:noWrap/>
            <w:tcMar>
              <w:left w:w="57" w:type="dxa"/>
              <w:right w:w="57" w:type="dxa"/>
            </w:tcMar>
          </w:tcPr>
          <w:p w14:paraId="36456012" w14:textId="77777777" w:rsidR="0013016D" w:rsidRPr="0013016D" w:rsidRDefault="0013016D" w:rsidP="0013016D">
            <w:pPr>
              <w:spacing w:line="240" w:lineRule="auto"/>
              <w:rPr>
                <w:rFonts w:cs="Arial"/>
                <w:szCs w:val="20"/>
                <w:lang w:eastAsia="zh-CN"/>
              </w:rPr>
            </w:pPr>
            <w:r w:rsidRPr="0013016D">
              <w:rPr>
                <w:rFonts w:cs="Arial"/>
                <w:szCs w:val="20"/>
                <w:lang w:eastAsia="zh-CN"/>
              </w:rPr>
              <w:t>Powdery mildew</w:t>
            </w:r>
          </w:p>
          <w:p w14:paraId="1E835321" w14:textId="77777777" w:rsidR="0013016D" w:rsidRPr="0013016D" w:rsidRDefault="0013016D" w:rsidP="0013016D">
            <w:pPr>
              <w:spacing w:line="240" w:lineRule="auto"/>
              <w:rPr>
                <w:rFonts w:cs="Arial"/>
                <w:szCs w:val="20"/>
                <w:lang w:eastAsia="zh-CN"/>
              </w:rPr>
            </w:pPr>
            <w:r w:rsidRPr="0013016D">
              <w:rPr>
                <w:rFonts w:cs="Arial"/>
                <w:szCs w:val="20"/>
                <w:lang w:eastAsia="zh-CN"/>
              </w:rPr>
              <w:t>(</w:t>
            </w:r>
            <w:proofErr w:type="spellStart"/>
            <w:r w:rsidRPr="0013016D">
              <w:rPr>
                <w:rFonts w:cs="Arial"/>
                <w:i/>
                <w:iCs/>
                <w:szCs w:val="20"/>
                <w:lang w:eastAsia="zh-CN"/>
              </w:rPr>
              <w:t>Uncinula</w:t>
            </w:r>
            <w:proofErr w:type="spellEnd"/>
            <w:r w:rsidRPr="0013016D">
              <w:rPr>
                <w:rFonts w:cs="Arial"/>
                <w:i/>
                <w:iCs/>
                <w:szCs w:val="20"/>
                <w:lang w:eastAsia="zh-CN"/>
              </w:rPr>
              <w:t xml:space="preserve"> </w:t>
            </w:r>
            <w:proofErr w:type="spellStart"/>
            <w:r w:rsidRPr="0013016D">
              <w:rPr>
                <w:rFonts w:cs="Arial"/>
                <w:i/>
                <w:iCs/>
                <w:szCs w:val="20"/>
                <w:lang w:eastAsia="zh-CN"/>
              </w:rPr>
              <w:t>necator</w:t>
            </w:r>
            <w:proofErr w:type="spellEnd"/>
            <w:r w:rsidRPr="0013016D">
              <w:rPr>
                <w:rFonts w:cs="Arial"/>
                <w:szCs w:val="20"/>
                <w:lang w:eastAsia="zh-CN"/>
              </w:rPr>
              <w:t>)</w:t>
            </w:r>
          </w:p>
        </w:tc>
        <w:tc>
          <w:tcPr>
            <w:tcW w:w="692" w:type="pct"/>
            <w:tcMar>
              <w:left w:w="57" w:type="dxa"/>
              <w:right w:w="57" w:type="dxa"/>
            </w:tcMar>
          </w:tcPr>
          <w:p w14:paraId="2F18E27F" w14:textId="77777777" w:rsidR="0013016D" w:rsidRPr="0013016D" w:rsidRDefault="0013016D" w:rsidP="0013016D">
            <w:pPr>
              <w:tabs>
                <w:tab w:val="left" w:pos="720"/>
                <w:tab w:val="center" w:pos="4320"/>
                <w:tab w:val="right" w:pos="8640"/>
              </w:tabs>
              <w:spacing w:line="240" w:lineRule="auto"/>
              <w:jc w:val="center"/>
              <w:rPr>
                <w:rFonts w:cs="Arial"/>
                <w:szCs w:val="20"/>
                <w:lang w:eastAsia="zh-CN"/>
              </w:rPr>
            </w:pPr>
            <w:r w:rsidRPr="0013016D">
              <w:rPr>
                <w:rFonts w:cs="Arial"/>
                <w:szCs w:val="20"/>
                <w:lang w:eastAsia="zh-CN"/>
              </w:rPr>
              <w:t>40 mL/100 L</w:t>
            </w:r>
          </w:p>
        </w:tc>
        <w:tc>
          <w:tcPr>
            <w:tcW w:w="2755" w:type="pct"/>
            <w:tcMar>
              <w:left w:w="57" w:type="dxa"/>
              <w:right w:w="57" w:type="dxa"/>
            </w:tcMar>
          </w:tcPr>
          <w:p w14:paraId="68B5DCE1" w14:textId="77777777" w:rsidR="0013016D" w:rsidRPr="0013016D" w:rsidRDefault="0013016D" w:rsidP="0013016D">
            <w:pPr>
              <w:spacing w:after="120" w:line="240" w:lineRule="auto"/>
              <w:rPr>
                <w:rFonts w:cs="Arial"/>
                <w:szCs w:val="20"/>
              </w:rPr>
            </w:pPr>
            <w:r w:rsidRPr="0013016D">
              <w:rPr>
                <w:rFonts w:cs="Arial"/>
                <w:szCs w:val="20"/>
              </w:rPr>
              <w:t>Apply SEEKER</w:t>
            </w:r>
            <w:r w:rsidRPr="0013016D">
              <w:rPr>
                <w:rFonts w:cs="Arial"/>
                <w:szCs w:val="20"/>
                <w:vertAlign w:val="superscript"/>
              </w:rPr>
              <w:t>®</w:t>
            </w:r>
            <w:r w:rsidRPr="0013016D">
              <w:rPr>
                <w:rFonts w:cs="Arial"/>
                <w:szCs w:val="20"/>
              </w:rPr>
              <w:t xml:space="preserve"> Duo fungicide within a protectant fungicide program with products from other mode of action groups aimed at controlling powdery mildew.</w:t>
            </w:r>
          </w:p>
          <w:p w14:paraId="23E78D2A" w14:textId="77777777" w:rsidR="0013016D" w:rsidRPr="0013016D" w:rsidRDefault="0013016D" w:rsidP="0013016D">
            <w:pPr>
              <w:spacing w:before="120" w:after="120" w:line="240" w:lineRule="auto"/>
              <w:rPr>
                <w:rFonts w:cs="Arial"/>
                <w:szCs w:val="20"/>
              </w:rPr>
            </w:pPr>
            <w:r w:rsidRPr="0013016D">
              <w:rPr>
                <w:rFonts w:cs="Arial"/>
                <w:szCs w:val="20"/>
              </w:rPr>
              <w:t>Apply by dilute or concentrate spraying equipment applying the same total amount of product to the crop.  Ensure thorough coverage of the crop canopy regardless of application method.  Refer to Application Section for calculations.</w:t>
            </w:r>
          </w:p>
          <w:p w14:paraId="051F4D8B" w14:textId="77777777" w:rsidR="0013016D" w:rsidRPr="0013016D" w:rsidRDefault="0013016D" w:rsidP="0013016D">
            <w:pPr>
              <w:spacing w:before="120" w:after="120" w:line="240" w:lineRule="auto"/>
              <w:rPr>
                <w:rFonts w:cs="Arial"/>
                <w:szCs w:val="20"/>
              </w:rPr>
            </w:pPr>
            <w:r w:rsidRPr="0013016D">
              <w:rPr>
                <w:rFonts w:cs="Arial"/>
                <w:szCs w:val="20"/>
              </w:rPr>
              <w:t>DO NOT apply more than one (1) application per season.</w:t>
            </w:r>
          </w:p>
          <w:p w14:paraId="1CEE7356" w14:textId="5D48760D" w:rsidR="0013016D" w:rsidRPr="0013016D" w:rsidRDefault="0013016D" w:rsidP="0013016D">
            <w:pPr>
              <w:spacing w:after="120" w:line="240" w:lineRule="auto"/>
              <w:rPr>
                <w:rFonts w:cs="Arial"/>
                <w:szCs w:val="20"/>
              </w:rPr>
            </w:pPr>
            <w:r w:rsidRPr="0013016D">
              <w:rPr>
                <w:rFonts w:cs="Arial"/>
                <w:szCs w:val="20"/>
              </w:rPr>
              <w:t xml:space="preserve">DO NOT apply later than 80% </w:t>
            </w:r>
            <w:proofErr w:type="spellStart"/>
            <w:r w:rsidRPr="0013016D">
              <w:rPr>
                <w:rFonts w:cs="Arial"/>
                <w:szCs w:val="20"/>
              </w:rPr>
              <w:t>capfall</w:t>
            </w:r>
            <w:proofErr w:type="spellEnd"/>
            <w:r w:rsidRPr="0013016D">
              <w:rPr>
                <w:rFonts w:cs="Arial"/>
                <w:szCs w:val="20"/>
              </w:rPr>
              <w:t xml:space="preserve"> (EL</w:t>
            </w:r>
            <w:r w:rsidR="00C563CE">
              <w:rPr>
                <w:rFonts w:cs="Arial"/>
                <w:szCs w:val="20"/>
              </w:rPr>
              <w:t>-</w:t>
            </w:r>
            <w:r w:rsidRPr="0013016D">
              <w:rPr>
                <w:rFonts w:cs="Arial"/>
                <w:szCs w:val="20"/>
              </w:rPr>
              <w:t>25).</w:t>
            </w:r>
          </w:p>
          <w:p w14:paraId="02CB79AC" w14:textId="77777777" w:rsidR="0013016D" w:rsidRPr="0013016D" w:rsidRDefault="0013016D" w:rsidP="0013016D">
            <w:pPr>
              <w:spacing w:before="120" w:after="120" w:line="240" w:lineRule="auto"/>
              <w:rPr>
                <w:rFonts w:cs="Arial"/>
                <w:szCs w:val="20"/>
              </w:rPr>
            </w:pPr>
            <w:r w:rsidRPr="0013016D">
              <w:rPr>
                <w:rFonts w:cs="Arial"/>
                <w:szCs w:val="20"/>
              </w:rPr>
              <w:t xml:space="preserve">DO NOT apply at more than 3X concentration.  </w:t>
            </w:r>
          </w:p>
          <w:p w14:paraId="53075D47" w14:textId="77777777" w:rsidR="0013016D" w:rsidRPr="0013016D" w:rsidRDefault="0013016D" w:rsidP="0013016D">
            <w:pPr>
              <w:spacing w:before="120" w:after="120" w:line="240" w:lineRule="auto"/>
              <w:rPr>
                <w:rFonts w:cs="Arial"/>
                <w:szCs w:val="20"/>
              </w:rPr>
            </w:pPr>
            <w:r w:rsidRPr="0013016D">
              <w:rPr>
                <w:rFonts w:cs="Arial"/>
                <w:szCs w:val="20"/>
              </w:rPr>
              <w:t>DO NOT apply to canopies which require water volumes greater than 1500L/ha.</w:t>
            </w:r>
          </w:p>
          <w:p w14:paraId="5C924390" w14:textId="77777777" w:rsidR="0013016D" w:rsidRPr="0013016D" w:rsidRDefault="0013016D" w:rsidP="0013016D">
            <w:pPr>
              <w:spacing w:before="120" w:after="120" w:line="240" w:lineRule="auto"/>
              <w:rPr>
                <w:rFonts w:cs="Arial"/>
                <w:szCs w:val="20"/>
              </w:rPr>
            </w:pPr>
            <w:r w:rsidRPr="0013016D">
              <w:rPr>
                <w:rFonts w:cs="Arial"/>
                <w:szCs w:val="20"/>
              </w:rPr>
              <w:t>This use is subject to a CropLife Australia Fungicide Resistance Management strategy.</w:t>
            </w:r>
          </w:p>
        </w:tc>
      </w:tr>
      <w:bookmarkEnd w:id="254"/>
    </w:tbl>
    <w:p w14:paraId="39DD1EDA" w14:textId="77777777" w:rsidR="0013016D" w:rsidRPr="0013016D" w:rsidRDefault="0013016D" w:rsidP="0013016D">
      <w:pPr>
        <w:spacing w:line="240" w:lineRule="auto"/>
        <w:rPr>
          <w:rFonts w:cs="Arial"/>
          <w:b/>
          <w:szCs w:val="20"/>
        </w:rPr>
      </w:pPr>
    </w:p>
    <w:p w14:paraId="72F550F5" w14:textId="77777777" w:rsidR="0013016D" w:rsidRPr="0013016D" w:rsidRDefault="0013016D" w:rsidP="0013016D">
      <w:pPr>
        <w:spacing w:line="240" w:lineRule="auto"/>
        <w:jc w:val="both"/>
        <w:rPr>
          <w:rFonts w:cs="Arial"/>
          <w:b/>
          <w:bCs/>
          <w:szCs w:val="20"/>
        </w:rPr>
      </w:pPr>
      <w:r w:rsidRPr="0013016D">
        <w:rPr>
          <w:rFonts w:cs="Arial"/>
          <w:b/>
          <w:szCs w:val="20"/>
        </w:rPr>
        <w:t>NOT TO BE USED FOR ANY PURPOSE, OR IN ANY MANNER, CONTRARY TO THIS LABEL UNLESS AUTHORISED UNDER APPROPRIATE LEGISLATION</w:t>
      </w:r>
    </w:p>
    <w:p w14:paraId="482FB6F2" w14:textId="77777777" w:rsidR="0013016D" w:rsidRPr="0013016D" w:rsidRDefault="0013016D" w:rsidP="0013016D">
      <w:pPr>
        <w:spacing w:line="240" w:lineRule="auto"/>
        <w:rPr>
          <w:rFonts w:cs="Arial"/>
          <w:szCs w:val="20"/>
        </w:rPr>
      </w:pPr>
    </w:p>
    <w:p w14:paraId="698A4A23" w14:textId="77777777" w:rsidR="0013016D" w:rsidRPr="00C563CE" w:rsidRDefault="0013016D" w:rsidP="0013016D">
      <w:pPr>
        <w:spacing w:line="240" w:lineRule="auto"/>
        <w:rPr>
          <w:rFonts w:cs="Arial"/>
          <w:b/>
          <w:sz w:val="22"/>
          <w:szCs w:val="22"/>
        </w:rPr>
      </w:pPr>
      <w:r w:rsidRPr="00C563CE">
        <w:rPr>
          <w:rFonts w:cs="Arial"/>
          <w:b/>
          <w:sz w:val="22"/>
          <w:szCs w:val="22"/>
        </w:rPr>
        <w:t>WITHHOLDING PERIODS:</w:t>
      </w:r>
    </w:p>
    <w:p w14:paraId="794B13F4" w14:textId="77777777" w:rsidR="0013016D" w:rsidRPr="00C563CE" w:rsidRDefault="0013016D" w:rsidP="0013016D">
      <w:pPr>
        <w:spacing w:line="240" w:lineRule="auto"/>
        <w:rPr>
          <w:rFonts w:cs="Arial"/>
          <w:b/>
          <w:sz w:val="22"/>
          <w:szCs w:val="22"/>
        </w:rPr>
      </w:pPr>
      <w:r w:rsidRPr="00C563CE">
        <w:rPr>
          <w:rFonts w:cs="Arial"/>
          <w:b/>
          <w:sz w:val="22"/>
          <w:szCs w:val="22"/>
        </w:rPr>
        <w:t>HARVEST</w:t>
      </w:r>
    </w:p>
    <w:p w14:paraId="50495F6A" w14:textId="77777777" w:rsidR="0013016D" w:rsidRPr="00C563CE" w:rsidRDefault="0013016D" w:rsidP="0013016D">
      <w:pPr>
        <w:tabs>
          <w:tab w:val="left" w:pos="1843"/>
        </w:tabs>
        <w:spacing w:line="240" w:lineRule="auto"/>
        <w:rPr>
          <w:rFonts w:cs="Arial"/>
          <w:b/>
          <w:bCs/>
          <w:szCs w:val="20"/>
        </w:rPr>
      </w:pPr>
      <w:r w:rsidRPr="00C563CE">
        <w:rPr>
          <w:rFonts w:cs="Arial"/>
          <w:b/>
          <w:bCs/>
          <w:iCs/>
          <w:szCs w:val="20"/>
        </w:rPr>
        <w:t>Wine Grapes:</w:t>
      </w:r>
      <w:r w:rsidRPr="00C563CE">
        <w:rPr>
          <w:rFonts w:cs="Arial"/>
          <w:b/>
          <w:bCs/>
          <w:i/>
          <w:szCs w:val="20"/>
        </w:rPr>
        <w:tab/>
      </w:r>
      <w:r w:rsidRPr="00C563CE">
        <w:rPr>
          <w:rFonts w:cs="Arial"/>
          <w:b/>
          <w:bCs/>
          <w:szCs w:val="20"/>
        </w:rPr>
        <w:t>NOT REQUIRED WHEN USED AS DIRECTED</w:t>
      </w:r>
    </w:p>
    <w:p w14:paraId="29DE5561" w14:textId="77777777" w:rsidR="0013016D" w:rsidRPr="00C563CE" w:rsidRDefault="0013016D" w:rsidP="0013016D">
      <w:pPr>
        <w:spacing w:line="240" w:lineRule="auto"/>
        <w:rPr>
          <w:rFonts w:cs="Arial"/>
          <w:szCs w:val="20"/>
        </w:rPr>
      </w:pPr>
    </w:p>
    <w:p w14:paraId="517E24FB" w14:textId="77777777" w:rsidR="0013016D" w:rsidRPr="00C563CE" w:rsidRDefault="0013016D" w:rsidP="0013016D">
      <w:pPr>
        <w:spacing w:line="240" w:lineRule="auto"/>
        <w:rPr>
          <w:rFonts w:cs="Arial"/>
          <w:b/>
          <w:szCs w:val="20"/>
        </w:rPr>
      </w:pPr>
      <w:r w:rsidRPr="00C563CE">
        <w:rPr>
          <w:rFonts w:cs="Arial"/>
          <w:b/>
          <w:szCs w:val="20"/>
        </w:rPr>
        <w:t>GRAZING</w:t>
      </w:r>
    </w:p>
    <w:p w14:paraId="6F5D9A9B" w14:textId="77777777" w:rsidR="0013016D" w:rsidRPr="00C563CE" w:rsidRDefault="0013016D" w:rsidP="0013016D">
      <w:pPr>
        <w:tabs>
          <w:tab w:val="left" w:pos="1843"/>
        </w:tabs>
        <w:spacing w:line="240" w:lineRule="auto"/>
        <w:ind w:left="1843" w:hanging="1843"/>
        <w:rPr>
          <w:rFonts w:cs="Arial"/>
          <w:b/>
          <w:bCs/>
          <w:szCs w:val="20"/>
        </w:rPr>
      </w:pPr>
      <w:r w:rsidRPr="00C563CE">
        <w:rPr>
          <w:rFonts w:cs="Arial"/>
          <w:b/>
          <w:bCs/>
          <w:szCs w:val="20"/>
        </w:rPr>
        <w:t>DO NOT GRAZE TREATED VINEYARDS FOR 12 WEEKS AFTER APPLICATION</w:t>
      </w:r>
    </w:p>
    <w:p w14:paraId="75011BF3" w14:textId="77777777" w:rsidR="0013016D" w:rsidRPr="00C563CE" w:rsidRDefault="0013016D" w:rsidP="0013016D">
      <w:pPr>
        <w:tabs>
          <w:tab w:val="left" w:pos="1843"/>
        </w:tabs>
        <w:spacing w:line="240" w:lineRule="auto"/>
        <w:rPr>
          <w:rFonts w:cs="Arial"/>
          <w:b/>
          <w:bCs/>
          <w:szCs w:val="20"/>
        </w:rPr>
      </w:pPr>
    </w:p>
    <w:p w14:paraId="469A2BFE" w14:textId="77777777" w:rsidR="0013016D" w:rsidRPr="00C563CE" w:rsidRDefault="0013016D" w:rsidP="0013016D">
      <w:pPr>
        <w:tabs>
          <w:tab w:val="left" w:pos="1843"/>
        </w:tabs>
        <w:spacing w:line="240" w:lineRule="auto"/>
        <w:rPr>
          <w:rFonts w:cs="Arial"/>
          <w:b/>
          <w:bCs/>
          <w:szCs w:val="20"/>
        </w:rPr>
      </w:pPr>
      <w:r w:rsidRPr="00C563CE">
        <w:rPr>
          <w:rFonts w:cs="Arial"/>
          <w:b/>
          <w:bCs/>
          <w:szCs w:val="20"/>
        </w:rPr>
        <w:t>EXPORT OF TREATED PRODUCE</w:t>
      </w:r>
    </w:p>
    <w:p w14:paraId="23968CB6" w14:textId="77777777" w:rsidR="0013016D" w:rsidRPr="00C563CE" w:rsidRDefault="0013016D" w:rsidP="0013016D">
      <w:pPr>
        <w:spacing w:line="240" w:lineRule="auto"/>
        <w:jc w:val="both"/>
        <w:rPr>
          <w:rFonts w:cs="Arial"/>
          <w:b/>
          <w:szCs w:val="20"/>
        </w:rPr>
      </w:pPr>
      <w:r w:rsidRPr="00C563CE">
        <w:rPr>
          <w:rFonts w:cs="Arial"/>
          <w:b/>
          <w:szCs w:val="20"/>
        </w:rPr>
        <w:t>Growers should note that appropriate MRLs or import tolerances may not be established in all markets for fruit harvested from SEEKER</w:t>
      </w:r>
      <w:r w:rsidRPr="00C563CE">
        <w:rPr>
          <w:rFonts w:cs="Arial"/>
          <w:b/>
          <w:szCs w:val="20"/>
          <w:vertAlign w:val="superscript"/>
        </w:rPr>
        <w:t>®</w:t>
      </w:r>
      <w:r w:rsidRPr="00C563CE">
        <w:rPr>
          <w:rFonts w:cs="Arial"/>
          <w:b/>
          <w:szCs w:val="20"/>
        </w:rPr>
        <w:t xml:space="preserve"> Duo fungicide treated grapes.  If you are growing grapes for export, please check with the Australian Wine Research Institute (in regard to wine) or Syngenta Australia for the latest information on MRLs and import tolerances before using SEEKER</w:t>
      </w:r>
      <w:r w:rsidRPr="00C563CE">
        <w:rPr>
          <w:rFonts w:cs="Arial"/>
          <w:b/>
          <w:szCs w:val="20"/>
          <w:vertAlign w:val="superscript"/>
        </w:rPr>
        <w:t>®</w:t>
      </w:r>
      <w:r w:rsidRPr="00C563CE">
        <w:rPr>
          <w:rFonts w:cs="Arial"/>
          <w:b/>
          <w:bCs/>
          <w:szCs w:val="20"/>
        </w:rPr>
        <w:t xml:space="preserve"> Duo fungicide</w:t>
      </w:r>
      <w:r w:rsidRPr="00C563CE">
        <w:rPr>
          <w:rFonts w:cs="Arial"/>
          <w:b/>
          <w:szCs w:val="20"/>
        </w:rPr>
        <w:t>.</w:t>
      </w:r>
    </w:p>
    <w:p w14:paraId="61A0E8FF" w14:textId="77777777" w:rsidR="0013016D" w:rsidRPr="00C563CE" w:rsidRDefault="0013016D" w:rsidP="0013016D">
      <w:pPr>
        <w:spacing w:line="240" w:lineRule="auto"/>
        <w:rPr>
          <w:rFonts w:cs="Arial"/>
          <w:b/>
          <w:sz w:val="22"/>
          <w:szCs w:val="22"/>
        </w:rPr>
      </w:pPr>
    </w:p>
    <w:p w14:paraId="75177864" w14:textId="77777777" w:rsidR="0013016D" w:rsidRPr="00C563CE" w:rsidRDefault="0013016D" w:rsidP="0013016D">
      <w:pPr>
        <w:spacing w:line="240" w:lineRule="auto"/>
        <w:rPr>
          <w:rFonts w:cs="Arial"/>
          <w:b/>
          <w:sz w:val="22"/>
          <w:szCs w:val="22"/>
        </w:rPr>
      </w:pPr>
      <w:r w:rsidRPr="00C563CE">
        <w:rPr>
          <w:rFonts w:cs="Arial"/>
          <w:b/>
          <w:sz w:val="22"/>
          <w:szCs w:val="22"/>
        </w:rPr>
        <w:t>GENERAL INSTRUCTIONS</w:t>
      </w:r>
    </w:p>
    <w:p w14:paraId="20729AE7" w14:textId="77777777" w:rsidR="0013016D" w:rsidRPr="00C563CE" w:rsidRDefault="0013016D" w:rsidP="0013016D">
      <w:pPr>
        <w:spacing w:line="240" w:lineRule="auto"/>
        <w:rPr>
          <w:rFonts w:cs="Arial"/>
          <w:b/>
          <w:bCs/>
          <w:szCs w:val="20"/>
        </w:rPr>
      </w:pPr>
      <w:r w:rsidRPr="00C563CE">
        <w:rPr>
          <w:rFonts w:cs="Arial"/>
          <w:b/>
          <w:bCs/>
          <w:szCs w:val="20"/>
        </w:rPr>
        <w:t>Mixing</w:t>
      </w:r>
    </w:p>
    <w:p w14:paraId="67AD4C15" w14:textId="77777777" w:rsidR="0013016D" w:rsidRPr="00C563CE" w:rsidRDefault="0013016D" w:rsidP="0013016D">
      <w:pPr>
        <w:spacing w:line="240" w:lineRule="auto"/>
        <w:jc w:val="both"/>
        <w:rPr>
          <w:rFonts w:cs="Arial"/>
          <w:szCs w:val="20"/>
        </w:rPr>
      </w:pPr>
      <w:r w:rsidRPr="00C563CE">
        <w:rPr>
          <w:rFonts w:cs="Arial"/>
          <w:szCs w:val="20"/>
        </w:rPr>
        <w:t>SEEKER</w:t>
      </w:r>
      <w:r w:rsidRPr="00C563CE">
        <w:rPr>
          <w:rFonts w:cs="Arial"/>
          <w:szCs w:val="20"/>
          <w:vertAlign w:val="superscript"/>
        </w:rPr>
        <w:t>®</w:t>
      </w:r>
      <w:r w:rsidRPr="00C563CE">
        <w:rPr>
          <w:rFonts w:cs="Arial"/>
          <w:szCs w:val="20"/>
        </w:rPr>
        <w:t xml:space="preserve"> Duo</w:t>
      </w:r>
      <w:r w:rsidRPr="00C563CE">
        <w:rPr>
          <w:rFonts w:cs="Arial"/>
          <w:b/>
          <w:bCs/>
          <w:szCs w:val="20"/>
        </w:rPr>
        <w:t xml:space="preserve"> </w:t>
      </w:r>
      <w:r w:rsidRPr="00C563CE">
        <w:rPr>
          <w:rFonts w:cs="Arial"/>
          <w:szCs w:val="20"/>
        </w:rPr>
        <w:t>fungicide is an Emulsifiable Concentrate (EC) formulation that mixes readily with water and is applied as a spray.</w:t>
      </w:r>
    </w:p>
    <w:p w14:paraId="7E4CBC5C" w14:textId="77777777" w:rsidR="0013016D" w:rsidRPr="00C563CE" w:rsidRDefault="0013016D" w:rsidP="0013016D">
      <w:pPr>
        <w:numPr>
          <w:ilvl w:val="0"/>
          <w:numId w:val="41"/>
        </w:numPr>
        <w:spacing w:before="60" w:after="60" w:line="240" w:lineRule="auto"/>
        <w:ind w:left="426"/>
        <w:contextualSpacing/>
        <w:rPr>
          <w:rFonts w:cs="Arial"/>
          <w:szCs w:val="20"/>
        </w:rPr>
      </w:pPr>
      <w:r w:rsidRPr="00C563CE">
        <w:rPr>
          <w:rFonts w:cs="Arial"/>
          <w:szCs w:val="20"/>
        </w:rPr>
        <w:t>Partly fill the spray tank with water.</w:t>
      </w:r>
    </w:p>
    <w:p w14:paraId="60E3037D" w14:textId="77777777" w:rsidR="0013016D" w:rsidRPr="00C563CE" w:rsidRDefault="0013016D" w:rsidP="0013016D">
      <w:pPr>
        <w:numPr>
          <w:ilvl w:val="0"/>
          <w:numId w:val="41"/>
        </w:numPr>
        <w:spacing w:before="60" w:after="60" w:line="240" w:lineRule="auto"/>
        <w:ind w:left="426"/>
        <w:contextualSpacing/>
        <w:rPr>
          <w:rFonts w:cs="Arial"/>
          <w:szCs w:val="20"/>
        </w:rPr>
      </w:pPr>
      <w:r w:rsidRPr="00C563CE">
        <w:rPr>
          <w:rFonts w:cs="Arial"/>
          <w:szCs w:val="20"/>
        </w:rPr>
        <w:t>Start the agitation.</w:t>
      </w:r>
    </w:p>
    <w:p w14:paraId="0009CC2C" w14:textId="77777777" w:rsidR="0013016D" w:rsidRPr="00C563CE" w:rsidRDefault="0013016D" w:rsidP="0013016D">
      <w:pPr>
        <w:numPr>
          <w:ilvl w:val="0"/>
          <w:numId w:val="41"/>
        </w:numPr>
        <w:spacing w:before="60" w:after="60" w:line="240" w:lineRule="auto"/>
        <w:ind w:left="426"/>
        <w:contextualSpacing/>
        <w:rPr>
          <w:rFonts w:cs="Arial"/>
          <w:szCs w:val="20"/>
        </w:rPr>
      </w:pPr>
      <w:r w:rsidRPr="00C563CE">
        <w:rPr>
          <w:rFonts w:cs="Arial"/>
          <w:szCs w:val="20"/>
        </w:rPr>
        <w:t>Add the correct amount of product to the spray tank with the agitation system running.</w:t>
      </w:r>
    </w:p>
    <w:p w14:paraId="12EA6DD5" w14:textId="77777777" w:rsidR="0013016D" w:rsidRPr="00C563CE" w:rsidRDefault="0013016D" w:rsidP="0013016D">
      <w:pPr>
        <w:numPr>
          <w:ilvl w:val="0"/>
          <w:numId w:val="41"/>
        </w:numPr>
        <w:spacing w:before="60" w:after="60" w:line="240" w:lineRule="auto"/>
        <w:ind w:left="426"/>
        <w:contextualSpacing/>
        <w:rPr>
          <w:rFonts w:cs="Arial"/>
          <w:szCs w:val="20"/>
        </w:rPr>
      </w:pPr>
      <w:r w:rsidRPr="00C563CE">
        <w:rPr>
          <w:rFonts w:cs="Arial"/>
          <w:szCs w:val="20"/>
        </w:rPr>
        <w:t>Continue agitation while topping up the tank with water and while spraying.</w:t>
      </w:r>
    </w:p>
    <w:p w14:paraId="4684408C" w14:textId="77777777" w:rsidR="0013016D" w:rsidRPr="00C563CE" w:rsidRDefault="0013016D" w:rsidP="0013016D">
      <w:pPr>
        <w:numPr>
          <w:ilvl w:val="0"/>
          <w:numId w:val="41"/>
        </w:numPr>
        <w:spacing w:before="60" w:after="60" w:line="240" w:lineRule="auto"/>
        <w:ind w:left="426"/>
        <w:contextualSpacing/>
        <w:rPr>
          <w:rFonts w:cs="Arial"/>
          <w:szCs w:val="20"/>
        </w:rPr>
      </w:pPr>
      <w:r w:rsidRPr="00C563CE">
        <w:rPr>
          <w:rFonts w:cs="Arial"/>
          <w:szCs w:val="20"/>
        </w:rPr>
        <w:t>Use the spray mix as soon as possible after preparation.</w:t>
      </w:r>
    </w:p>
    <w:p w14:paraId="5AAD1CE2" w14:textId="77777777" w:rsidR="0013016D" w:rsidRPr="00C563CE" w:rsidRDefault="0013016D" w:rsidP="0013016D">
      <w:pPr>
        <w:spacing w:line="240" w:lineRule="auto"/>
        <w:rPr>
          <w:rFonts w:cs="Arial"/>
          <w:szCs w:val="20"/>
        </w:rPr>
      </w:pPr>
    </w:p>
    <w:p w14:paraId="3E39F28D" w14:textId="77777777" w:rsidR="0013016D" w:rsidRPr="00C563CE" w:rsidRDefault="0013016D" w:rsidP="0013016D">
      <w:pPr>
        <w:spacing w:line="240" w:lineRule="auto"/>
        <w:rPr>
          <w:rFonts w:cs="Arial"/>
          <w:b/>
          <w:bCs/>
          <w:szCs w:val="20"/>
        </w:rPr>
      </w:pPr>
      <w:r w:rsidRPr="00C563CE">
        <w:rPr>
          <w:rFonts w:cs="Arial"/>
          <w:b/>
          <w:bCs/>
          <w:szCs w:val="20"/>
        </w:rPr>
        <w:t xml:space="preserve">Application </w:t>
      </w:r>
    </w:p>
    <w:p w14:paraId="501AED01" w14:textId="77777777" w:rsidR="0013016D" w:rsidRPr="00C563CE" w:rsidRDefault="0013016D" w:rsidP="0013016D">
      <w:pPr>
        <w:spacing w:line="240" w:lineRule="auto"/>
        <w:rPr>
          <w:rFonts w:cs="Arial"/>
          <w:b/>
          <w:bCs/>
          <w:iCs/>
          <w:szCs w:val="20"/>
        </w:rPr>
      </w:pPr>
      <w:r w:rsidRPr="00C563CE">
        <w:rPr>
          <w:rFonts w:cs="Arial"/>
          <w:b/>
          <w:bCs/>
          <w:iCs/>
          <w:szCs w:val="20"/>
        </w:rPr>
        <w:t>Ground Application only</w:t>
      </w:r>
    </w:p>
    <w:p w14:paraId="34031AC7" w14:textId="77777777" w:rsidR="0013016D" w:rsidRPr="0013016D" w:rsidRDefault="0013016D" w:rsidP="0013016D">
      <w:pPr>
        <w:spacing w:line="240" w:lineRule="auto"/>
        <w:jc w:val="both"/>
        <w:rPr>
          <w:rFonts w:cs="Arial"/>
          <w:szCs w:val="20"/>
        </w:rPr>
      </w:pPr>
      <w:r w:rsidRPr="0013016D">
        <w:rPr>
          <w:rFonts w:cs="Arial"/>
          <w:szCs w:val="20"/>
        </w:rPr>
        <w:t>Ensure thorough coverage of foliage and fruit. Apply by high volume (dilute) sprayer or by concentrate sprayer. Apply the same total amount of product to the target crop whether applying via dilute or concentrate spraying equipment.</w:t>
      </w:r>
    </w:p>
    <w:p w14:paraId="76270ED8" w14:textId="77777777" w:rsidR="0013016D" w:rsidRPr="0013016D" w:rsidRDefault="0013016D" w:rsidP="0013016D">
      <w:pPr>
        <w:spacing w:before="120" w:line="240" w:lineRule="auto"/>
        <w:jc w:val="both"/>
        <w:rPr>
          <w:rFonts w:cs="Arial"/>
          <w:b/>
          <w:bCs/>
          <w:szCs w:val="20"/>
        </w:rPr>
      </w:pPr>
      <w:r w:rsidRPr="0013016D">
        <w:rPr>
          <w:rFonts w:cs="Arial"/>
          <w:b/>
          <w:bCs/>
          <w:szCs w:val="20"/>
        </w:rPr>
        <w:lastRenderedPageBreak/>
        <w:t>Dilute Spraying</w:t>
      </w:r>
    </w:p>
    <w:p w14:paraId="53716A68" w14:textId="77777777" w:rsidR="0013016D" w:rsidRPr="0013016D" w:rsidRDefault="0013016D" w:rsidP="0013016D">
      <w:pPr>
        <w:spacing w:line="240" w:lineRule="auto"/>
        <w:jc w:val="both"/>
        <w:rPr>
          <w:rFonts w:cs="Arial"/>
          <w:szCs w:val="20"/>
        </w:rPr>
      </w:pPr>
      <w:r w:rsidRPr="0013016D">
        <w:rPr>
          <w:rFonts w:cs="Arial"/>
          <w:szCs w:val="20"/>
        </w:rPr>
        <w:t>Use a sprayer designed to apply high volumes of water up to the point of runoff and matched to the crop being sprayed. Set up and operate the sprayer to achieve even coverage throughout the crop canopy. Apply sufficient water to cover the crop to the point of runoff. Avoid excessive runoff. The required water volume may be determined by applying different test volumes, using different settings on the sprayer, from industry guidelines or expert advice. Add the amount of product specified in the Direction for Use table for each 100 L of water. Spray to the point of runoff. The required dilute spray volume will change, and the sprayer set up and operation may also need to be changed, as the crop grows.</w:t>
      </w:r>
    </w:p>
    <w:p w14:paraId="410BEE06" w14:textId="77777777" w:rsidR="0013016D" w:rsidRPr="0013016D" w:rsidRDefault="0013016D" w:rsidP="0013016D">
      <w:pPr>
        <w:spacing w:before="120" w:line="240" w:lineRule="auto"/>
        <w:rPr>
          <w:rFonts w:cs="Arial"/>
          <w:b/>
          <w:bCs/>
          <w:szCs w:val="20"/>
        </w:rPr>
      </w:pPr>
      <w:r w:rsidRPr="0013016D">
        <w:rPr>
          <w:rFonts w:cs="Arial"/>
          <w:b/>
          <w:bCs/>
          <w:szCs w:val="20"/>
        </w:rPr>
        <w:t>Concentrate Spraying</w:t>
      </w:r>
    </w:p>
    <w:p w14:paraId="01B738A5" w14:textId="77777777" w:rsidR="0013016D" w:rsidRPr="0013016D" w:rsidRDefault="0013016D" w:rsidP="0013016D">
      <w:pPr>
        <w:spacing w:line="240" w:lineRule="auto"/>
        <w:jc w:val="both"/>
        <w:rPr>
          <w:rFonts w:cs="Arial"/>
          <w:szCs w:val="20"/>
        </w:rPr>
      </w:pPr>
      <w:r w:rsidRPr="0013016D">
        <w:rPr>
          <w:rFonts w:cs="Arial"/>
          <w:szCs w:val="20"/>
        </w:rPr>
        <w:t xml:space="preserve">Use a sprayer designed and set up for concentrate spraying (that is a sprayer which applies water volumes less than those required to reach the point of runoff) and matched to the crop being sprayed. Set up and operate the sprayer to achieve even coverage throughout the crop canopy using your chosen water volume. Determine an appropriate dilute spray volume (see </w:t>
      </w:r>
      <w:r w:rsidRPr="0013016D">
        <w:rPr>
          <w:rFonts w:cs="Arial"/>
          <w:i/>
          <w:iCs/>
          <w:szCs w:val="20"/>
        </w:rPr>
        <w:t>Dilute Spraying</w:t>
      </w:r>
      <w:r w:rsidRPr="0013016D">
        <w:rPr>
          <w:rFonts w:cs="Arial"/>
          <w:szCs w:val="20"/>
        </w:rPr>
        <w:t>) for the crop canopy. This is needed to calculate the concentrate mixing rate. The mixing rate for concentrate spraying can then be calculated in the following way:</w:t>
      </w:r>
    </w:p>
    <w:p w14:paraId="6D04CAF6" w14:textId="77777777" w:rsidR="0013016D" w:rsidRPr="0013016D" w:rsidRDefault="0013016D" w:rsidP="0013016D">
      <w:pPr>
        <w:spacing w:line="240" w:lineRule="auto"/>
        <w:rPr>
          <w:rFonts w:cs="Arial"/>
          <w:b/>
          <w:bCs/>
          <w:szCs w:val="20"/>
        </w:rPr>
      </w:pPr>
      <w:r w:rsidRPr="0013016D">
        <w:rPr>
          <w:rFonts w:cs="Arial"/>
          <w:b/>
          <w:bCs/>
          <w:szCs w:val="20"/>
        </w:rPr>
        <w:t>Example only</w:t>
      </w:r>
    </w:p>
    <w:p w14:paraId="6BEB21F9" w14:textId="77777777" w:rsidR="0013016D" w:rsidRPr="0013016D" w:rsidRDefault="0013016D" w:rsidP="0013016D">
      <w:pPr>
        <w:numPr>
          <w:ilvl w:val="0"/>
          <w:numId w:val="40"/>
        </w:numPr>
        <w:spacing w:line="240" w:lineRule="auto"/>
        <w:rPr>
          <w:rFonts w:cs="Arial"/>
          <w:szCs w:val="20"/>
        </w:rPr>
      </w:pPr>
      <w:r w:rsidRPr="0013016D">
        <w:rPr>
          <w:rFonts w:cs="Arial"/>
          <w:szCs w:val="20"/>
        </w:rPr>
        <w:t>Dilute spray volume as determined above: for example, 1000 L/ha</w:t>
      </w:r>
    </w:p>
    <w:p w14:paraId="36833FE0" w14:textId="77777777" w:rsidR="0013016D" w:rsidRPr="0013016D" w:rsidRDefault="0013016D" w:rsidP="0013016D">
      <w:pPr>
        <w:numPr>
          <w:ilvl w:val="0"/>
          <w:numId w:val="40"/>
        </w:numPr>
        <w:spacing w:line="240" w:lineRule="auto"/>
        <w:rPr>
          <w:rFonts w:cs="Arial"/>
          <w:szCs w:val="20"/>
        </w:rPr>
      </w:pPr>
      <w:r w:rsidRPr="0013016D">
        <w:rPr>
          <w:rFonts w:cs="Arial"/>
          <w:szCs w:val="20"/>
        </w:rPr>
        <w:t>Your chosen concentrate spray volume: for example, 500 L/ha</w:t>
      </w:r>
    </w:p>
    <w:p w14:paraId="643635EF" w14:textId="77777777" w:rsidR="0013016D" w:rsidRPr="0013016D" w:rsidRDefault="0013016D" w:rsidP="0013016D">
      <w:pPr>
        <w:numPr>
          <w:ilvl w:val="0"/>
          <w:numId w:val="40"/>
        </w:numPr>
        <w:spacing w:line="240" w:lineRule="auto"/>
        <w:rPr>
          <w:rFonts w:cs="Arial"/>
          <w:szCs w:val="20"/>
        </w:rPr>
      </w:pPr>
      <w:r w:rsidRPr="0013016D">
        <w:rPr>
          <w:rFonts w:cs="Arial"/>
          <w:szCs w:val="20"/>
        </w:rPr>
        <w:t>The concentration factor in this example is: 2X (</w:t>
      </w:r>
      <w:proofErr w:type="spellStart"/>
      <w:r w:rsidRPr="0013016D">
        <w:rPr>
          <w:rFonts w:cs="Arial"/>
          <w:szCs w:val="20"/>
        </w:rPr>
        <w:t>ie</w:t>
      </w:r>
      <w:proofErr w:type="spellEnd"/>
      <w:r w:rsidRPr="0013016D">
        <w:rPr>
          <w:rFonts w:cs="Arial"/>
          <w:szCs w:val="20"/>
        </w:rPr>
        <w:t>, 1000 L / 500 L = 2)</w:t>
      </w:r>
    </w:p>
    <w:p w14:paraId="0EC00F8F" w14:textId="77777777" w:rsidR="0013016D" w:rsidRPr="0013016D" w:rsidRDefault="0013016D" w:rsidP="0013016D">
      <w:pPr>
        <w:numPr>
          <w:ilvl w:val="0"/>
          <w:numId w:val="40"/>
        </w:numPr>
        <w:spacing w:line="240" w:lineRule="auto"/>
        <w:rPr>
          <w:rFonts w:cs="Arial"/>
          <w:szCs w:val="20"/>
        </w:rPr>
      </w:pPr>
      <w:r w:rsidRPr="0013016D">
        <w:rPr>
          <w:rFonts w:cs="Arial"/>
          <w:szCs w:val="20"/>
        </w:rPr>
        <w:t>If the dilute label rate is 40 mL/100 L, then the concentrate rate becomes 2 x 40, that is 80 mL/100 L of concentrate spray.</w:t>
      </w:r>
    </w:p>
    <w:p w14:paraId="79218C7B" w14:textId="77777777" w:rsidR="0013016D" w:rsidRPr="0013016D" w:rsidRDefault="0013016D" w:rsidP="0013016D">
      <w:pPr>
        <w:spacing w:line="240" w:lineRule="auto"/>
        <w:jc w:val="both"/>
        <w:rPr>
          <w:rFonts w:cs="Arial"/>
          <w:szCs w:val="20"/>
        </w:rPr>
      </w:pPr>
      <w:r w:rsidRPr="0013016D">
        <w:rPr>
          <w:rFonts w:cs="Arial"/>
          <w:szCs w:val="20"/>
        </w:rPr>
        <w:t>The chosen spray volume, amount of product per 100 L of water, and the sprayer set up and operation may need to be changed as the crop grows. For further information on concentrate spraying, users are advised to consult relevant industry guidelines, undertake appropriate competency training, and follow industry Best Practices.</w:t>
      </w:r>
    </w:p>
    <w:p w14:paraId="171738FB" w14:textId="77777777" w:rsidR="0013016D" w:rsidRPr="0013016D" w:rsidRDefault="0013016D" w:rsidP="0013016D">
      <w:pPr>
        <w:spacing w:line="240" w:lineRule="auto"/>
        <w:rPr>
          <w:rFonts w:cs="Arial"/>
          <w:szCs w:val="20"/>
          <w:highlight w:val="yellow"/>
        </w:rPr>
      </w:pPr>
    </w:p>
    <w:p w14:paraId="70F1B70B" w14:textId="77777777" w:rsidR="0013016D" w:rsidRPr="0013016D" w:rsidRDefault="0013016D" w:rsidP="0013016D">
      <w:pPr>
        <w:spacing w:line="240" w:lineRule="auto"/>
        <w:rPr>
          <w:rFonts w:cs="Arial"/>
          <w:b/>
          <w:bCs/>
          <w:szCs w:val="20"/>
        </w:rPr>
      </w:pPr>
      <w:r w:rsidRPr="0013016D">
        <w:rPr>
          <w:rFonts w:cs="Arial"/>
          <w:b/>
          <w:bCs/>
          <w:szCs w:val="20"/>
        </w:rPr>
        <w:t>Compatibility</w:t>
      </w:r>
    </w:p>
    <w:tbl>
      <w:tblPr>
        <w:tblpPr w:leftFromText="180" w:rightFromText="180" w:vertAnchor="text" w:horzAnchor="margin" w:tblpY="1183"/>
        <w:tblW w:w="0" w:type="auto"/>
        <w:tblBorders>
          <w:right w:val="single" w:sz="4" w:space="0" w:color="auto"/>
          <w:insideH w:val="single" w:sz="4" w:space="0" w:color="auto"/>
          <w:insideV w:val="single" w:sz="4" w:space="0" w:color="auto"/>
        </w:tblBorders>
        <w:tblLook w:val="0000" w:firstRow="0" w:lastRow="0" w:firstColumn="0" w:lastColumn="0" w:noHBand="0" w:noVBand="0"/>
      </w:tblPr>
      <w:tblGrid>
        <w:gridCol w:w="3261"/>
        <w:gridCol w:w="992"/>
        <w:gridCol w:w="447"/>
        <w:gridCol w:w="448"/>
        <w:gridCol w:w="1461"/>
      </w:tblGrid>
      <w:tr w:rsidR="0013016D" w:rsidRPr="0013016D" w14:paraId="35149D25" w14:textId="77777777" w:rsidTr="0013016D">
        <w:trPr>
          <w:trHeight w:val="304"/>
        </w:trPr>
        <w:tc>
          <w:tcPr>
            <w:tcW w:w="3261" w:type="dxa"/>
            <w:vAlign w:val="center"/>
          </w:tcPr>
          <w:p w14:paraId="0408143D" w14:textId="77777777" w:rsidR="0013016D" w:rsidRPr="0013016D" w:rsidRDefault="0013016D" w:rsidP="0013016D">
            <w:pPr>
              <w:spacing w:line="240" w:lineRule="auto"/>
              <w:rPr>
                <w:rFonts w:cs="Arial"/>
                <w:b/>
                <w:bCs/>
                <w:szCs w:val="20"/>
              </w:rPr>
            </w:pPr>
            <w:r w:rsidRPr="0013016D">
              <w:rPr>
                <w:rFonts w:cs="Arial"/>
                <w:b/>
                <w:bCs/>
                <w:szCs w:val="20"/>
              </w:rPr>
              <w:t>Fungicide Resistance Warning</w:t>
            </w:r>
          </w:p>
        </w:tc>
        <w:tc>
          <w:tcPr>
            <w:tcW w:w="992" w:type="dxa"/>
            <w:tcBorders>
              <w:top w:val="single" w:sz="4" w:space="0" w:color="auto"/>
              <w:bottom w:val="single" w:sz="4" w:space="0" w:color="auto"/>
            </w:tcBorders>
            <w:vAlign w:val="center"/>
          </w:tcPr>
          <w:p w14:paraId="44FD29B9" w14:textId="77777777" w:rsidR="0013016D" w:rsidRPr="0013016D" w:rsidRDefault="0013016D" w:rsidP="0013016D">
            <w:pPr>
              <w:spacing w:line="240" w:lineRule="auto"/>
              <w:jc w:val="center"/>
              <w:rPr>
                <w:rFonts w:cs="Arial"/>
                <w:b/>
                <w:bCs/>
                <w:szCs w:val="20"/>
              </w:rPr>
            </w:pPr>
            <w:r w:rsidRPr="0013016D">
              <w:rPr>
                <w:rFonts w:cs="Arial"/>
                <w:b/>
                <w:bCs/>
                <w:szCs w:val="20"/>
              </w:rPr>
              <w:t>GROUP</w:t>
            </w:r>
          </w:p>
        </w:tc>
        <w:tc>
          <w:tcPr>
            <w:tcW w:w="447" w:type="dxa"/>
            <w:tcBorders>
              <w:top w:val="single" w:sz="4" w:space="0" w:color="auto"/>
              <w:bottom w:val="single" w:sz="4" w:space="0" w:color="auto"/>
              <w:right w:val="single" w:sz="12" w:space="0" w:color="FFFFFF"/>
            </w:tcBorders>
            <w:shd w:val="clear" w:color="auto" w:fill="0C0C0C"/>
            <w:vAlign w:val="center"/>
          </w:tcPr>
          <w:p w14:paraId="3F367593" w14:textId="77777777" w:rsidR="0013016D" w:rsidRPr="0013016D" w:rsidRDefault="0013016D" w:rsidP="0013016D">
            <w:pPr>
              <w:spacing w:line="240" w:lineRule="auto"/>
              <w:jc w:val="center"/>
              <w:rPr>
                <w:rFonts w:cs="Arial"/>
                <w:b/>
                <w:bCs/>
                <w:szCs w:val="20"/>
              </w:rPr>
            </w:pPr>
            <w:r w:rsidRPr="0013016D">
              <w:rPr>
                <w:rFonts w:cs="Arial"/>
                <w:b/>
                <w:bCs/>
                <w:szCs w:val="20"/>
              </w:rPr>
              <w:t>5</w:t>
            </w:r>
          </w:p>
        </w:tc>
        <w:tc>
          <w:tcPr>
            <w:tcW w:w="448" w:type="dxa"/>
            <w:tcBorders>
              <w:top w:val="single" w:sz="4" w:space="0" w:color="auto"/>
              <w:left w:val="single" w:sz="12" w:space="0" w:color="FFFFFF"/>
              <w:bottom w:val="single" w:sz="4" w:space="0" w:color="auto"/>
            </w:tcBorders>
            <w:shd w:val="clear" w:color="auto" w:fill="0C0C0C"/>
            <w:vAlign w:val="center"/>
          </w:tcPr>
          <w:p w14:paraId="27495A4D" w14:textId="77777777" w:rsidR="0013016D" w:rsidRPr="0013016D" w:rsidRDefault="0013016D" w:rsidP="0013016D">
            <w:pPr>
              <w:spacing w:line="240" w:lineRule="auto"/>
              <w:jc w:val="center"/>
              <w:rPr>
                <w:rFonts w:cs="Arial"/>
                <w:b/>
                <w:bCs/>
                <w:szCs w:val="20"/>
              </w:rPr>
            </w:pPr>
            <w:r w:rsidRPr="0013016D">
              <w:rPr>
                <w:rFonts w:cs="Arial"/>
                <w:b/>
                <w:bCs/>
                <w:szCs w:val="20"/>
              </w:rPr>
              <w:t>3</w:t>
            </w:r>
          </w:p>
        </w:tc>
        <w:tc>
          <w:tcPr>
            <w:tcW w:w="1461" w:type="dxa"/>
            <w:tcBorders>
              <w:top w:val="single" w:sz="4" w:space="0" w:color="auto"/>
              <w:bottom w:val="single" w:sz="4" w:space="0" w:color="auto"/>
            </w:tcBorders>
            <w:vAlign w:val="center"/>
          </w:tcPr>
          <w:p w14:paraId="441A03E7" w14:textId="77777777" w:rsidR="0013016D" w:rsidRPr="0013016D" w:rsidRDefault="0013016D" w:rsidP="0013016D">
            <w:pPr>
              <w:spacing w:line="240" w:lineRule="auto"/>
              <w:jc w:val="center"/>
              <w:rPr>
                <w:rFonts w:cs="Arial"/>
                <w:b/>
                <w:bCs/>
                <w:szCs w:val="20"/>
              </w:rPr>
            </w:pPr>
            <w:r w:rsidRPr="0013016D">
              <w:rPr>
                <w:rFonts w:cs="Arial"/>
                <w:b/>
                <w:bCs/>
                <w:szCs w:val="20"/>
              </w:rPr>
              <w:t>FUNGICIDE</w:t>
            </w:r>
          </w:p>
        </w:tc>
      </w:tr>
    </w:tbl>
    <w:p w14:paraId="72DD6151" w14:textId="77777777" w:rsidR="0013016D" w:rsidRPr="0013016D" w:rsidRDefault="0013016D" w:rsidP="0013016D">
      <w:pPr>
        <w:spacing w:line="240" w:lineRule="auto"/>
        <w:jc w:val="both"/>
        <w:rPr>
          <w:rFonts w:cs="Arial"/>
          <w:szCs w:val="20"/>
        </w:rPr>
      </w:pPr>
      <w:r w:rsidRPr="0013016D">
        <w:rPr>
          <w:rFonts w:cs="Arial"/>
          <w:szCs w:val="20"/>
        </w:rPr>
        <w:t>SEEKER</w:t>
      </w:r>
      <w:r w:rsidRPr="0013016D">
        <w:rPr>
          <w:rFonts w:cs="Arial"/>
          <w:szCs w:val="20"/>
          <w:vertAlign w:val="superscript"/>
        </w:rPr>
        <w:t>®</w:t>
      </w:r>
      <w:r w:rsidRPr="0013016D">
        <w:rPr>
          <w:rFonts w:cs="Arial"/>
          <w:szCs w:val="20"/>
        </w:rPr>
        <w:t xml:space="preserve"> Duo fungicide is compatible with a range of commonly used fungicides, insecticides, herbicides, and fertilisers. Always consult your Syngenta representative before mixing SEEKER</w:t>
      </w:r>
      <w:r w:rsidRPr="0013016D">
        <w:rPr>
          <w:rFonts w:cs="Arial"/>
          <w:szCs w:val="20"/>
          <w:vertAlign w:val="superscript"/>
        </w:rPr>
        <w:t>®</w:t>
      </w:r>
      <w:r w:rsidRPr="0013016D">
        <w:rPr>
          <w:rFonts w:cs="Arial"/>
          <w:szCs w:val="20"/>
        </w:rPr>
        <w:t xml:space="preserve"> Duo</w:t>
      </w:r>
      <w:r w:rsidRPr="0013016D">
        <w:rPr>
          <w:rFonts w:cs="Arial"/>
          <w:b/>
          <w:bCs/>
          <w:szCs w:val="20"/>
        </w:rPr>
        <w:t xml:space="preserve"> </w:t>
      </w:r>
      <w:r w:rsidRPr="0013016D">
        <w:rPr>
          <w:rFonts w:cs="Arial"/>
          <w:szCs w:val="20"/>
        </w:rPr>
        <w:t>fungicide with other products. As formulations of other manufacturer’s products are beyond the control of Syngenta, and the quality of water may vary with location, all mixtures should be tested prior to mixing commercial quantities.</w:t>
      </w:r>
    </w:p>
    <w:p w14:paraId="31EB4834" w14:textId="77777777" w:rsidR="0013016D" w:rsidRPr="0013016D" w:rsidRDefault="0013016D" w:rsidP="0013016D">
      <w:pPr>
        <w:spacing w:line="240" w:lineRule="auto"/>
        <w:jc w:val="both"/>
        <w:rPr>
          <w:rFonts w:cs="Arial"/>
          <w:szCs w:val="20"/>
        </w:rPr>
      </w:pPr>
    </w:p>
    <w:p w14:paraId="2A3DBC66" w14:textId="77777777" w:rsidR="0013016D" w:rsidRPr="0013016D" w:rsidRDefault="0013016D" w:rsidP="0013016D">
      <w:pPr>
        <w:spacing w:line="240" w:lineRule="auto"/>
        <w:jc w:val="both"/>
        <w:rPr>
          <w:rFonts w:cs="Arial"/>
          <w:szCs w:val="20"/>
        </w:rPr>
      </w:pPr>
    </w:p>
    <w:p w14:paraId="1D714FCD" w14:textId="77777777" w:rsidR="0013016D" w:rsidRPr="0013016D" w:rsidRDefault="0013016D" w:rsidP="0013016D">
      <w:pPr>
        <w:spacing w:line="240" w:lineRule="auto"/>
        <w:jc w:val="both"/>
        <w:rPr>
          <w:rFonts w:cs="Arial"/>
          <w:szCs w:val="20"/>
        </w:rPr>
      </w:pPr>
    </w:p>
    <w:p w14:paraId="1F0F2E89" w14:textId="77777777" w:rsidR="0013016D" w:rsidRPr="0013016D" w:rsidRDefault="0013016D" w:rsidP="0013016D">
      <w:pPr>
        <w:spacing w:line="240" w:lineRule="auto"/>
        <w:jc w:val="both"/>
        <w:rPr>
          <w:rFonts w:cs="Arial"/>
          <w:szCs w:val="20"/>
        </w:rPr>
      </w:pPr>
      <w:bookmarkStart w:id="255" w:name="_Hlk106284652"/>
      <w:r w:rsidRPr="0013016D">
        <w:rPr>
          <w:rFonts w:cs="Arial"/>
          <w:szCs w:val="20"/>
        </w:rPr>
        <w:t>SEEKER</w:t>
      </w:r>
      <w:r w:rsidRPr="0013016D">
        <w:rPr>
          <w:rFonts w:cs="Arial"/>
          <w:szCs w:val="20"/>
          <w:vertAlign w:val="superscript"/>
        </w:rPr>
        <w:t>®</w:t>
      </w:r>
      <w:r w:rsidRPr="0013016D">
        <w:rPr>
          <w:rFonts w:cs="Arial"/>
          <w:szCs w:val="20"/>
        </w:rPr>
        <w:t xml:space="preserve"> Duo</w:t>
      </w:r>
      <w:r w:rsidRPr="0013016D">
        <w:rPr>
          <w:rFonts w:cs="Arial"/>
          <w:b/>
          <w:bCs/>
          <w:szCs w:val="20"/>
        </w:rPr>
        <w:t xml:space="preserve"> </w:t>
      </w:r>
      <w:r w:rsidRPr="0013016D">
        <w:rPr>
          <w:rFonts w:cs="Arial"/>
          <w:szCs w:val="20"/>
        </w:rPr>
        <w:t>fungicide is a combination of an amine and a demethylation inhibitor (DMI) fungicide. For fungicide resistance management SEEKER</w:t>
      </w:r>
      <w:r w:rsidRPr="0013016D">
        <w:rPr>
          <w:rFonts w:cs="Arial"/>
          <w:szCs w:val="20"/>
          <w:vertAlign w:val="superscript"/>
        </w:rPr>
        <w:t>®</w:t>
      </w:r>
      <w:r w:rsidRPr="0013016D">
        <w:rPr>
          <w:rFonts w:cs="Arial"/>
          <w:szCs w:val="20"/>
        </w:rPr>
        <w:t xml:space="preserve"> Duo</w:t>
      </w:r>
      <w:r w:rsidRPr="0013016D">
        <w:rPr>
          <w:rFonts w:cs="Arial"/>
          <w:b/>
          <w:bCs/>
          <w:szCs w:val="20"/>
        </w:rPr>
        <w:t xml:space="preserve"> </w:t>
      </w:r>
      <w:r w:rsidRPr="0013016D">
        <w:rPr>
          <w:rFonts w:cs="Arial"/>
          <w:szCs w:val="20"/>
        </w:rPr>
        <w:t>fungicide is both a Group 5 and a Group 3 fungicide.  Some naturally occurring individual fungi resistant to SEEKER</w:t>
      </w:r>
      <w:r w:rsidRPr="0013016D">
        <w:rPr>
          <w:rFonts w:cs="Arial"/>
          <w:szCs w:val="20"/>
          <w:vertAlign w:val="superscript"/>
        </w:rPr>
        <w:t>®</w:t>
      </w:r>
      <w:r w:rsidRPr="0013016D">
        <w:rPr>
          <w:rFonts w:cs="Arial"/>
          <w:szCs w:val="20"/>
        </w:rPr>
        <w:t xml:space="preserve"> Duo</w:t>
      </w:r>
      <w:r w:rsidRPr="0013016D">
        <w:rPr>
          <w:rFonts w:cs="Arial"/>
          <w:b/>
          <w:bCs/>
          <w:szCs w:val="20"/>
        </w:rPr>
        <w:t xml:space="preserve"> </w:t>
      </w:r>
      <w:r w:rsidRPr="0013016D">
        <w:rPr>
          <w:rFonts w:cs="Arial"/>
          <w:szCs w:val="20"/>
        </w:rPr>
        <w:t>fungicide and other Group 5 and/or Group 3 fungicides may exist through normal genetic variability in any fungal population. The resistant individuals can eventually dominate the fungi population if these fungicides are used repeatedly. These resistant fungi will not be controlled by SEEKER</w:t>
      </w:r>
      <w:r w:rsidRPr="0013016D">
        <w:rPr>
          <w:rFonts w:cs="Arial"/>
          <w:szCs w:val="20"/>
          <w:vertAlign w:val="superscript"/>
        </w:rPr>
        <w:t>®</w:t>
      </w:r>
      <w:r w:rsidRPr="0013016D">
        <w:rPr>
          <w:rFonts w:cs="Arial"/>
          <w:szCs w:val="20"/>
        </w:rPr>
        <w:t xml:space="preserve"> Duo fungicide or other Group 5 and/or Group 3 fungicides, thus resulting in a reduction in </w:t>
      </w:r>
      <w:r w:rsidRPr="00C563CE">
        <w:rPr>
          <w:rFonts w:cs="Arial"/>
          <w:szCs w:val="20"/>
        </w:rPr>
        <w:t>efficacy and possible yield loss.  Apply SEEKER</w:t>
      </w:r>
      <w:r w:rsidRPr="00C563CE">
        <w:rPr>
          <w:rFonts w:cs="Arial"/>
          <w:szCs w:val="20"/>
          <w:vertAlign w:val="superscript"/>
        </w:rPr>
        <w:t xml:space="preserve">® </w:t>
      </w:r>
      <w:r w:rsidRPr="00C563CE">
        <w:rPr>
          <w:rFonts w:cs="Arial"/>
          <w:szCs w:val="20"/>
        </w:rPr>
        <w:t xml:space="preserve">Duo fungicide in alternation with fungicides from different mode of action </w:t>
      </w:r>
      <w:r w:rsidRPr="0013016D">
        <w:rPr>
          <w:rFonts w:cs="Arial"/>
          <w:szCs w:val="20"/>
        </w:rPr>
        <w:t xml:space="preserve">groups and follow CropLife Australia Fungicide Resistance Management strategies.  Since the </w:t>
      </w:r>
      <w:r w:rsidRPr="00C563CE">
        <w:rPr>
          <w:rFonts w:cs="Arial"/>
          <w:szCs w:val="20"/>
        </w:rPr>
        <w:t>occurrence</w:t>
      </w:r>
      <w:r w:rsidRPr="0013016D">
        <w:rPr>
          <w:rFonts w:cs="Arial"/>
          <w:szCs w:val="20"/>
        </w:rPr>
        <w:t xml:space="preserve"> of resistant fungi is difficult to detect prior to use, Syngenta Australia Pty Ltd accepts no liability for any losses that may result from the failure of SEEKER</w:t>
      </w:r>
      <w:r w:rsidRPr="0013016D">
        <w:rPr>
          <w:rFonts w:cs="Arial"/>
          <w:szCs w:val="20"/>
          <w:vertAlign w:val="superscript"/>
        </w:rPr>
        <w:t>®</w:t>
      </w:r>
      <w:r w:rsidRPr="0013016D">
        <w:rPr>
          <w:rFonts w:cs="Arial"/>
          <w:szCs w:val="20"/>
        </w:rPr>
        <w:t xml:space="preserve"> Duo</w:t>
      </w:r>
      <w:r w:rsidRPr="0013016D">
        <w:rPr>
          <w:rFonts w:cs="Arial"/>
          <w:b/>
          <w:bCs/>
          <w:szCs w:val="20"/>
        </w:rPr>
        <w:t xml:space="preserve"> </w:t>
      </w:r>
      <w:r w:rsidRPr="0013016D">
        <w:rPr>
          <w:rFonts w:cs="Arial"/>
          <w:szCs w:val="20"/>
        </w:rPr>
        <w:t>fungicide to control resistant fungi.</w:t>
      </w:r>
    </w:p>
    <w:bookmarkEnd w:id="255"/>
    <w:p w14:paraId="2479070D" w14:textId="77777777" w:rsidR="0013016D" w:rsidRPr="0013016D" w:rsidRDefault="0013016D" w:rsidP="0013016D">
      <w:pPr>
        <w:spacing w:line="240" w:lineRule="auto"/>
        <w:rPr>
          <w:rFonts w:cs="Arial"/>
          <w:szCs w:val="20"/>
        </w:rPr>
      </w:pPr>
    </w:p>
    <w:p w14:paraId="521049ED" w14:textId="77777777" w:rsidR="0013016D" w:rsidRPr="0013016D" w:rsidRDefault="0013016D" w:rsidP="0013016D">
      <w:pPr>
        <w:spacing w:line="240" w:lineRule="auto"/>
        <w:rPr>
          <w:rFonts w:cs="Arial"/>
          <w:b/>
          <w:sz w:val="22"/>
          <w:szCs w:val="22"/>
        </w:rPr>
      </w:pPr>
      <w:r w:rsidRPr="0013016D">
        <w:rPr>
          <w:rFonts w:cs="Arial"/>
          <w:b/>
          <w:sz w:val="22"/>
          <w:szCs w:val="22"/>
        </w:rPr>
        <w:t>PRECAUTION</w:t>
      </w:r>
    </w:p>
    <w:p w14:paraId="55F0D885" w14:textId="77777777" w:rsidR="0013016D" w:rsidRPr="0013016D" w:rsidRDefault="0013016D" w:rsidP="0013016D">
      <w:pPr>
        <w:spacing w:before="10" w:after="10" w:line="240" w:lineRule="auto"/>
        <w:rPr>
          <w:rFonts w:cs="Arial"/>
          <w:b/>
          <w:szCs w:val="20"/>
        </w:rPr>
      </w:pPr>
      <w:r w:rsidRPr="0013016D">
        <w:rPr>
          <w:rFonts w:cs="Arial"/>
          <w:b/>
          <w:szCs w:val="20"/>
        </w:rPr>
        <w:t>Re-entry Period</w:t>
      </w:r>
    </w:p>
    <w:p w14:paraId="13AF54D7" w14:textId="77777777" w:rsidR="0013016D" w:rsidRPr="0013016D" w:rsidRDefault="0013016D" w:rsidP="0013016D">
      <w:pPr>
        <w:spacing w:line="240" w:lineRule="auto"/>
        <w:jc w:val="both"/>
        <w:rPr>
          <w:rFonts w:cs="Arial"/>
          <w:szCs w:val="20"/>
        </w:rPr>
      </w:pPr>
      <w:r w:rsidRPr="0013016D">
        <w:rPr>
          <w:rFonts w:cs="Arial"/>
          <w:szCs w:val="20"/>
        </w:rPr>
        <w:t>DO NOT enter treated areas until the spray has dried unless wearing cotton overalls buttoned to the neck and wrist (or equivalent clothing) and chemical resistant gloves. Clothing must be laundered after each day's use.</w:t>
      </w:r>
    </w:p>
    <w:p w14:paraId="48566C82" w14:textId="77777777" w:rsidR="0013016D" w:rsidRPr="0013016D" w:rsidRDefault="0013016D" w:rsidP="0013016D">
      <w:pPr>
        <w:spacing w:line="240" w:lineRule="auto"/>
        <w:jc w:val="both"/>
        <w:rPr>
          <w:rFonts w:cs="Arial"/>
          <w:szCs w:val="20"/>
        </w:rPr>
      </w:pPr>
    </w:p>
    <w:p w14:paraId="3A80E7D2" w14:textId="77777777" w:rsidR="0054297E" w:rsidRDefault="0054297E" w:rsidP="0013016D">
      <w:pPr>
        <w:spacing w:line="240" w:lineRule="auto"/>
        <w:rPr>
          <w:rFonts w:cs="Arial"/>
          <w:b/>
          <w:sz w:val="22"/>
          <w:szCs w:val="22"/>
        </w:rPr>
      </w:pPr>
    </w:p>
    <w:p w14:paraId="368D9E1B" w14:textId="71F0B5F2" w:rsidR="0013016D" w:rsidRPr="0013016D" w:rsidRDefault="0013016D" w:rsidP="0013016D">
      <w:pPr>
        <w:spacing w:line="240" w:lineRule="auto"/>
        <w:rPr>
          <w:rFonts w:cs="Arial"/>
          <w:b/>
          <w:sz w:val="22"/>
          <w:szCs w:val="22"/>
        </w:rPr>
      </w:pPr>
      <w:r w:rsidRPr="0013016D">
        <w:rPr>
          <w:rFonts w:cs="Arial"/>
          <w:b/>
          <w:sz w:val="22"/>
          <w:szCs w:val="22"/>
        </w:rPr>
        <w:t>PROTECTION OF WILDLIFE, FISH, CRUSTACEANS AND ENVIRONMENT</w:t>
      </w:r>
    </w:p>
    <w:p w14:paraId="71F73458" w14:textId="77777777" w:rsidR="0013016D" w:rsidRPr="0013016D" w:rsidRDefault="0013016D" w:rsidP="0013016D">
      <w:pPr>
        <w:spacing w:line="240" w:lineRule="auto"/>
        <w:rPr>
          <w:rFonts w:cs="Arial"/>
          <w:szCs w:val="20"/>
        </w:rPr>
      </w:pPr>
      <w:r w:rsidRPr="0013016D">
        <w:rPr>
          <w:rFonts w:cs="Arial"/>
          <w:szCs w:val="20"/>
        </w:rPr>
        <w:t>Very toxic to aquatic life.  DO NOT contaminate wetlands or watercourses with this product or used containers.</w:t>
      </w:r>
    </w:p>
    <w:p w14:paraId="1B27DC4B" w14:textId="77777777" w:rsidR="0013016D" w:rsidRPr="0013016D" w:rsidRDefault="0013016D" w:rsidP="0013016D">
      <w:pPr>
        <w:spacing w:line="240" w:lineRule="auto"/>
        <w:rPr>
          <w:rFonts w:cs="Arial"/>
          <w:b/>
          <w:sz w:val="22"/>
          <w:szCs w:val="22"/>
        </w:rPr>
      </w:pPr>
      <w:r w:rsidRPr="0013016D">
        <w:rPr>
          <w:rFonts w:cs="Arial"/>
          <w:b/>
          <w:sz w:val="22"/>
          <w:szCs w:val="22"/>
        </w:rPr>
        <w:lastRenderedPageBreak/>
        <w:t>PROTECTION OF CROPS, NATIVES AND OTHER NON-TARGET PLANTS</w:t>
      </w:r>
    </w:p>
    <w:p w14:paraId="633AD6A7" w14:textId="77777777" w:rsidR="0013016D" w:rsidRPr="0013016D" w:rsidRDefault="0013016D" w:rsidP="0013016D">
      <w:pPr>
        <w:autoSpaceDE w:val="0"/>
        <w:autoSpaceDN w:val="0"/>
        <w:adjustRightInd w:val="0"/>
        <w:spacing w:line="240" w:lineRule="auto"/>
        <w:jc w:val="both"/>
        <w:rPr>
          <w:rFonts w:eastAsia="Calibri" w:cs="Arial"/>
          <w:szCs w:val="20"/>
          <w:lang w:eastAsia="en-AU"/>
        </w:rPr>
      </w:pPr>
      <w:r w:rsidRPr="0013016D">
        <w:rPr>
          <w:rFonts w:cs="Arial"/>
          <w:szCs w:val="20"/>
        </w:rPr>
        <w:t>SEEKER</w:t>
      </w:r>
      <w:r w:rsidRPr="0013016D">
        <w:rPr>
          <w:rFonts w:cs="Arial"/>
          <w:szCs w:val="20"/>
          <w:vertAlign w:val="superscript"/>
        </w:rPr>
        <w:t>®</w:t>
      </w:r>
      <w:r w:rsidRPr="0013016D">
        <w:rPr>
          <w:rFonts w:cs="Arial"/>
          <w:szCs w:val="20"/>
        </w:rPr>
        <w:t xml:space="preserve"> Duo fungicide may cause some minor crop phytotoxicity when applied pre-flowering during early shoot elongation.  This phytotoxicity is transient and crops recover with no impact on yield or quality of grapes. </w:t>
      </w:r>
    </w:p>
    <w:p w14:paraId="6349A15A" w14:textId="77777777" w:rsidR="0013016D" w:rsidRPr="0013016D" w:rsidRDefault="0013016D" w:rsidP="0013016D">
      <w:pPr>
        <w:spacing w:line="240" w:lineRule="auto"/>
        <w:rPr>
          <w:rFonts w:cs="Arial"/>
          <w:szCs w:val="20"/>
        </w:rPr>
      </w:pPr>
    </w:p>
    <w:p w14:paraId="1ABFEDFD" w14:textId="77777777" w:rsidR="0013016D" w:rsidRPr="0013016D" w:rsidRDefault="0013016D" w:rsidP="0013016D">
      <w:pPr>
        <w:spacing w:line="240" w:lineRule="auto"/>
        <w:rPr>
          <w:rFonts w:cs="Arial"/>
          <w:b/>
          <w:sz w:val="22"/>
          <w:szCs w:val="22"/>
        </w:rPr>
      </w:pPr>
      <w:r w:rsidRPr="0013016D">
        <w:rPr>
          <w:rFonts w:cs="Arial"/>
          <w:b/>
          <w:sz w:val="22"/>
          <w:szCs w:val="22"/>
        </w:rPr>
        <w:t>STORAGE AND DISPOSAL</w:t>
      </w:r>
    </w:p>
    <w:p w14:paraId="5019B2CA" w14:textId="77777777" w:rsidR="0013016D" w:rsidRPr="0013016D" w:rsidRDefault="0013016D" w:rsidP="0013016D">
      <w:pPr>
        <w:spacing w:line="240" w:lineRule="auto"/>
        <w:jc w:val="both"/>
        <w:rPr>
          <w:rFonts w:cs="Arial"/>
          <w:szCs w:val="20"/>
        </w:rPr>
      </w:pPr>
      <w:r w:rsidRPr="0013016D">
        <w:rPr>
          <w:rFonts w:cs="Arial"/>
          <w:szCs w:val="20"/>
        </w:rPr>
        <w:t xml:space="preserve">Store in the closed original container in a cool, </w:t>
      </w:r>
      <w:proofErr w:type="spellStart"/>
      <w:proofErr w:type="gramStart"/>
      <w:r w:rsidRPr="0013016D">
        <w:rPr>
          <w:rFonts w:cs="Arial"/>
          <w:szCs w:val="20"/>
        </w:rPr>
        <w:t>well ventilated</w:t>
      </w:r>
      <w:proofErr w:type="spellEnd"/>
      <w:proofErr w:type="gramEnd"/>
      <w:r w:rsidRPr="0013016D">
        <w:rPr>
          <w:rFonts w:cs="Arial"/>
          <w:szCs w:val="20"/>
        </w:rPr>
        <w:t xml:space="preserve"> area. DO NOT store for prolonged periods in direct sunlight.  Triple-rinse containers before disposal. Add </w:t>
      </w:r>
      <w:proofErr w:type="spellStart"/>
      <w:r w:rsidRPr="0013016D">
        <w:rPr>
          <w:rFonts w:cs="Arial"/>
          <w:szCs w:val="20"/>
        </w:rPr>
        <w:t>rinsings</w:t>
      </w:r>
      <w:proofErr w:type="spellEnd"/>
      <w:r w:rsidRPr="0013016D">
        <w:rPr>
          <w:rFonts w:cs="Arial"/>
          <w:szCs w:val="20"/>
        </w:rPr>
        <w:t xml:space="preserve"> to spray tank. DO NOT dispose of undiluted chemicals on site. If recycling, replace cap and return clean containers to recycler or designated collection point.  If not recycling, break, crush, or puncture and deliver empty packaging to an approved waste management facility. If an approved waste management facility is not available, bury the empty packaging 500 mm below the surface in a disposal pit specifically marked and set up for this purpose, clear of waterways, desirable vegetation, and tree roots, in compliance with relevant local, state or territory government regulations. DO NOT burn empty containers or product.</w:t>
      </w:r>
    </w:p>
    <w:p w14:paraId="04ECCBD9" w14:textId="77777777" w:rsidR="0013016D" w:rsidRPr="0013016D" w:rsidRDefault="0013016D" w:rsidP="0013016D">
      <w:pPr>
        <w:spacing w:line="240" w:lineRule="auto"/>
        <w:rPr>
          <w:rFonts w:cs="Arial"/>
          <w:b/>
          <w:sz w:val="22"/>
          <w:szCs w:val="22"/>
        </w:rPr>
      </w:pPr>
    </w:p>
    <w:p w14:paraId="0B54FCDB" w14:textId="77777777" w:rsidR="0013016D" w:rsidRPr="0013016D" w:rsidRDefault="0013016D" w:rsidP="0013016D">
      <w:pPr>
        <w:spacing w:line="240" w:lineRule="auto"/>
        <w:rPr>
          <w:rFonts w:cs="Arial"/>
          <w:b/>
          <w:sz w:val="22"/>
          <w:szCs w:val="22"/>
        </w:rPr>
      </w:pPr>
      <w:r w:rsidRPr="0013016D">
        <w:rPr>
          <w:rFonts w:cs="Arial"/>
          <w:b/>
          <w:sz w:val="22"/>
          <w:szCs w:val="22"/>
        </w:rPr>
        <w:t>SAFETY DIRECTIONS</w:t>
      </w:r>
    </w:p>
    <w:p w14:paraId="567519CD" w14:textId="77777777" w:rsidR="0013016D" w:rsidRPr="0013016D" w:rsidRDefault="0013016D" w:rsidP="0013016D">
      <w:pPr>
        <w:spacing w:line="240" w:lineRule="auto"/>
        <w:jc w:val="both"/>
        <w:rPr>
          <w:rFonts w:eastAsia="Calibri" w:cs="Arial"/>
          <w:b/>
          <w:bCs/>
          <w:szCs w:val="20"/>
          <w:lang w:eastAsia="en-AU"/>
        </w:rPr>
      </w:pPr>
      <w:r w:rsidRPr="0013016D">
        <w:rPr>
          <w:rFonts w:eastAsia="Calibri" w:cs="Arial"/>
          <w:b/>
          <w:bCs/>
          <w:szCs w:val="20"/>
          <w:lang w:eastAsia="en-AU"/>
        </w:rPr>
        <w:t>Warning – aspiration hazard.  This product contains ingredients that may be fatal if swallowed.  Harmful if inhaled.  Will damage eyes.  Will irritate the nose and throat and skin.  Repeated exposure may cause allergic disorders.  DO NOT inhale vapour or spray mist.  Avoid contact with eyes and skin.  When opening the container, preparing spray, and using the product, wear:</w:t>
      </w:r>
    </w:p>
    <w:p w14:paraId="656BA8CF" w14:textId="77777777" w:rsidR="0013016D" w:rsidRPr="0013016D" w:rsidRDefault="0013016D" w:rsidP="0013016D">
      <w:pPr>
        <w:numPr>
          <w:ilvl w:val="0"/>
          <w:numId w:val="43"/>
        </w:numPr>
        <w:spacing w:line="240" w:lineRule="auto"/>
        <w:rPr>
          <w:rFonts w:eastAsia="Calibri" w:cs="Arial"/>
          <w:b/>
          <w:bCs/>
          <w:szCs w:val="20"/>
          <w:lang w:eastAsia="en-AU"/>
        </w:rPr>
      </w:pPr>
      <w:r w:rsidRPr="0013016D">
        <w:rPr>
          <w:rFonts w:eastAsia="Calibri" w:cs="Arial"/>
          <w:b/>
          <w:bCs/>
          <w:szCs w:val="20"/>
          <w:lang w:eastAsia="en-AU"/>
        </w:rPr>
        <w:t>cotton overalls buttoned to the neck and wrist (or equivalent clothing)</w:t>
      </w:r>
    </w:p>
    <w:p w14:paraId="6E37F725" w14:textId="77777777" w:rsidR="0013016D" w:rsidRPr="0013016D" w:rsidRDefault="0013016D" w:rsidP="0013016D">
      <w:pPr>
        <w:numPr>
          <w:ilvl w:val="0"/>
          <w:numId w:val="43"/>
        </w:numPr>
        <w:spacing w:line="240" w:lineRule="auto"/>
        <w:rPr>
          <w:rFonts w:eastAsia="Calibri" w:cs="Arial"/>
          <w:b/>
          <w:bCs/>
          <w:szCs w:val="20"/>
          <w:lang w:eastAsia="en-AU"/>
        </w:rPr>
      </w:pPr>
      <w:r w:rsidRPr="0013016D">
        <w:rPr>
          <w:rFonts w:eastAsia="Calibri" w:cs="Arial"/>
          <w:b/>
          <w:bCs/>
          <w:szCs w:val="20"/>
          <w:lang w:eastAsia="en-AU"/>
        </w:rPr>
        <w:t>washable hat</w:t>
      </w:r>
    </w:p>
    <w:p w14:paraId="7411407F" w14:textId="77777777" w:rsidR="0013016D" w:rsidRPr="0013016D" w:rsidRDefault="0013016D" w:rsidP="0013016D">
      <w:pPr>
        <w:numPr>
          <w:ilvl w:val="0"/>
          <w:numId w:val="43"/>
        </w:numPr>
        <w:spacing w:line="240" w:lineRule="auto"/>
        <w:rPr>
          <w:rFonts w:eastAsia="Calibri" w:cs="Arial"/>
          <w:b/>
          <w:bCs/>
          <w:szCs w:val="20"/>
          <w:lang w:eastAsia="en-AU"/>
        </w:rPr>
      </w:pPr>
      <w:r w:rsidRPr="0013016D">
        <w:rPr>
          <w:rFonts w:eastAsia="Calibri" w:cs="Arial"/>
          <w:b/>
          <w:bCs/>
          <w:szCs w:val="20"/>
          <w:lang w:eastAsia="en-AU"/>
        </w:rPr>
        <w:t>elbow-length chemical resistant gloves</w:t>
      </w:r>
    </w:p>
    <w:p w14:paraId="54E4444B" w14:textId="77777777" w:rsidR="0013016D" w:rsidRPr="0013016D" w:rsidRDefault="0013016D" w:rsidP="0013016D">
      <w:pPr>
        <w:numPr>
          <w:ilvl w:val="0"/>
          <w:numId w:val="43"/>
        </w:numPr>
        <w:spacing w:line="240" w:lineRule="auto"/>
        <w:rPr>
          <w:rFonts w:eastAsia="Calibri" w:cs="Arial"/>
          <w:b/>
          <w:bCs/>
          <w:szCs w:val="20"/>
          <w:lang w:eastAsia="en-AU"/>
        </w:rPr>
      </w:pPr>
      <w:r w:rsidRPr="0013016D">
        <w:rPr>
          <w:rFonts w:eastAsia="Calibri" w:cs="Arial"/>
          <w:b/>
          <w:bCs/>
          <w:szCs w:val="20"/>
          <w:lang w:eastAsia="en-AU"/>
        </w:rPr>
        <w:t>face shield</w:t>
      </w:r>
    </w:p>
    <w:p w14:paraId="541CCA56" w14:textId="77777777" w:rsidR="0013016D" w:rsidRPr="0013016D" w:rsidRDefault="0013016D" w:rsidP="0013016D">
      <w:pPr>
        <w:spacing w:line="240" w:lineRule="auto"/>
        <w:rPr>
          <w:rFonts w:eastAsia="Calibri" w:cs="Arial"/>
          <w:b/>
          <w:bCs/>
          <w:szCs w:val="20"/>
          <w:lang w:eastAsia="en-AU"/>
        </w:rPr>
      </w:pPr>
      <w:r w:rsidRPr="0013016D">
        <w:rPr>
          <w:rFonts w:eastAsia="Calibri" w:cs="Arial"/>
          <w:b/>
          <w:bCs/>
          <w:szCs w:val="20"/>
          <w:lang w:eastAsia="en-AU"/>
        </w:rPr>
        <w:t>Wash hands after use. After each day’s use wash gloves, face shield and contaminated clothing.</w:t>
      </w:r>
    </w:p>
    <w:p w14:paraId="6F8B1DF4" w14:textId="77777777" w:rsidR="0013016D" w:rsidRPr="0013016D" w:rsidRDefault="0013016D" w:rsidP="0013016D">
      <w:pPr>
        <w:spacing w:line="240" w:lineRule="auto"/>
        <w:rPr>
          <w:rFonts w:cs="Arial"/>
          <w:b/>
          <w:szCs w:val="20"/>
          <w:lang w:eastAsia="en-AU"/>
        </w:rPr>
      </w:pPr>
    </w:p>
    <w:p w14:paraId="47091C3E" w14:textId="77777777" w:rsidR="0013016D" w:rsidRPr="0013016D" w:rsidRDefault="0013016D" w:rsidP="0013016D">
      <w:pPr>
        <w:spacing w:line="240" w:lineRule="auto"/>
        <w:rPr>
          <w:rFonts w:cs="Arial"/>
          <w:b/>
          <w:sz w:val="22"/>
          <w:szCs w:val="22"/>
        </w:rPr>
      </w:pPr>
      <w:r w:rsidRPr="0013016D">
        <w:rPr>
          <w:rFonts w:cs="Arial"/>
          <w:b/>
          <w:sz w:val="22"/>
          <w:szCs w:val="22"/>
        </w:rPr>
        <w:t>FIRST AID</w:t>
      </w:r>
    </w:p>
    <w:p w14:paraId="438D4114" w14:textId="77777777" w:rsidR="0013016D" w:rsidRPr="0013016D" w:rsidRDefault="0013016D" w:rsidP="0013016D">
      <w:pPr>
        <w:spacing w:line="240" w:lineRule="auto"/>
        <w:jc w:val="both"/>
        <w:rPr>
          <w:rFonts w:cs="Arial"/>
          <w:b/>
          <w:szCs w:val="20"/>
        </w:rPr>
      </w:pPr>
      <w:r w:rsidRPr="0013016D">
        <w:rPr>
          <w:rFonts w:cs="Arial"/>
          <w:b/>
          <w:szCs w:val="20"/>
        </w:rPr>
        <w:t>If poisoning occurs, contact a doctor or Poisons Information Centre. Phone 131 126.  If swallowed, do NOT induce vomiting.  If skin contact occurs, remove contaminated clothing and wash skin thoroughly.  If in eyes, hold eyes open, flood with water for at least 15 minutes and see a doctor.</w:t>
      </w:r>
    </w:p>
    <w:p w14:paraId="1D066BD8" w14:textId="77777777" w:rsidR="0013016D" w:rsidRPr="0013016D" w:rsidRDefault="0013016D" w:rsidP="0013016D">
      <w:pPr>
        <w:spacing w:line="240" w:lineRule="auto"/>
        <w:jc w:val="both"/>
        <w:rPr>
          <w:rFonts w:cs="Arial"/>
          <w:b/>
          <w:szCs w:val="20"/>
        </w:rPr>
      </w:pPr>
    </w:p>
    <w:tbl>
      <w:tblPr>
        <w:tblStyle w:val="TableGrid1"/>
        <w:tblW w:w="0" w:type="auto"/>
        <w:tblLook w:val="04A0" w:firstRow="1" w:lastRow="0" w:firstColumn="1" w:lastColumn="0" w:noHBand="0" w:noVBand="1"/>
      </w:tblPr>
      <w:tblGrid>
        <w:gridCol w:w="9628"/>
      </w:tblGrid>
      <w:tr w:rsidR="0013016D" w:rsidRPr="0013016D" w14:paraId="068F8C0E" w14:textId="77777777" w:rsidTr="007C6059">
        <w:tc>
          <w:tcPr>
            <w:tcW w:w="9912" w:type="dxa"/>
          </w:tcPr>
          <w:p w14:paraId="1A63ED33" w14:textId="77777777" w:rsidR="0013016D" w:rsidRPr="0013016D" w:rsidRDefault="0013016D" w:rsidP="0013016D">
            <w:pPr>
              <w:spacing w:line="240" w:lineRule="auto"/>
              <w:jc w:val="both"/>
              <w:rPr>
                <w:rFonts w:cs="Arial"/>
                <w:szCs w:val="20"/>
              </w:rPr>
            </w:pPr>
            <w:r w:rsidRPr="0013016D">
              <w:rPr>
                <w:rFonts w:cs="Arial"/>
                <w:szCs w:val="20"/>
              </w:rPr>
              <w:t>May cause damage to organs (Central nervous system) through prolonged or repeated exposure.</w:t>
            </w:r>
          </w:p>
        </w:tc>
      </w:tr>
    </w:tbl>
    <w:p w14:paraId="4BFCB659" w14:textId="77777777" w:rsidR="0013016D" w:rsidRPr="0013016D" w:rsidRDefault="0013016D" w:rsidP="0013016D">
      <w:pPr>
        <w:spacing w:line="240" w:lineRule="auto"/>
        <w:jc w:val="both"/>
        <w:rPr>
          <w:rFonts w:cs="Arial"/>
          <w:szCs w:val="20"/>
        </w:rPr>
      </w:pPr>
    </w:p>
    <w:p w14:paraId="38EC5630" w14:textId="77777777" w:rsidR="0013016D" w:rsidRPr="0013016D" w:rsidRDefault="0013016D" w:rsidP="0013016D">
      <w:pPr>
        <w:spacing w:line="240" w:lineRule="auto"/>
        <w:rPr>
          <w:rFonts w:cs="Arial"/>
          <w:szCs w:val="20"/>
          <w:highlight w:val="yellow"/>
        </w:rPr>
      </w:pPr>
    </w:p>
    <w:p w14:paraId="5DB351D1" w14:textId="77777777" w:rsidR="0013016D" w:rsidRPr="0013016D" w:rsidRDefault="0013016D" w:rsidP="0013016D">
      <w:pPr>
        <w:spacing w:line="240" w:lineRule="auto"/>
        <w:rPr>
          <w:rFonts w:cs="Arial"/>
          <w:b/>
          <w:sz w:val="22"/>
          <w:szCs w:val="22"/>
        </w:rPr>
      </w:pPr>
      <w:r w:rsidRPr="0013016D">
        <w:rPr>
          <w:rFonts w:cs="Arial"/>
          <w:b/>
          <w:sz w:val="22"/>
          <w:szCs w:val="22"/>
        </w:rPr>
        <w:t>SAFETY DATA SHEET</w:t>
      </w:r>
    </w:p>
    <w:p w14:paraId="4356ABB9" w14:textId="77777777" w:rsidR="0013016D" w:rsidRPr="0013016D" w:rsidRDefault="0013016D" w:rsidP="0013016D">
      <w:pPr>
        <w:spacing w:line="240" w:lineRule="auto"/>
        <w:jc w:val="both"/>
        <w:rPr>
          <w:rFonts w:cs="Arial"/>
          <w:szCs w:val="20"/>
        </w:rPr>
      </w:pPr>
      <w:r w:rsidRPr="0013016D">
        <w:rPr>
          <w:rFonts w:cs="Arial"/>
          <w:szCs w:val="20"/>
        </w:rPr>
        <w:t xml:space="preserve">If additional hazard information is required refer to the Safety Data Sheet. For a copy visit our website at </w:t>
      </w:r>
      <w:hyperlink r:id="rId61" w:history="1">
        <w:r w:rsidRPr="0013016D">
          <w:rPr>
            <w:rFonts w:cs="Arial"/>
            <w:color w:val="0000FF"/>
            <w:szCs w:val="20"/>
            <w:u w:val="single"/>
          </w:rPr>
          <w:t>www.syngenta.com.au</w:t>
        </w:r>
      </w:hyperlink>
      <w:r w:rsidRPr="0013016D">
        <w:rPr>
          <w:rFonts w:cs="Arial"/>
          <w:szCs w:val="20"/>
        </w:rPr>
        <w:t xml:space="preserve"> or use the QR code on this label.</w:t>
      </w:r>
    </w:p>
    <w:p w14:paraId="6F06A827" w14:textId="77777777" w:rsidR="0013016D" w:rsidRPr="0013016D" w:rsidRDefault="0013016D" w:rsidP="0013016D">
      <w:pPr>
        <w:spacing w:line="240" w:lineRule="auto"/>
        <w:rPr>
          <w:rFonts w:cs="Arial"/>
          <w:szCs w:val="20"/>
          <w:highlight w:val="yellow"/>
        </w:rPr>
      </w:pPr>
    </w:p>
    <w:p w14:paraId="6D6DD91A" w14:textId="77777777" w:rsidR="0013016D" w:rsidRPr="0013016D" w:rsidRDefault="0013016D" w:rsidP="0013016D">
      <w:pPr>
        <w:spacing w:line="240" w:lineRule="auto"/>
        <w:rPr>
          <w:rFonts w:cs="Arial"/>
          <w:b/>
          <w:bCs/>
          <w:szCs w:val="20"/>
        </w:rPr>
      </w:pPr>
      <w:r w:rsidRPr="0013016D">
        <w:rPr>
          <w:rFonts w:cs="Arial"/>
          <w:b/>
          <w:bCs/>
          <w:szCs w:val="20"/>
        </w:rPr>
        <w:t>DISCLAIMER</w:t>
      </w:r>
    </w:p>
    <w:p w14:paraId="2A2E9AE1" w14:textId="77777777" w:rsidR="0013016D" w:rsidRPr="0013016D" w:rsidRDefault="0013016D" w:rsidP="0013016D">
      <w:pPr>
        <w:spacing w:line="240" w:lineRule="auto"/>
        <w:jc w:val="both"/>
        <w:rPr>
          <w:rFonts w:cs="Arial"/>
          <w:sz w:val="18"/>
          <w:szCs w:val="18"/>
          <w:lang w:val="en-GB"/>
        </w:rPr>
      </w:pPr>
      <w:r w:rsidRPr="0013016D">
        <w:rPr>
          <w:rFonts w:cs="Arial"/>
          <w:sz w:val="18"/>
          <w:szCs w:val="18"/>
          <w:lang w:val="en-GB"/>
        </w:rPr>
        <w:t>This product complies with the specifications in its statutory registration. Implied terms and warranties are excluded. Syngenta’s liability for breach of the express or any non-excludable implied warranty is limited to product replacement or purchase price refund. The purchaser must determine suitability for intended purpose and take all proper precautions in the handling, storage and use of the product including those on the label and/or safety data sheet failing which Syngenta shall have no liability.</w:t>
      </w:r>
    </w:p>
    <w:p w14:paraId="58F87AE2" w14:textId="77777777" w:rsidR="0013016D" w:rsidRPr="0013016D" w:rsidRDefault="0013016D" w:rsidP="0013016D">
      <w:pPr>
        <w:spacing w:line="240" w:lineRule="auto"/>
        <w:rPr>
          <w:rFonts w:cs="Arial"/>
          <w:szCs w:val="20"/>
        </w:rPr>
      </w:pPr>
    </w:p>
    <w:tbl>
      <w:tblPr>
        <w:tblW w:w="0" w:type="auto"/>
        <w:tblLayout w:type="fixed"/>
        <w:tblLook w:val="04A0" w:firstRow="1" w:lastRow="0" w:firstColumn="1" w:lastColumn="0" w:noHBand="0" w:noVBand="1"/>
      </w:tblPr>
      <w:tblGrid>
        <w:gridCol w:w="4111"/>
        <w:gridCol w:w="567"/>
        <w:gridCol w:w="992"/>
      </w:tblGrid>
      <w:tr w:rsidR="0013016D" w:rsidRPr="0013016D" w14:paraId="1E3B15F9" w14:textId="77777777" w:rsidTr="007C6059">
        <w:tc>
          <w:tcPr>
            <w:tcW w:w="4678" w:type="dxa"/>
            <w:gridSpan w:val="2"/>
          </w:tcPr>
          <w:p w14:paraId="4F8F2570" w14:textId="77777777" w:rsidR="0013016D" w:rsidRPr="0013016D" w:rsidRDefault="0013016D" w:rsidP="0013016D">
            <w:pPr>
              <w:spacing w:line="240" w:lineRule="auto"/>
              <w:rPr>
                <w:rFonts w:cs="Arial"/>
                <w:snapToGrid w:val="0"/>
                <w:sz w:val="18"/>
                <w:szCs w:val="18"/>
              </w:rPr>
            </w:pPr>
            <w:r w:rsidRPr="0013016D">
              <w:rPr>
                <w:rFonts w:eastAsia="Calibri" w:cs="Arial"/>
                <w:snapToGrid w:val="0"/>
                <w:sz w:val="18"/>
                <w:szCs w:val="18"/>
              </w:rPr>
              <w:t xml:space="preserve">Product names marked </w:t>
            </w:r>
            <w:r w:rsidRPr="0013016D">
              <w:rPr>
                <w:rFonts w:eastAsia="Calibri" w:cs="Arial"/>
                <w:sz w:val="18"/>
                <w:szCs w:val="18"/>
              </w:rPr>
              <w:t>®</w:t>
            </w:r>
            <w:r w:rsidRPr="0013016D">
              <w:rPr>
                <w:rFonts w:eastAsia="Calibri" w:cs="Arial"/>
                <w:snapToGrid w:val="0"/>
                <w:sz w:val="18"/>
                <w:szCs w:val="18"/>
              </w:rPr>
              <w:t xml:space="preserve"> or ™, the ALLIANCE FRAME</w:t>
            </w:r>
          </w:p>
        </w:tc>
        <w:tc>
          <w:tcPr>
            <w:tcW w:w="992" w:type="dxa"/>
            <w:vMerge w:val="restart"/>
          </w:tcPr>
          <w:p w14:paraId="419C24C3" w14:textId="77777777" w:rsidR="0013016D" w:rsidRPr="0013016D" w:rsidRDefault="0013016D" w:rsidP="0013016D">
            <w:pPr>
              <w:spacing w:line="240" w:lineRule="auto"/>
              <w:rPr>
                <w:rFonts w:cs="Arial"/>
                <w:snapToGrid w:val="0"/>
                <w:szCs w:val="20"/>
                <w:highlight w:val="yellow"/>
              </w:rPr>
            </w:pPr>
          </w:p>
        </w:tc>
      </w:tr>
      <w:tr w:rsidR="0013016D" w:rsidRPr="0013016D" w14:paraId="51D3498A" w14:textId="77777777" w:rsidTr="007C6059">
        <w:tc>
          <w:tcPr>
            <w:tcW w:w="4111" w:type="dxa"/>
          </w:tcPr>
          <w:p w14:paraId="5BC6AFB9" w14:textId="77777777" w:rsidR="0013016D" w:rsidRPr="0013016D" w:rsidRDefault="0013016D" w:rsidP="0013016D">
            <w:pPr>
              <w:spacing w:line="240" w:lineRule="auto"/>
              <w:rPr>
                <w:rFonts w:cs="Arial"/>
                <w:snapToGrid w:val="0"/>
                <w:sz w:val="18"/>
                <w:szCs w:val="18"/>
              </w:rPr>
            </w:pPr>
            <w:r w:rsidRPr="0013016D">
              <w:rPr>
                <w:rFonts w:eastAsia="Calibri" w:cs="Arial"/>
                <w:snapToGrid w:val="0"/>
                <w:sz w:val="18"/>
                <w:szCs w:val="18"/>
              </w:rPr>
              <w:t>the SYNGENTA Logo and the PURPOSE ICON</w:t>
            </w:r>
          </w:p>
        </w:tc>
        <w:tc>
          <w:tcPr>
            <w:tcW w:w="567" w:type="dxa"/>
            <w:vMerge w:val="restart"/>
          </w:tcPr>
          <w:p w14:paraId="705023DF" w14:textId="77777777" w:rsidR="0013016D" w:rsidRPr="0013016D" w:rsidRDefault="0013016D" w:rsidP="0013016D">
            <w:pPr>
              <w:spacing w:line="240" w:lineRule="auto"/>
              <w:rPr>
                <w:rFonts w:cs="Arial"/>
                <w:snapToGrid w:val="0"/>
                <w:szCs w:val="20"/>
              </w:rPr>
            </w:pPr>
          </w:p>
        </w:tc>
        <w:tc>
          <w:tcPr>
            <w:tcW w:w="992" w:type="dxa"/>
            <w:vMerge/>
          </w:tcPr>
          <w:p w14:paraId="4D7D0FC8" w14:textId="77777777" w:rsidR="0013016D" w:rsidRPr="0013016D" w:rsidRDefault="0013016D" w:rsidP="0013016D">
            <w:pPr>
              <w:spacing w:line="240" w:lineRule="auto"/>
              <w:rPr>
                <w:rFonts w:cs="Arial"/>
                <w:snapToGrid w:val="0"/>
                <w:sz w:val="16"/>
                <w:szCs w:val="20"/>
                <w:highlight w:val="yellow"/>
              </w:rPr>
            </w:pPr>
          </w:p>
        </w:tc>
      </w:tr>
      <w:tr w:rsidR="0013016D" w:rsidRPr="0013016D" w14:paraId="2C13924F" w14:textId="77777777" w:rsidTr="007C6059">
        <w:tc>
          <w:tcPr>
            <w:tcW w:w="4111" w:type="dxa"/>
          </w:tcPr>
          <w:p w14:paraId="31B923D3" w14:textId="77777777" w:rsidR="0013016D" w:rsidRPr="0013016D" w:rsidRDefault="0013016D" w:rsidP="0013016D">
            <w:pPr>
              <w:spacing w:line="240" w:lineRule="auto"/>
              <w:rPr>
                <w:rFonts w:cs="Arial"/>
                <w:snapToGrid w:val="0"/>
                <w:sz w:val="18"/>
                <w:szCs w:val="18"/>
              </w:rPr>
            </w:pPr>
            <w:r w:rsidRPr="0013016D">
              <w:rPr>
                <w:rFonts w:eastAsia="Calibri" w:cs="Arial"/>
                <w:snapToGrid w:val="0"/>
                <w:sz w:val="18"/>
                <w:szCs w:val="18"/>
              </w:rPr>
              <w:t>are Trademarks of a Syngenta Group Company</w:t>
            </w:r>
          </w:p>
        </w:tc>
        <w:tc>
          <w:tcPr>
            <w:tcW w:w="567" w:type="dxa"/>
            <w:vMerge/>
          </w:tcPr>
          <w:p w14:paraId="26A036B0" w14:textId="77777777" w:rsidR="0013016D" w:rsidRPr="0013016D" w:rsidRDefault="0013016D" w:rsidP="0013016D">
            <w:pPr>
              <w:spacing w:line="240" w:lineRule="auto"/>
              <w:rPr>
                <w:rFonts w:cs="Arial"/>
                <w:snapToGrid w:val="0"/>
                <w:sz w:val="16"/>
                <w:szCs w:val="20"/>
              </w:rPr>
            </w:pPr>
          </w:p>
        </w:tc>
        <w:tc>
          <w:tcPr>
            <w:tcW w:w="992" w:type="dxa"/>
            <w:vMerge/>
          </w:tcPr>
          <w:p w14:paraId="6B5EBA07" w14:textId="77777777" w:rsidR="0013016D" w:rsidRPr="0013016D" w:rsidRDefault="0013016D" w:rsidP="0013016D">
            <w:pPr>
              <w:spacing w:line="240" w:lineRule="auto"/>
              <w:rPr>
                <w:rFonts w:cs="Arial"/>
                <w:snapToGrid w:val="0"/>
                <w:sz w:val="16"/>
                <w:szCs w:val="20"/>
              </w:rPr>
            </w:pPr>
          </w:p>
        </w:tc>
      </w:tr>
    </w:tbl>
    <w:p w14:paraId="05E0AC9B" w14:textId="77777777" w:rsidR="0013016D" w:rsidRPr="0013016D" w:rsidRDefault="0013016D" w:rsidP="0013016D">
      <w:pPr>
        <w:spacing w:line="240" w:lineRule="auto"/>
        <w:rPr>
          <w:rFonts w:cs="Arial"/>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0"/>
        <w:gridCol w:w="1695"/>
      </w:tblGrid>
      <w:tr w:rsidR="0013016D" w:rsidRPr="0013016D" w14:paraId="57986A94" w14:textId="77777777" w:rsidTr="007C6059">
        <w:trPr>
          <w:cantSplit/>
        </w:trPr>
        <w:tc>
          <w:tcPr>
            <w:tcW w:w="2140" w:type="dxa"/>
            <w:vAlign w:val="center"/>
          </w:tcPr>
          <w:p w14:paraId="174A69DD" w14:textId="77777777" w:rsidR="0013016D" w:rsidRPr="0013016D" w:rsidRDefault="0013016D" w:rsidP="0013016D">
            <w:pPr>
              <w:spacing w:line="240" w:lineRule="auto"/>
              <w:rPr>
                <w:rFonts w:cs="Arial"/>
                <w:szCs w:val="20"/>
              </w:rPr>
            </w:pPr>
            <w:r w:rsidRPr="0013016D">
              <w:rPr>
                <w:rFonts w:cs="Arial"/>
                <w:szCs w:val="20"/>
              </w:rPr>
              <w:t>Batch No</w:t>
            </w:r>
          </w:p>
        </w:tc>
        <w:tc>
          <w:tcPr>
            <w:tcW w:w="1695" w:type="dxa"/>
          </w:tcPr>
          <w:p w14:paraId="1CCBF591" w14:textId="77777777" w:rsidR="0013016D" w:rsidRPr="0013016D" w:rsidRDefault="0013016D" w:rsidP="0013016D">
            <w:pPr>
              <w:spacing w:line="240" w:lineRule="auto"/>
              <w:rPr>
                <w:rFonts w:cs="Arial"/>
                <w:szCs w:val="20"/>
              </w:rPr>
            </w:pPr>
          </w:p>
        </w:tc>
      </w:tr>
      <w:tr w:rsidR="0013016D" w:rsidRPr="0013016D" w14:paraId="4AF3C2FE" w14:textId="77777777" w:rsidTr="007C6059">
        <w:trPr>
          <w:cantSplit/>
        </w:trPr>
        <w:tc>
          <w:tcPr>
            <w:tcW w:w="2140" w:type="dxa"/>
          </w:tcPr>
          <w:p w14:paraId="0D3DA4BB" w14:textId="77777777" w:rsidR="0013016D" w:rsidRPr="0013016D" w:rsidRDefault="0013016D" w:rsidP="0013016D">
            <w:pPr>
              <w:spacing w:line="240" w:lineRule="auto"/>
              <w:rPr>
                <w:rFonts w:cs="Arial"/>
                <w:szCs w:val="20"/>
              </w:rPr>
            </w:pPr>
            <w:r w:rsidRPr="0013016D">
              <w:rPr>
                <w:rFonts w:cs="Arial"/>
                <w:szCs w:val="20"/>
              </w:rPr>
              <w:t>Date of Manufacture</w:t>
            </w:r>
          </w:p>
        </w:tc>
        <w:tc>
          <w:tcPr>
            <w:tcW w:w="1695" w:type="dxa"/>
          </w:tcPr>
          <w:p w14:paraId="10E5622B" w14:textId="77777777" w:rsidR="0013016D" w:rsidRPr="0013016D" w:rsidRDefault="0013016D" w:rsidP="0013016D">
            <w:pPr>
              <w:spacing w:line="240" w:lineRule="auto"/>
              <w:rPr>
                <w:rFonts w:cs="Arial"/>
                <w:szCs w:val="20"/>
              </w:rPr>
            </w:pPr>
          </w:p>
        </w:tc>
      </w:tr>
    </w:tbl>
    <w:p w14:paraId="33D02811" w14:textId="77777777" w:rsidR="003F67BE" w:rsidRDefault="003F67BE" w:rsidP="00772458">
      <w:pPr>
        <w:pStyle w:val="APVMAText"/>
        <w:sectPr w:rsidR="003F67BE">
          <w:headerReference w:type="even" r:id="rId62"/>
          <w:headerReference w:type="default" r:id="rId63"/>
          <w:pgSz w:w="11906" w:h="16838" w:code="9"/>
          <w:pgMar w:top="2835" w:right="1134" w:bottom="1134" w:left="1134" w:header="1701" w:footer="680" w:gutter="0"/>
          <w:cols w:space="708"/>
          <w:docGrid w:linePitch="360"/>
        </w:sectPr>
      </w:pPr>
    </w:p>
    <w:p w14:paraId="55CCBC88" w14:textId="47910527" w:rsidR="009346C3" w:rsidRDefault="00CA5B2B" w:rsidP="00CF5DF7">
      <w:pPr>
        <w:pStyle w:val="APVMAAppendixH1"/>
      </w:pPr>
      <w:bookmarkStart w:id="256" w:name="_Toc137198195"/>
      <w:r>
        <w:lastRenderedPageBreak/>
        <w:t>Acronyms and abbreviations</w:t>
      </w:r>
      <w:bookmarkEnd w:id="256"/>
    </w:p>
    <w:tbl>
      <w:tblPr>
        <w:tblW w:w="5000" w:type="pct"/>
        <w:tblBorders>
          <w:top w:val="single" w:sz="4" w:space="0" w:color="auto"/>
          <w:bottom w:val="single" w:sz="4" w:space="0" w:color="auto"/>
          <w:insideH w:val="single" w:sz="4" w:space="0" w:color="auto"/>
        </w:tblBorders>
        <w:tblLook w:val="0000" w:firstRow="0" w:lastRow="0" w:firstColumn="0" w:lastColumn="0" w:noHBand="0" w:noVBand="0"/>
        <w:tblCaption w:val="Abbreviations"/>
        <w:tblDescription w:val="Explanation of abbreviations and acronyms that appear in the publication"/>
      </w:tblPr>
      <w:tblGrid>
        <w:gridCol w:w="2142"/>
        <w:gridCol w:w="7317"/>
        <w:gridCol w:w="179"/>
      </w:tblGrid>
      <w:tr w:rsidR="00CF5DF7" w14:paraId="736905B2" w14:textId="77777777" w:rsidTr="00147233">
        <w:trPr>
          <w:tblHeader/>
        </w:trPr>
        <w:tc>
          <w:tcPr>
            <w:tcW w:w="1111" w:type="pct"/>
            <w:shd w:val="clear" w:color="auto" w:fill="00747A"/>
          </w:tcPr>
          <w:p w14:paraId="5A7E21C0" w14:textId="77777777" w:rsidR="00CF5DF7" w:rsidRPr="00AB2E66" w:rsidRDefault="00CF5DF7" w:rsidP="00147233">
            <w:pPr>
              <w:pStyle w:val="APVMATableHead"/>
            </w:pPr>
            <w:r w:rsidRPr="00AB2E66">
              <w:t>Shortened term</w:t>
            </w:r>
          </w:p>
        </w:tc>
        <w:tc>
          <w:tcPr>
            <w:tcW w:w="3889" w:type="pct"/>
            <w:gridSpan w:val="2"/>
            <w:shd w:val="clear" w:color="auto" w:fill="00747A"/>
          </w:tcPr>
          <w:p w14:paraId="33E1AAFA" w14:textId="77777777" w:rsidR="00CF5DF7" w:rsidRPr="00AB2E66" w:rsidRDefault="00CF5DF7" w:rsidP="00147233">
            <w:pPr>
              <w:pStyle w:val="APVMATableHead"/>
            </w:pPr>
            <w:r w:rsidRPr="00AB2E66">
              <w:t>Full term</w:t>
            </w:r>
          </w:p>
        </w:tc>
      </w:tr>
      <w:tr w:rsidR="00CF5DF7" w14:paraId="408A4DB1" w14:textId="77777777" w:rsidTr="00147233">
        <w:tc>
          <w:tcPr>
            <w:tcW w:w="1111" w:type="pct"/>
          </w:tcPr>
          <w:p w14:paraId="1F0C6571" w14:textId="77777777" w:rsidR="00CF5DF7" w:rsidRDefault="00CF5DF7" w:rsidP="00147233">
            <w:pPr>
              <w:pStyle w:val="APVMATableText"/>
            </w:pPr>
            <w:r>
              <w:t>ACCS/ACMS</w:t>
            </w:r>
          </w:p>
        </w:tc>
        <w:tc>
          <w:tcPr>
            <w:tcW w:w="3889" w:type="pct"/>
            <w:gridSpan w:val="2"/>
          </w:tcPr>
          <w:p w14:paraId="399C698E" w14:textId="77777777" w:rsidR="00CF5DF7" w:rsidRDefault="00CF5DF7" w:rsidP="00147233">
            <w:pPr>
              <w:pStyle w:val="APVMATableText"/>
            </w:pPr>
            <w:r>
              <w:t>Advisory Committee for Chemicals Scheduling/Advisory Committee for Medicines Scheduling</w:t>
            </w:r>
          </w:p>
        </w:tc>
      </w:tr>
      <w:tr w:rsidR="00CF5DF7" w14:paraId="07A72767" w14:textId="77777777" w:rsidTr="00147233">
        <w:tc>
          <w:tcPr>
            <w:tcW w:w="1111" w:type="pct"/>
          </w:tcPr>
          <w:p w14:paraId="14D368BA" w14:textId="77777777" w:rsidR="00CF5DF7" w:rsidRDefault="00CF5DF7" w:rsidP="00147233">
            <w:pPr>
              <w:pStyle w:val="APVMATableText"/>
            </w:pPr>
            <w:r>
              <w:t>ac</w:t>
            </w:r>
          </w:p>
        </w:tc>
        <w:tc>
          <w:tcPr>
            <w:tcW w:w="3889" w:type="pct"/>
            <w:gridSpan w:val="2"/>
          </w:tcPr>
          <w:p w14:paraId="0D6570DB" w14:textId="77777777" w:rsidR="00CF5DF7" w:rsidRDefault="00CF5DF7" w:rsidP="00147233">
            <w:pPr>
              <w:pStyle w:val="APVMATableText"/>
            </w:pPr>
            <w:r>
              <w:t>Active constituent</w:t>
            </w:r>
          </w:p>
        </w:tc>
      </w:tr>
      <w:tr w:rsidR="00CF5DF7" w14:paraId="680A47DF" w14:textId="77777777" w:rsidTr="00147233">
        <w:tc>
          <w:tcPr>
            <w:tcW w:w="1111" w:type="pct"/>
          </w:tcPr>
          <w:p w14:paraId="329F437B" w14:textId="77777777" w:rsidR="00CF5DF7" w:rsidRDefault="00CF5DF7" w:rsidP="00147233">
            <w:pPr>
              <w:pStyle w:val="APVMATableText"/>
            </w:pPr>
            <w:r>
              <w:t>ADI</w:t>
            </w:r>
          </w:p>
        </w:tc>
        <w:tc>
          <w:tcPr>
            <w:tcW w:w="3889" w:type="pct"/>
            <w:gridSpan w:val="2"/>
          </w:tcPr>
          <w:p w14:paraId="22EC8DD7" w14:textId="77777777" w:rsidR="00CF5DF7" w:rsidRDefault="00CF5DF7" w:rsidP="00147233">
            <w:pPr>
              <w:pStyle w:val="APVMATableText"/>
            </w:pPr>
            <w:r>
              <w:t>Acceptable daily intake (for humans)</w:t>
            </w:r>
          </w:p>
        </w:tc>
      </w:tr>
      <w:tr w:rsidR="00CF5DF7" w14:paraId="7F2AEA02" w14:textId="77777777" w:rsidTr="00147233">
        <w:tc>
          <w:tcPr>
            <w:tcW w:w="1111" w:type="pct"/>
          </w:tcPr>
          <w:p w14:paraId="6D741CE3" w14:textId="77777777" w:rsidR="00CF5DF7" w:rsidRDefault="00CF5DF7" w:rsidP="00147233">
            <w:pPr>
              <w:pStyle w:val="APVMATableText"/>
            </w:pPr>
            <w:r>
              <w:t>A/G</w:t>
            </w:r>
          </w:p>
        </w:tc>
        <w:tc>
          <w:tcPr>
            <w:tcW w:w="3889" w:type="pct"/>
            <w:gridSpan w:val="2"/>
          </w:tcPr>
          <w:p w14:paraId="1A85195E" w14:textId="77777777" w:rsidR="00CF5DF7" w:rsidRDefault="00CF5DF7" w:rsidP="00147233">
            <w:pPr>
              <w:pStyle w:val="APVMATableText"/>
            </w:pPr>
            <w:r>
              <w:t>Albumin/globulin</w:t>
            </w:r>
          </w:p>
        </w:tc>
      </w:tr>
      <w:tr w:rsidR="00CF5DF7" w14:paraId="4325F34A" w14:textId="77777777" w:rsidTr="00147233">
        <w:tc>
          <w:tcPr>
            <w:tcW w:w="1111" w:type="pct"/>
          </w:tcPr>
          <w:p w14:paraId="2C605E24" w14:textId="77777777" w:rsidR="00CF5DF7" w:rsidRDefault="00CF5DF7" w:rsidP="00147233">
            <w:pPr>
              <w:pStyle w:val="APVMATableText"/>
            </w:pPr>
            <w:r>
              <w:t>AHMAC</w:t>
            </w:r>
          </w:p>
        </w:tc>
        <w:tc>
          <w:tcPr>
            <w:tcW w:w="3889" w:type="pct"/>
            <w:gridSpan w:val="2"/>
          </w:tcPr>
          <w:p w14:paraId="08085809" w14:textId="77777777" w:rsidR="00CF5DF7" w:rsidRDefault="00CF5DF7" w:rsidP="00147233">
            <w:pPr>
              <w:pStyle w:val="APVMATableText"/>
            </w:pPr>
            <w:r>
              <w:t>Australian Health Ministers Advisory Council</w:t>
            </w:r>
          </w:p>
        </w:tc>
      </w:tr>
      <w:tr w:rsidR="00CF5DF7" w14:paraId="36988C16" w14:textId="77777777" w:rsidTr="00147233">
        <w:tc>
          <w:tcPr>
            <w:tcW w:w="1111" w:type="pct"/>
          </w:tcPr>
          <w:p w14:paraId="21F32332" w14:textId="77777777" w:rsidR="00CF5DF7" w:rsidRDefault="00CF5DF7" w:rsidP="00147233">
            <w:pPr>
              <w:pStyle w:val="APVMATableText"/>
            </w:pPr>
            <w:r>
              <w:t>ai</w:t>
            </w:r>
          </w:p>
        </w:tc>
        <w:tc>
          <w:tcPr>
            <w:tcW w:w="3889" w:type="pct"/>
            <w:gridSpan w:val="2"/>
          </w:tcPr>
          <w:p w14:paraId="0799E951" w14:textId="77777777" w:rsidR="00CF5DF7" w:rsidRDefault="00CF5DF7" w:rsidP="00147233">
            <w:pPr>
              <w:pStyle w:val="APVMATableText"/>
            </w:pPr>
            <w:r>
              <w:t>Active ingredient</w:t>
            </w:r>
          </w:p>
        </w:tc>
      </w:tr>
      <w:tr w:rsidR="00CF5DF7" w14:paraId="43BCCAE9" w14:textId="77777777" w:rsidTr="00147233">
        <w:tc>
          <w:tcPr>
            <w:tcW w:w="1111" w:type="pct"/>
          </w:tcPr>
          <w:p w14:paraId="154302A9" w14:textId="77777777" w:rsidR="00CF5DF7" w:rsidRDefault="00CF5DF7" w:rsidP="00147233">
            <w:pPr>
              <w:pStyle w:val="APVMATableText"/>
            </w:pPr>
            <w:r>
              <w:t>ALT</w:t>
            </w:r>
          </w:p>
        </w:tc>
        <w:tc>
          <w:tcPr>
            <w:tcW w:w="3889" w:type="pct"/>
            <w:gridSpan w:val="2"/>
          </w:tcPr>
          <w:p w14:paraId="46C9B8A1" w14:textId="77777777" w:rsidR="00CF5DF7" w:rsidRDefault="00CF5DF7" w:rsidP="00147233">
            <w:pPr>
              <w:pStyle w:val="APVMATableText"/>
            </w:pPr>
            <w:r>
              <w:t>Alanine aminotransferase</w:t>
            </w:r>
          </w:p>
        </w:tc>
      </w:tr>
      <w:tr w:rsidR="00CF5DF7" w14:paraId="31E7F32B" w14:textId="77777777" w:rsidTr="00147233">
        <w:tc>
          <w:tcPr>
            <w:tcW w:w="1111" w:type="pct"/>
          </w:tcPr>
          <w:p w14:paraId="3CC11EFE" w14:textId="77777777" w:rsidR="00CF5DF7" w:rsidRDefault="00CF5DF7" w:rsidP="00147233">
            <w:pPr>
              <w:pStyle w:val="APVMATableText"/>
            </w:pPr>
            <w:r>
              <w:t>AR</w:t>
            </w:r>
          </w:p>
        </w:tc>
        <w:tc>
          <w:tcPr>
            <w:tcW w:w="3889" w:type="pct"/>
            <w:gridSpan w:val="2"/>
          </w:tcPr>
          <w:p w14:paraId="57CEC1A6" w14:textId="77777777" w:rsidR="00CF5DF7" w:rsidRDefault="00CF5DF7" w:rsidP="00147233">
            <w:pPr>
              <w:pStyle w:val="APVMATableText"/>
            </w:pPr>
            <w:r>
              <w:t>Applied radioactivity</w:t>
            </w:r>
          </w:p>
        </w:tc>
      </w:tr>
      <w:tr w:rsidR="00CF5DF7" w14:paraId="50C58328" w14:textId="77777777" w:rsidTr="00147233">
        <w:tc>
          <w:tcPr>
            <w:tcW w:w="1111" w:type="pct"/>
          </w:tcPr>
          <w:p w14:paraId="2A6887BF" w14:textId="77777777" w:rsidR="00CF5DF7" w:rsidRDefault="00CF5DF7" w:rsidP="00147233">
            <w:pPr>
              <w:pStyle w:val="APVMATableText"/>
            </w:pPr>
            <w:proofErr w:type="spellStart"/>
            <w:r>
              <w:t>ARfD</w:t>
            </w:r>
            <w:proofErr w:type="spellEnd"/>
          </w:p>
        </w:tc>
        <w:tc>
          <w:tcPr>
            <w:tcW w:w="3889" w:type="pct"/>
            <w:gridSpan w:val="2"/>
          </w:tcPr>
          <w:p w14:paraId="072C7D09" w14:textId="77777777" w:rsidR="00CF5DF7" w:rsidRDefault="00CF5DF7" w:rsidP="00147233">
            <w:pPr>
              <w:pStyle w:val="APVMATableText"/>
            </w:pPr>
            <w:r>
              <w:t>Acute reference dose</w:t>
            </w:r>
          </w:p>
        </w:tc>
      </w:tr>
      <w:tr w:rsidR="00CF5DF7" w14:paraId="7CCED49F" w14:textId="77777777" w:rsidTr="00147233">
        <w:tc>
          <w:tcPr>
            <w:tcW w:w="1111" w:type="pct"/>
          </w:tcPr>
          <w:p w14:paraId="44457AE9" w14:textId="77777777" w:rsidR="00CF5DF7" w:rsidRDefault="00CF5DF7" w:rsidP="00147233">
            <w:pPr>
              <w:pStyle w:val="APVMATableText"/>
            </w:pPr>
            <w:r>
              <w:t>AST</w:t>
            </w:r>
          </w:p>
        </w:tc>
        <w:tc>
          <w:tcPr>
            <w:tcW w:w="3889" w:type="pct"/>
            <w:gridSpan w:val="2"/>
          </w:tcPr>
          <w:p w14:paraId="38890D45" w14:textId="77777777" w:rsidR="00CF5DF7" w:rsidRDefault="00CF5DF7" w:rsidP="00147233">
            <w:pPr>
              <w:pStyle w:val="APVMATableText"/>
            </w:pPr>
            <w:r>
              <w:t>Aspartate aminotransferase</w:t>
            </w:r>
          </w:p>
        </w:tc>
      </w:tr>
      <w:tr w:rsidR="00CF5DF7" w14:paraId="6E89D349" w14:textId="77777777" w:rsidTr="00147233">
        <w:tc>
          <w:tcPr>
            <w:tcW w:w="1111" w:type="pct"/>
          </w:tcPr>
          <w:p w14:paraId="25BFDFAF" w14:textId="77777777" w:rsidR="00CF5DF7" w:rsidRDefault="00CF5DF7" w:rsidP="00147233">
            <w:pPr>
              <w:pStyle w:val="APVMATableText"/>
            </w:pPr>
            <w:r>
              <w:t>AUC</w:t>
            </w:r>
          </w:p>
        </w:tc>
        <w:tc>
          <w:tcPr>
            <w:tcW w:w="3889" w:type="pct"/>
            <w:gridSpan w:val="2"/>
          </w:tcPr>
          <w:p w14:paraId="4CF5033B" w14:textId="77777777" w:rsidR="00CF5DF7" w:rsidRDefault="00CF5DF7" w:rsidP="00147233">
            <w:pPr>
              <w:pStyle w:val="APVMATableText"/>
            </w:pPr>
            <w:r>
              <w:t>Area under the curve. A measure of the plasma concentration of a chemical substance over a given period of time.</w:t>
            </w:r>
          </w:p>
        </w:tc>
      </w:tr>
      <w:tr w:rsidR="00CF5DF7" w14:paraId="61DBC2A5" w14:textId="77777777" w:rsidTr="00147233">
        <w:tc>
          <w:tcPr>
            <w:tcW w:w="1111" w:type="pct"/>
          </w:tcPr>
          <w:p w14:paraId="387B8417" w14:textId="77777777" w:rsidR="00CF5DF7" w:rsidRDefault="00CF5DF7" w:rsidP="00147233">
            <w:pPr>
              <w:pStyle w:val="APVMATableText"/>
            </w:pPr>
            <w:r>
              <w:t>BBA</w:t>
            </w:r>
          </w:p>
        </w:tc>
        <w:tc>
          <w:tcPr>
            <w:tcW w:w="3889" w:type="pct"/>
            <w:gridSpan w:val="2"/>
          </w:tcPr>
          <w:p w14:paraId="758747D6" w14:textId="77777777" w:rsidR="00CF5DF7" w:rsidRDefault="00CF5DF7" w:rsidP="00147233">
            <w:pPr>
              <w:pStyle w:val="APVMATableText"/>
            </w:pPr>
            <w:proofErr w:type="spellStart"/>
            <w:r>
              <w:t>Biologische</w:t>
            </w:r>
            <w:proofErr w:type="spellEnd"/>
            <w:r>
              <w:t xml:space="preserve"> </w:t>
            </w:r>
            <w:proofErr w:type="spellStart"/>
            <w:r>
              <w:t>Bundesanalstalt</w:t>
            </w:r>
            <w:proofErr w:type="spellEnd"/>
            <w:r>
              <w:t xml:space="preserve"> fur Land – und </w:t>
            </w:r>
            <w:proofErr w:type="spellStart"/>
            <w:r>
              <w:t>forstwirschaft</w:t>
            </w:r>
            <w:proofErr w:type="spellEnd"/>
          </w:p>
        </w:tc>
      </w:tr>
      <w:tr w:rsidR="00CF5DF7" w14:paraId="71E9A527" w14:textId="77777777" w:rsidTr="00147233">
        <w:tc>
          <w:tcPr>
            <w:tcW w:w="1111" w:type="pct"/>
          </w:tcPr>
          <w:p w14:paraId="46C70EFB" w14:textId="77777777" w:rsidR="00CF5DF7" w:rsidRDefault="00CF5DF7" w:rsidP="00147233">
            <w:pPr>
              <w:pStyle w:val="APVMATableText"/>
            </w:pPr>
            <w:proofErr w:type="spellStart"/>
            <w:r>
              <w:t>bw</w:t>
            </w:r>
            <w:proofErr w:type="spellEnd"/>
          </w:p>
        </w:tc>
        <w:tc>
          <w:tcPr>
            <w:tcW w:w="3889" w:type="pct"/>
            <w:gridSpan w:val="2"/>
          </w:tcPr>
          <w:p w14:paraId="5D968142" w14:textId="77777777" w:rsidR="00CF5DF7" w:rsidRDefault="00CF5DF7" w:rsidP="00147233">
            <w:pPr>
              <w:pStyle w:val="APVMATableText"/>
            </w:pPr>
            <w:r>
              <w:t>Bodyweight</w:t>
            </w:r>
          </w:p>
        </w:tc>
      </w:tr>
      <w:tr w:rsidR="00CF5DF7" w14:paraId="3E16C5AA" w14:textId="77777777" w:rsidTr="00147233">
        <w:tc>
          <w:tcPr>
            <w:tcW w:w="1111" w:type="pct"/>
          </w:tcPr>
          <w:p w14:paraId="2B71C3C1" w14:textId="77777777" w:rsidR="00CF5DF7" w:rsidRDefault="00CF5DF7" w:rsidP="00147233">
            <w:pPr>
              <w:pStyle w:val="APVMATableText"/>
            </w:pPr>
            <w:proofErr w:type="spellStart"/>
            <w:r>
              <w:t>C</w:t>
            </w:r>
            <w:r w:rsidRPr="00CF35C3">
              <w:rPr>
                <w:vertAlign w:val="subscript"/>
              </w:rPr>
              <w:t>max</w:t>
            </w:r>
            <w:proofErr w:type="spellEnd"/>
          </w:p>
        </w:tc>
        <w:tc>
          <w:tcPr>
            <w:tcW w:w="3889" w:type="pct"/>
            <w:gridSpan w:val="2"/>
          </w:tcPr>
          <w:p w14:paraId="466F7CE2" w14:textId="77777777" w:rsidR="00CF5DF7" w:rsidRDefault="00CF5DF7" w:rsidP="00147233">
            <w:pPr>
              <w:pStyle w:val="APVMATableText"/>
            </w:pPr>
            <w:r>
              <w:t>The peak serum concentration of a chemical substance in a particular compartment of the body</w:t>
            </w:r>
          </w:p>
        </w:tc>
      </w:tr>
      <w:tr w:rsidR="00CF5DF7" w14:paraId="6D318BF8" w14:textId="77777777" w:rsidTr="00147233">
        <w:tc>
          <w:tcPr>
            <w:tcW w:w="1111" w:type="pct"/>
          </w:tcPr>
          <w:p w14:paraId="0AA9E340" w14:textId="77777777" w:rsidR="00CF5DF7" w:rsidRDefault="00CF5DF7" w:rsidP="00147233">
            <w:pPr>
              <w:pStyle w:val="APVMATableText"/>
            </w:pPr>
            <w:r>
              <w:t>CNS</w:t>
            </w:r>
          </w:p>
        </w:tc>
        <w:tc>
          <w:tcPr>
            <w:tcW w:w="3889" w:type="pct"/>
            <w:gridSpan w:val="2"/>
          </w:tcPr>
          <w:p w14:paraId="327FD595" w14:textId="77777777" w:rsidR="00CF5DF7" w:rsidRDefault="00CF5DF7" w:rsidP="00147233">
            <w:pPr>
              <w:pStyle w:val="APVMATableText"/>
            </w:pPr>
            <w:r>
              <w:t>Central nervous system</w:t>
            </w:r>
          </w:p>
        </w:tc>
      </w:tr>
      <w:tr w:rsidR="00CF5DF7" w14:paraId="2257FE14" w14:textId="77777777" w:rsidTr="00147233">
        <w:tc>
          <w:tcPr>
            <w:tcW w:w="1111" w:type="pct"/>
          </w:tcPr>
          <w:p w14:paraId="20D396F1" w14:textId="77777777" w:rsidR="00CF5DF7" w:rsidRDefault="00CF5DF7" w:rsidP="00147233">
            <w:pPr>
              <w:pStyle w:val="APVMATableText"/>
            </w:pPr>
            <w:r>
              <w:t>d</w:t>
            </w:r>
          </w:p>
        </w:tc>
        <w:tc>
          <w:tcPr>
            <w:tcW w:w="3889" w:type="pct"/>
            <w:gridSpan w:val="2"/>
          </w:tcPr>
          <w:p w14:paraId="70525A1D" w14:textId="77777777" w:rsidR="00CF5DF7" w:rsidRDefault="00CF5DF7" w:rsidP="00147233">
            <w:pPr>
              <w:pStyle w:val="APVMATableText"/>
            </w:pPr>
            <w:r>
              <w:t>Day</w:t>
            </w:r>
          </w:p>
        </w:tc>
      </w:tr>
      <w:tr w:rsidR="00CF5DF7" w14:paraId="2F3BFACF" w14:textId="77777777" w:rsidTr="00147233">
        <w:tc>
          <w:tcPr>
            <w:tcW w:w="1111" w:type="pct"/>
          </w:tcPr>
          <w:p w14:paraId="24BAFC57" w14:textId="77777777" w:rsidR="00CF5DF7" w:rsidRDefault="00CF5DF7" w:rsidP="00147233">
            <w:pPr>
              <w:pStyle w:val="APVMATableText"/>
            </w:pPr>
            <w:r>
              <w:t>DAT</w:t>
            </w:r>
          </w:p>
        </w:tc>
        <w:tc>
          <w:tcPr>
            <w:tcW w:w="3889" w:type="pct"/>
            <w:gridSpan w:val="2"/>
          </w:tcPr>
          <w:p w14:paraId="346F5C7D" w14:textId="77777777" w:rsidR="00CF5DF7" w:rsidRDefault="00CF5DF7" w:rsidP="00147233">
            <w:pPr>
              <w:pStyle w:val="APVMATableText"/>
            </w:pPr>
            <w:r>
              <w:t>Days after treatment</w:t>
            </w:r>
          </w:p>
        </w:tc>
      </w:tr>
      <w:tr w:rsidR="00CF5DF7" w14:paraId="0F70506A" w14:textId="77777777" w:rsidTr="00147233">
        <w:tc>
          <w:tcPr>
            <w:tcW w:w="1111" w:type="pct"/>
          </w:tcPr>
          <w:p w14:paraId="2B11910C" w14:textId="77777777" w:rsidR="00CF5DF7" w:rsidRPr="00AB2E66" w:rsidRDefault="00CF5DF7" w:rsidP="00147233">
            <w:pPr>
              <w:pStyle w:val="APVMATableText"/>
            </w:pPr>
            <w:r w:rsidRPr="00AB2E66">
              <w:t>DT</w:t>
            </w:r>
            <w:r w:rsidRPr="00AB2E66">
              <w:rPr>
                <w:vertAlign w:val="subscript"/>
              </w:rPr>
              <w:t>50</w:t>
            </w:r>
          </w:p>
        </w:tc>
        <w:tc>
          <w:tcPr>
            <w:tcW w:w="3889" w:type="pct"/>
            <w:gridSpan w:val="2"/>
          </w:tcPr>
          <w:p w14:paraId="5BF63587" w14:textId="77777777" w:rsidR="00CF5DF7" w:rsidRDefault="00CF5DF7" w:rsidP="00147233">
            <w:pPr>
              <w:pStyle w:val="APVMATableText"/>
            </w:pPr>
            <w:r>
              <w:t>Time taken for 50% of the concentration to dissipate</w:t>
            </w:r>
          </w:p>
        </w:tc>
      </w:tr>
      <w:tr w:rsidR="00CF5DF7" w14:paraId="56FA9A36" w14:textId="77777777" w:rsidTr="00147233">
        <w:tc>
          <w:tcPr>
            <w:tcW w:w="1111" w:type="pct"/>
          </w:tcPr>
          <w:p w14:paraId="62C9BA36" w14:textId="77777777" w:rsidR="00CF5DF7" w:rsidRDefault="00CF5DF7" w:rsidP="00147233">
            <w:pPr>
              <w:pStyle w:val="APVMATableText"/>
            </w:pPr>
            <w:r>
              <w:t>EA</w:t>
            </w:r>
          </w:p>
        </w:tc>
        <w:tc>
          <w:tcPr>
            <w:tcW w:w="3889" w:type="pct"/>
            <w:gridSpan w:val="2"/>
          </w:tcPr>
          <w:p w14:paraId="6FF9A34C" w14:textId="77777777" w:rsidR="00CF5DF7" w:rsidRDefault="00CF5DF7" w:rsidP="00147233">
            <w:pPr>
              <w:pStyle w:val="APVMATableText"/>
            </w:pPr>
            <w:r>
              <w:t>Environment Australia</w:t>
            </w:r>
          </w:p>
        </w:tc>
      </w:tr>
      <w:tr w:rsidR="00CF5DF7" w14:paraId="7F58A9ED" w14:textId="77777777" w:rsidTr="00147233">
        <w:tc>
          <w:tcPr>
            <w:tcW w:w="1111" w:type="pct"/>
          </w:tcPr>
          <w:p w14:paraId="66FAF058" w14:textId="77777777" w:rsidR="00CF5DF7" w:rsidRDefault="00CF5DF7" w:rsidP="00147233">
            <w:pPr>
              <w:pStyle w:val="APVMATableText"/>
            </w:pPr>
            <w:r>
              <w:t>E</w:t>
            </w:r>
            <w:r>
              <w:rPr>
                <w:vertAlign w:val="subscript"/>
              </w:rPr>
              <w:t>b</w:t>
            </w:r>
            <w:r>
              <w:t>C</w:t>
            </w:r>
            <w:r>
              <w:rPr>
                <w:vertAlign w:val="subscript"/>
              </w:rPr>
              <w:t>50</w:t>
            </w:r>
          </w:p>
        </w:tc>
        <w:tc>
          <w:tcPr>
            <w:tcW w:w="3889" w:type="pct"/>
            <w:gridSpan w:val="2"/>
          </w:tcPr>
          <w:p w14:paraId="43E33AEF" w14:textId="77777777" w:rsidR="00CF5DF7" w:rsidRDefault="00CF5DF7" w:rsidP="00147233">
            <w:pPr>
              <w:pStyle w:val="APVMATableText"/>
            </w:pPr>
            <w:r>
              <w:t>Concentration at which the biomass of 50% of the test population is impacted</w:t>
            </w:r>
          </w:p>
        </w:tc>
      </w:tr>
      <w:tr w:rsidR="00CF5DF7" w14:paraId="65E5683A" w14:textId="77777777" w:rsidTr="00147233">
        <w:tc>
          <w:tcPr>
            <w:tcW w:w="1111" w:type="pct"/>
          </w:tcPr>
          <w:p w14:paraId="077BF7C4" w14:textId="77777777" w:rsidR="00CF5DF7" w:rsidRDefault="00CF5DF7" w:rsidP="00147233">
            <w:pPr>
              <w:pStyle w:val="APVMATableText"/>
            </w:pPr>
            <w:r>
              <w:t>EC</w:t>
            </w:r>
            <w:r>
              <w:rPr>
                <w:vertAlign w:val="subscript"/>
              </w:rPr>
              <w:t>50</w:t>
            </w:r>
          </w:p>
        </w:tc>
        <w:tc>
          <w:tcPr>
            <w:tcW w:w="3889" w:type="pct"/>
            <w:gridSpan w:val="2"/>
          </w:tcPr>
          <w:p w14:paraId="39DCC7AF" w14:textId="77777777" w:rsidR="00CF5DF7" w:rsidRDefault="00CF5DF7" w:rsidP="00147233">
            <w:pPr>
              <w:pStyle w:val="APVMATableText"/>
            </w:pPr>
            <w:r>
              <w:t>Concentration at which 50% of the test population are immobilised</w:t>
            </w:r>
          </w:p>
        </w:tc>
      </w:tr>
      <w:tr w:rsidR="00CF5DF7" w14:paraId="7ED5EE3B" w14:textId="77777777" w:rsidTr="00147233">
        <w:tc>
          <w:tcPr>
            <w:tcW w:w="1111" w:type="pct"/>
          </w:tcPr>
          <w:p w14:paraId="2CDC693D" w14:textId="77777777" w:rsidR="00CF5DF7" w:rsidRDefault="00CF5DF7" w:rsidP="00147233">
            <w:pPr>
              <w:pStyle w:val="APVMATableText"/>
            </w:pPr>
            <w:r>
              <w:t>ED</w:t>
            </w:r>
            <w:r w:rsidRPr="005C2517">
              <w:rPr>
                <w:vertAlign w:val="subscript"/>
              </w:rPr>
              <w:t>10</w:t>
            </w:r>
          </w:p>
        </w:tc>
        <w:tc>
          <w:tcPr>
            <w:tcW w:w="3889" w:type="pct"/>
            <w:gridSpan w:val="2"/>
          </w:tcPr>
          <w:p w14:paraId="1EBE1FC8" w14:textId="77777777" w:rsidR="00CF5DF7" w:rsidRDefault="00CF5DF7" w:rsidP="00147233">
            <w:pPr>
              <w:pStyle w:val="APVMATableText"/>
            </w:pPr>
            <w:r>
              <w:t>Concentration at which 10% of the population shows an adverse effect</w:t>
            </w:r>
          </w:p>
        </w:tc>
      </w:tr>
      <w:tr w:rsidR="00CF5DF7" w14:paraId="7CA574A5" w14:textId="77777777" w:rsidTr="00147233">
        <w:tc>
          <w:tcPr>
            <w:tcW w:w="1111" w:type="pct"/>
          </w:tcPr>
          <w:p w14:paraId="70213E93" w14:textId="77777777" w:rsidR="00CF5DF7" w:rsidRDefault="00CF5DF7" w:rsidP="00147233">
            <w:pPr>
              <w:pStyle w:val="APVMATableText"/>
            </w:pPr>
            <w:r>
              <w:t>EEC</w:t>
            </w:r>
          </w:p>
        </w:tc>
        <w:tc>
          <w:tcPr>
            <w:tcW w:w="3889" w:type="pct"/>
            <w:gridSpan w:val="2"/>
          </w:tcPr>
          <w:p w14:paraId="466A7208" w14:textId="77777777" w:rsidR="00CF5DF7" w:rsidRDefault="00CF5DF7" w:rsidP="00147233">
            <w:pPr>
              <w:pStyle w:val="APVMATableText"/>
            </w:pPr>
            <w:r>
              <w:t>Estimated environmental concentration</w:t>
            </w:r>
          </w:p>
        </w:tc>
      </w:tr>
      <w:tr w:rsidR="00CF5DF7" w14:paraId="0147BF79" w14:textId="77777777" w:rsidTr="00147233">
        <w:tc>
          <w:tcPr>
            <w:tcW w:w="1111" w:type="pct"/>
          </w:tcPr>
          <w:p w14:paraId="7278D2AD" w14:textId="77777777" w:rsidR="00CF5DF7" w:rsidRDefault="00CF5DF7" w:rsidP="00147233">
            <w:pPr>
              <w:pStyle w:val="APVMATableText"/>
            </w:pPr>
            <w:r>
              <w:t>E</w:t>
            </w:r>
            <w:r>
              <w:rPr>
                <w:vertAlign w:val="subscript"/>
              </w:rPr>
              <w:t>r</w:t>
            </w:r>
            <w:r>
              <w:t>C</w:t>
            </w:r>
            <w:r>
              <w:rPr>
                <w:vertAlign w:val="subscript"/>
              </w:rPr>
              <w:t>50</w:t>
            </w:r>
          </w:p>
        </w:tc>
        <w:tc>
          <w:tcPr>
            <w:tcW w:w="3889" w:type="pct"/>
            <w:gridSpan w:val="2"/>
          </w:tcPr>
          <w:p w14:paraId="2037370D" w14:textId="77777777" w:rsidR="00CF5DF7" w:rsidRDefault="00CF5DF7" w:rsidP="00147233">
            <w:pPr>
              <w:pStyle w:val="APVMATableText"/>
            </w:pPr>
            <w:r>
              <w:t>Concentration at which the rate of growth of 50% of the test population is impacted</w:t>
            </w:r>
          </w:p>
        </w:tc>
      </w:tr>
      <w:tr w:rsidR="00CF5DF7" w14:paraId="47FAD6FA" w14:textId="77777777" w:rsidTr="00147233">
        <w:tc>
          <w:tcPr>
            <w:tcW w:w="1111" w:type="pct"/>
          </w:tcPr>
          <w:p w14:paraId="38893EF4" w14:textId="77777777" w:rsidR="00CF5DF7" w:rsidRDefault="00CF5DF7" w:rsidP="00147233">
            <w:pPr>
              <w:pStyle w:val="APVMATableText"/>
            </w:pPr>
            <w:r>
              <w:lastRenderedPageBreak/>
              <w:t>EI</w:t>
            </w:r>
          </w:p>
        </w:tc>
        <w:tc>
          <w:tcPr>
            <w:tcW w:w="3889" w:type="pct"/>
            <w:gridSpan w:val="2"/>
          </w:tcPr>
          <w:p w14:paraId="0440E0C0" w14:textId="77777777" w:rsidR="00CF5DF7" w:rsidRDefault="00CF5DF7" w:rsidP="00147233">
            <w:pPr>
              <w:pStyle w:val="APVMATableText"/>
            </w:pPr>
            <w:r>
              <w:t>Export interval</w:t>
            </w:r>
          </w:p>
        </w:tc>
      </w:tr>
      <w:tr w:rsidR="00CF5DF7" w14:paraId="17A563BA" w14:textId="77777777" w:rsidTr="00147233">
        <w:tc>
          <w:tcPr>
            <w:tcW w:w="1111" w:type="pct"/>
          </w:tcPr>
          <w:p w14:paraId="7D161B9E" w14:textId="77777777" w:rsidR="00CF5DF7" w:rsidRDefault="00CF5DF7" w:rsidP="00147233">
            <w:pPr>
              <w:pStyle w:val="APVMATableText"/>
            </w:pPr>
            <w:r>
              <w:t>EGI</w:t>
            </w:r>
          </w:p>
        </w:tc>
        <w:tc>
          <w:tcPr>
            <w:tcW w:w="3889" w:type="pct"/>
            <w:gridSpan w:val="2"/>
          </w:tcPr>
          <w:p w14:paraId="542E84B1" w14:textId="77777777" w:rsidR="00CF5DF7" w:rsidRDefault="00CF5DF7" w:rsidP="00147233">
            <w:pPr>
              <w:pStyle w:val="APVMATableText"/>
            </w:pPr>
            <w:r>
              <w:t>Export grazing interval</w:t>
            </w:r>
          </w:p>
        </w:tc>
      </w:tr>
      <w:tr w:rsidR="00CF5DF7" w14:paraId="2DD12A7B" w14:textId="77777777" w:rsidTr="00147233">
        <w:tc>
          <w:tcPr>
            <w:tcW w:w="1111" w:type="pct"/>
          </w:tcPr>
          <w:p w14:paraId="3EEF9FDA" w14:textId="77777777" w:rsidR="00CF5DF7" w:rsidRDefault="00CF5DF7" w:rsidP="00147233">
            <w:pPr>
              <w:pStyle w:val="APVMATableText"/>
            </w:pPr>
            <w:r>
              <w:t>ESI</w:t>
            </w:r>
          </w:p>
        </w:tc>
        <w:tc>
          <w:tcPr>
            <w:tcW w:w="3889" w:type="pct"/>
            <w:gridSpan w:val="2"/>
          </w:tcPr>
          <w:p w14:paraId="09D43A67" w14:textId="77777777" w:rsidR="00CF5DF7" w:rsidRDefault="00CF5DF7" w:rsidP="00147233">
            <w:pPr>
              <w:pStyle w:val="APVMATableText"/>
            </w:pPr>
            <w:r>
              <w:t>Export slaughter interval</w:t>
            </w:r>
          </w:p>
        </w:tc>
      </w:tr>
      <w:tr w:rsidR="00CF5DF7" w14:paraId="36E59FE4" w14:textId="77777777" w:rsidTr="00147233">
        <w:tc>
          <w:tcPr>
            <w:tcW w:w="1111" w:type="pct"/>
          </w:tcPr>
          <w:p w14:paraId="4C5778D7" w14:textId="77777777" w:rsidR="00CF5DF7" w:rsidRDefault="00CF5DF7" w:rsidP="00147233">
            <w:pPr>
              <w:pStyle w:val="APVMATableText"/>
            </w:pPr>
            <w:r>
              <w:t>EUP</w:t>
            </w:r>
          </w:p>
        </w:tc>
        <w:tc>
          <w:tcPr>
            <w:tcW w:w="3889" w:type="pct"/>
            <w:gridSpan w:val="2"/>
          </w:tcPr>
          <w:p w14:paraId="52C3A6DF" w14:textId="77777777" w:rsidR="00CF5DF7" w:rsidRDefault="00CF5DF7" w:rsidP="00147233">
            <w:pPr>
              <w:pStyle w:val="APVMATableText"/>
            </w:pPr>
            <w:r>
              <w:t>End use product</w:t>
            </w:r>
          </w:p>
        </w:tc>
      </w:tr>
      <w:tr w:rsidR="00CF5DF7" w14:paraId="42EFED24" w14:textId="77777777" w:rsidTr="00147233">
        <w:tc>
          <w:tcPr>
            <w:tcW w:w="1111" w:type="pct"/>
          </w:tcPr>
          <w:p w14:paraId="2233B05E" w14:textId="77777777" w:rsidR="00CF5DF7" w:rsidRDefault="00CF5DF7" w:rsidP="00147233">
            <w:pPr>
              <w:pStyle w:val="APVMATableText"/>
            </w:pPr>
            <w:r>
              <w:t>F</w:t>
            </w:r>
            <w:r w:rsidRPr="008F730B">
              <w:rPr>
                <w:vertAlign w:val="subscript"/>
              </w:rPr>
              <w:t>0</w:t>
            </w:r>
          </w:p>
        </w:tc>
        <w:tc>
          <w:tcPr>
            <w:tcW w:w="3889" w:type="pct"/>
            <w:gridSpan w:val="2"/>
          </w:tcPr>
          <w:p w14:paraId="3401C504" w14:textId="77777777" w:rsidR="00CF5DF7" w:rsidRDefault="00CF5DF7" w:rsidP="00147233">
            <w:pPr>
              <w:pStyle w:val="APVMATableText"/>
            </w:pPr>
            <w:r>
              <w:t>Original parent generation</w:t>
            </w:r>
          </w:p>
        </w:tc>
      </w:tr>
      <w:tr w:rsidR="00CF5DF7" w14:paraId="3AEC1A69" w14:textId="77777777" w:rsidTr="00147233">
        <w:tc>
          <w:tcPr>
            <w:tcW w:w="1111" w:type="pct"/>
          </w:tcPr>
          <w:p w14:paraId="09694AE2" w14:textId="77777777" w:rsidR="00CF5DF7" w:rsidRDefault="00CF5DF7" w:rsidP="00147233">
            <w:pPr>
              <w:pStyle w:val="APVMATableText"/>
            </w:pPr>
            <w:r>
              <w:t>FRAC</w:t>
            </w:r>
          </w:p>
        </w:tc>
        <w:tc>
          <w:tcPr>
            <w:tcW w:w="3889" w:type="pct"/>
            <w:gridSpan w:val="2"/>
          </w:tcPr>
          <w:p w14:paraId="276A7A8C" w14:textId="77777777" w:rsidR="00CF5DF7" w:rsidRDefault="00CF5DF7" w:rsidP="00147233">
            <w:pPr>
              <w:pStyle w:val="APVMATableText"/>
            </w:pPr>
            <w:r>
              <w:t>Fungicide Resistance Action Committee</w:t>
            </w:r>
          </w:p>
        </w:tc>
      </w:tr>
      <w:tr w:rsidR="00CF5DF7" w14:paraId="27AB73D8" w14:textId="77777777" w:rsidTr="00147233">
        <w:tc>
          <w:tcPr>
            <w:tcW w:w="1111" w:type="pct"/>
          </w:tcPr>
          <w:p w14:paraId="0EBE07E9" w14:textId="77777777" w:rsidR="00CF5DF7" w:rsidRDefault="00CF5DF7" w:rsidP="00147233">
            <w:pPr>
              <w:pStyle w:val="APVMATableText"/>
            </w:pPr>
            <w:r>
              <w:t>g</w:t>
            </w:r>
          </w:p>
        </w:tc>
        <w:tc>
          <w:tcPr>
            <w:tcW w:w="3889" w:type="pct"/>
            <w:gridSpan w:val="2"/>
          </w:tcPr>
          <w:p w14:paraId="2B42405A" w14:textId="77777777" w:rsidR="00CF5DF7" w:rsidRDefault="00CF5DF7" w:rsidP="00147233">
            <w:pPr>
              <w:pStyle w:val="APVMATableText"/>
            </w:pPr>
            <w:r>
              <w:t>Gram</w:t>
            </w:r>
          </w:p>
        </w:tc>
      </w:tr>
      <w:tr w:rsidR="00CF5DF7" w14:paraId="3208268C" w14:textId="77777777" w:rsidTr="00147233">
        <w:tc>
          <w:tcPr>
            <w:tcW w:w="1111" w:type="pct"/>
          </w:tcPr>
          <w:p w14:paraId="7787F351" w14:textId="77777777" w:rsidR="00CF5DF7" w:rsidRDefault="00CF5DF7" w:rsidP="00147233">
            <w:pPr>
              <w:pStyle w:val="APVMATableText"/>
            </w:pPr>
            <w:r>
              <w:t>GAP</w:t>
            </w:r>
          </w:p>
        </w:tc>
        <w:tc>
          <w:tcPr>
            <w:tcW w:w="3889" w:type="pct"/>
            <w:gridSpan w:val="2"/>
          </w:tcPr>
          <w:p w14:paraId="358E6010" w14:textId="77777777" w:rsidR="00CF5DF7" w:rsidRDefault="00CF5DF7" w:rsidP="00147233">
            <w:pPr>
              <w:pStyle w:val="APVMATableText"/>
            </w:pPr>
            <w:r>
              <w:t>Good agricultural practice</w:t>
            </w:r>
          </w:p>
        </w:tc>
      </w:tr>
      <w:tr w:rsidR="00CF5DF7" w14:paraId="43222497" w14:textId="77777777" w:rsidTr="00147233">
        <w:tc>
          <w:tcPr>
            <w:tcW w:w="1111" w:type="pct"/>
          </w:tcPr>
          <w:p w14:paraId="7DBB8F70" w14:textId="77777777" w:rsidR="00CF5DF7" w:rsidRDefault="00CF5DF7" w:rsidP="00147233">
            <w:pPr>
              <w:pStyle w:val="APVMATableText"/>
            </w:pPr>
            <w:r>
              <w:t>GCP</w:t>
            </w:r>
          </w:p>
        </w:tc>
        <w:tc>
          <w:tcPr>
            <w:tcW w:w="3889" w:type="pct"/>
            <w:gridSpan w:val="2"/>
          </w:tcPr>
          <w:p w14:paraId="1F7ABFF0" w14:textId="77777777" w:rsidR="00CF5DF7" w:rsidRDefault="00CF5DF7" w:rsidP="00147233">
            <w:pPr>
              <w:pStyle w:val="APVMATableText"/>
            </w:pPr>
            <w:r>
              <w:t>Good clinical practice</w:t>
            </w:r>
          </w:p>
        </w:tc>
      </w:tr>
      <w:tr w:rsidR="00CF5DF7" w14:paraId="6CDA2DF7" w14:textId="77777777" w:rsidTr="00147233">
        <w:tc>
          <w:tcPr>
            <w:tcW w:w="1111" w:type="pct"/>
          </w:tcPr>
          <w:p w14:paraId="0FE29CDC" w14:textId="77777777" w:rsidR="00CF5DF7" w:rsidRDefault="00CF5DF7" w:rsidP="00147233">
            <w:pPr>
              <w:pStyle w:val="APVMATableText"/>
            </w:pPr>
            <w:r>
              <w:t>GD</w:t>
            </w:r>
          </w:p>
        </w:tc>
        <w:tc>
          <w:tcPr>
            <w:tcW w:w="3889" w:type="pct"/>
            <w:gridSpan w:val="2"/>
          </w:tcPr>
          <w:p w14:paraId="03A85BE6" w14:textId="77777777" w:rsidR="00CF5DF7" w:rsidRDefault="00CF5DF7" w:rsidP="00147233">
            <w:pPr>
              <w:pStyle w:val="APVMATableText"/>
            </w:pPr>
            <w:r>
              <w:t>Gestational date</w:t>
            </w:r>
          </w:p>
        </w:tc>
      </w:tr>
      <w:tr w:rsidR="00CF5DF7" w14:paraId="15630CFC" w14:textId="77777777" w:rsidTr="00147233">
        <w:tc>
          <w:tcPr>
            <w:tcW w:w="1111" w:type="pct"/>
          </w:tcPr>
          <w:p w14:paraId="09224B67" w14:textId="77777777" w:rsidR="00CF5DF7" w:rsidRDefault="00CF5DF7" w:rsidP="00147233">
            <w:pPr>
              <w:pStyle w:val="APVMATableText"/>
            </w:pPr>
            <w:r>
              <w:t>Glob</w:t>
            </w:r>
          </w:p>
        </w:tc>
        <w:tc>
          <w:tcPr>
            <w:tcW w:w="3889" w:type="pct"/>
            <w:gridSpan w:val="2"/>
          </w:tcPr>
          <w:p w14:paraId="03B36CD6" w14:textId="77777777" w:rsidR="00CF5DF7" w:rsidRDefault="00CF5DF7" w:rsidP="00147233">
            <w:pPr>
              <w:pStyle w:val="APVMATableText"/>
            </w:pPr>
            <w:r>
              <w:t>Globulin</w:t>
            </w:r>
          </w:p>
        </w:tc>
      </w:tr>
      <w:tr w:rsidR="00CF5DF7" w14:paraId="41053187" w14:textId="77777777" w:rsidTr="00147233">
        <w:tc>
          <w:tcPr>
            <w:tcW w:w="1111" w:type="pct"/>
          </w:tcPr>
          <w:p w14:paraId="13F5DEB7" w14:textId="77777777" w:rsidR="00CF5DF7" w:rsidRDefault="00CF5DF7" w:rsidP="00147233">
            <w:pPr>
              <w:pStyle w:val="APVMATableText"/>
            </w:pPr>
            <w:r>
              <w:t>GLP</w:t>
            </w:r>
          </w:p>
        </w:tc>
        <w:tc>
          <w:tcPr>
            <w:tcW w:w="3889" w:type="pct"/>
            <w:gridSpan w:val="2"/>
          </w:tcPr>
          <w:p w14:paraId="5A6DCAAD" w14:textId="77777777" w:rsidR="00CF5DF7" w:rsidRDefault="00CF5DF7" w:rsidP="00147233">
            <w:pPr>
              <w:pStyle w:val="APVMATableText"/>
            </w:pPr>
            <w:r>
              <w:t>Good laboratory practice</w:t>
            </w:r>
          </w:p>
        </w:tc>
      </w:tr>
      <w:tr w:rsidR="00CF5DF7" w14:paraId="714D7F09" w14:textId="77777777" w:rsidTr="00147233">
        <w:tc>
          <w:tcPr>
            <w:tcW w:w="1111" w:type="pct"/>
          </w:tcPr>
          <w:p w14:paraId="7F49EA58" w14:textId="77777777" w:rsidR="00CF5DF7" w:rsidRDefault="00CF5DF7" w:rsidP="00147233">
            <w:pPr>
              <w:pStyle w:val="APVMATableText"/>
            </w:pPr>
            <w:r>
              <w:t>GPMT</w:t>
            </w:r>
          </w:p>
        </w:tc>
        <w:tc>
          <w:tcPr>
            <w:tcW w:w="3889" w:type="pct"/>
            <w:gridSpan w:val="2"/>
          </w:tcPr>
          <w:p w14:paraId="51B03E29" w14:textId="77777777" w:rsidR="00CF5DF7" w:rsidRDefault="00CF5DF7" w:rsidP="00147233">
            <w:pPr>
              <w:pStyle w:val="APVMATableText"/>
            </w:pPr>
            <w:r>
              <w:t>Guinea pig maximization test</w:t>
            </w:r>
          </w:p>
        </w:tc>
      </w:tr>
      <w:tr w:rsidR="00CF5DF7" w14:paraId="58B5A39A" w14:textId="77777777" w:rsidTr="00147233">
        <w:tc>
          <w:tcPr>
            <w:tcW w:w="1111" w:type="pct"/>
          </w:tcPr>
          <w:p w14:paraId="450F7BCC" w14:textId="77777777" w:rsidR="00CF5DF7" w:rsidRDefault="00CF5DF7" w:rsidP="00147233">
            <w:pPr>
              <w:pStyle w:val="APVMATableText"/>
            </w:pPr>
            <w:r>
              <w:t>GGPT</w:t>
            </w:r>
          </w:p>
        </w:tc>
        <w:tc>
          <w:tcPr>
            <w:tcW w:w="3889" w:type="pct"/>
            <w:gridSpan w:val="2"/>
          </w:tcPr>
          <w:p w14:paraId="7E0D20F0" w14:textId="77777777" w:rsidR="00CF5DF7" w:rsidRDefault="00CF5DF7" w:rsidP="00147233">
            <w:pPr>
              <w:pStyle w:val="APVMATableText"/>
            </w:pPr>
            <w:r>
              <w:t>Gamma-glutamyl transpeptidase</w:t>
            </w:r>
          </w:p>
        </w:tc>
      </w:tr>
      <w:tr w:rsidR="00CF5DF7" w14:paraId="5D8F3562" w14:textId="77777777" w:rsidTr="00147233">
        <w:tc>
          <w:tcPr>
            <w:tcW w:w="1111" w:type="pct"/>
          </w:tcPr>
          <w:p w14:paraId="4B523412" w14:textId="77777777" w:rsidR="00CF5DF7" w:rsidRDefault="00CF5DF7" w:rsidP="00147233">
            <w:pPr>
              <w:pStyle w:val="APVMATableText"/>
            </w:pPr>
            <w:r>
              <w:t>GVP</w:t>
            </w:r>
          </w:p>
        </w:tc>
        <w:tc>
          <w:tcPr>
            <w:tcW w:w="3889" w:type="pct"/>
            <w:gridSpan w:val="2"/>
          </w:tcPr>
          <w:p w14:paraId="2BA46A4F" w14:textId="77777777" w:rsidR="00CF5DF7" w:rsidRDefault="00CF5DF7" w:rsidP="00147233">
            <w:pPr>
              <w:pStyle w:val="APVMATableText"/>
            </w:pPr>
            <w:r>
              <w:t>Good veterinary practice</w:t>
            </w:r>
          </w:p>
        </w:tc>
      </w:tr>
      <w:tr w:rsidR="00CF5DF7" w14:paraId="2686F001" w14:textId="77777777" w:rsidTr="00147233">
        <w:tc>
          <w:tcPr>
            <w:tcW w:w="1111" w:type="pct"/>
          </w:tcPr>
          <w:p w14:paraId="59FFE4E4" w14:textId="77777777" w:rsidR="00CF5DF7" w:rsidRDefault="00CF5DF7" w:rsidP="00147233">
            <w:pPr>
              <w:pStyle w:val="APVMATableText"/>
            </w:pPr>
            <w:r>
              <w:t>h</w:t>
            </w:r>
          </w:p>
        </w:tc>
        <w:tc>
          <w:tcPr>
            <w:tcW w:w="3889" w:type="pct"/>
            <w:gridSpan w:val="2"/>
          </w:tcPr>
          <w:p w14:paraId="48FCD512" w14:textId="77777777" w:rsidR="00CF5DF7" w:rsidRDefault="00CF5DF7" w:rsidP="00147233">
            <w:pPr>
              <w:pStyle w:val="APVMATableText"/>
            </w:pPr>
            <w:r>
              <w:t>Hour</w:t>
            </w:r>
          </w:p>
        </w:tc>
      </w:tr>
      <w:tr w:rsidR="00CF5DF7" w14:paraId="26A59D98" w14:textId="77777777" w:rsidTr="00147233">
        <w:tc>
          <w:tcPr>
            <w:tcW w:w="1111" w:type="pct"/>
          </w:tcPr>
          <w:p w14:paraId="21B20F63" w14:textId="77777777" w:rsidR="00CF5DF7" w:rsidRDefault="00CF5DF7" w:rsidP="00147233">
            <w:pPr>
              <w:pStyle w:val="APVMATableText"/>
            </w:pPr>
            <w:r>
              <w:t>ha</w:t>
            </w:r>
          </w:p>
        </w:tc>
        <w:tc>
          <w:tcPr>
            <w:tcW w:w="3889" w:type="pct"/>
            <w:gridSpan w:val="2"/>
          </w:tcPr>
          <w:p w14:paraId="47050535" w14:textId="77777777" w:rsidR="00CF5DF7" w:rsidRDefault="00CF5DF7" w:rsidP="00147233">
            <w:pPr>
              <w:pStyle w:val="APVMATableText"/>
            </w:pPr>
            <w:r>
              <w:t>Hectare</w:t>
            </w:r>
          </w:p>
        </w:tc>
      </w:tr>
      <w:tr w:rsidR="00CF5DF7" w14:paraId="031A4C21" w14:textId="77777777" w:rsidTr="00147233">
        <w:tc>
          <w:tcPr>
            <w:tcW w:w="1111" w:type="pct"/>
          </w:tcPr>
          <w:p w14:paraId="3A9B93CE" w14:textId="77777777" w:rsidR="00CF5DF7" w:rsidRPr="00E4789F" w:rsidRDefault="00CF5DF7" w:rsidP="00147233">
            <w:pPr>
              <w:pStyle w:val="APVMATableText"/>
              <w:rPr>
                <w:vertAlign w:val="subscript"/>
              </w:rPr>
            </w:pPr>
            <w:r>
              <w:t>HC</w:t>
            </w:r>
            <w:r>
              <w:rPr>
                <w:vertAlign w:val="subscript"/>
              </w:rPr>
              <w:t>5</w:t>
            </w:r>
          </w:p>
        </w:tc>
        <w:tc>
          <w:tcPr>
            <w:tcW w:w="3889" w:type="pct"/>
            <w:gridSpan w:val="2"/>
          </w:tcPr>
          <w:p w14:paraId="7D821987" w14:textId="77777777" w:rsidR="00CF5DF7" w:rsidRDefault="00CF5DF7" w:rsidP="00147233">
            <w:pPr>
              <w:pStyle w:val="APVMATableText"/>
            </w:pPr>
            <w:r>
              <w:t>Hazardous concentration to 5% of the species</w:t>
            </w:r>
          </w:p>
        </w:tc>
      </w:tr>
      <w:tr w:rsidR="00CF5DF7" w14:paraId="56E9E0AE" w14:textId="77777777" w:rsidTr="00147233">
        <w:tc>
          <w:tcPr>
            <w:tcW w:w="1111" w:type="pct"/>
          </w:tcPr>
          <w:p w14:paraId="22E739AC" w14:textId="77777777" w:rsidR="00CF5DF7" w:rsidRDefault="00CF5DF7" w:rsidP="00147233">
            <w:pPr>
              <w:pStyle w:val="APVMATableText"/>
            </w:pPr>
            <w:proofErr w:type="spellStart"/>
            <w:r>
              <w:t>Hct</w:t>
            </w:r>
            <w:proofErr w:type="spellEnd"/>
          </w:p>
        </w:tc>
        <w:tc>
          <w:tcPr>
            <w:tcW w:w="3889" w:type="pct"/>
            <w:gridSpan w:val="2"/>
          </w:tcPr>
          <w:p w14:paraId="1B9C515B" w14:textId="77777777" w:rsidR="00CF5DF7" w:rsidRDefault="00CF5DF7" w:rsidP="00147233">
            <w:pPr>
              <w:pStyle w:val="APVMATableText"/>
            </w:pPr>
            <w:proofErr w:type="spellStart"/>
            <w:r>
              <w:t>Heamatocrit</w:t>
            </w:r>
            <w:proofErr w:type="spellEnd"/>
          </w:p>
        </w:tc>
      </w:tr>
      <w:tr w:rsidR="00CF5DF7" w14:paraId="4261F427" w14:textId="77777777" w:rsidTr="00147233">
        <w:tc>
          <w:tcPr>
            <w:tcW w:w="1111" w:type="pct"/>
          </w:tcPr>
          <w:p w14:paraId="655D5E22" w14:textId="77777777" w:rsidR="00CF5DF7" w:rsidRDefault="00CF5DF7" w:rsidP="00147233">
            <w:pPr>
              <w:pStyle w:val="APVMATableText"/>
            </w:pPr>
            <w:r>
              <w:t>Hb</w:t>
            </w:r>
          </w:p>
        </w:tc>
        <w:tc>
          <w:tcPr>
            <w:tcW w:w="3889" w:type="pct"/>
            <w:gridSpan w:val="2"/>
          </w:tcPr>
          <w:p w14:paraId="49F11FE8" w14:textId="77777777" w:rsidR="00CF5DF7" w:rsidRDefault="00CF5DF7" w:rsidP="00147233">
            <w:pPr>
              <w:pStyle w:val="APVMATableText"/>
            </w:pPr>
            <w:r>
              <w:t>Haemoglobin</w:t>
            </w:r>
          </w:p>
        </w:tc>
      </w:tr>
      <w:tr w:rsidR="00CF5DF7" w14:paraId="603B6CB5" w14:textId="77777777" w:rsidTr="00147233">
        <w:tc>
          <w:tcPr>
            <w:tcW w:w="1111" w:type="pct"/>
          </w:tcPr>
          <w:p w14:paraId="42E05316" w14:textId="77777777" w:rsidR="00CF5DF7" w:rsidRDefault="00CF5DF7" w:rsidP="00147233">
            <w:pPr>
              <w:pStyle w:val="APVMATableText"/>
            </w:pPr>
            <w:r>
              <w:t>HPLC</w:t>
            </w:r>
          </w:p>
        </w:tc>
        <w:tc>
          <w:tcPr>
            <w:tcW w:w="3889" w:type="pct"/>
            <w:gridSpan w:val="2"/>
          </w:tcPr>
          <w:p w14:paraId="32E04171" w14:textId="77777777" w:rsidR="00CF5DF7" w:rsidRDefault="00CF5DF7" w:rsidP="00147233">
            <w:pPr>
              <w:pStyle w:val="APVMATableText"/>
            </w:pPr>
            <w:r>
              <w:t xml:space="preserve">High pressure liquid chromatography </w:t>
            </w:r>
            <w:r>
              <w:rPr>
                <w:i/>
              </w:rPr>
              <w:t>or</w:t>
            </w:r>
            <w:r>
              <w:t xml:space="preserve"> high-performance liquid chromatography</w:t>
            </w:r>
          </w:p>
        </w:tc>
      </w:tr>
      <w:tr w:rsidR="00CF5DF7" w14:paraId="75FCDB81" w14:textId="77777777" w:rsidTr="00147233">
        <w:tc>
          <w:tcPr>
            <w:tcW w:w="1111" w:type="pct"/>
          </w:tcPr>
          <w:p w14:paraId="62C641BB" w14:textId="77777777" w:rsidR="00CF5DF7" w:rsidRDefault="00CF5DF7" w:rsidP="00147233">
            <w:pPr>
              <w:pStyle w:val="APVMATableText"/>
            </w:pPr>
            <w:r>
              <w:t>id</w:t>
            </w:r>
          </w:p>
        </w:tc>
        <w:tc>
          <w:tcPr>
            <w:tcW w:w="3889" w:type="pct"/>
            <w:gridSpan w:val="2"/>
          </w:tcPr>
          <w:p w14:paraId="6AD484F0" w14:textId="77777777" w:rsidR="00CF5DF7" w:rsidRDefault="00CF5DF7" w:rsidP="00147233">
            <w:pPr>
              <w:pStyle w:val="APVMATableText"/>
            </w:pPr>
            <w:r>
              <w:t>Intradermal</w:t>
            </w:r>
          </w:p>
        </w:tc>
      </w:tr>
      <w:tr w:rsidR="00CF5DF7" w14:paraId="2286D355" w14:textId="77777777" w:rsidTr="00147233">
        <w:tc>
          <w:tcPr>
            <w:tcW w:w="1111" w:type="pct"/>
          </w:tcPr>
          <w:p w14:paraId="007DC87F" w14:textId="77777777" w:rsidR="00CF5DF7" w:rsidRDefault="00CF5DF7" w:rsidP="00147233">
            <w:pPr>
              <w:pStyle w:val="APVMATableText"/>
            </w:pPr>
            <w:proofErr w:type="spellStart"/>
            <w:r>
              <w:t>im</w:t>
            </w:r>
            <w:proofErr w:type="spellEnd"/>
          </w:p>
        </w:tc>
        <w:tc>
          <w:tcPr>
            <w:tcW w:w="3889" w:type="pct"/>
            <w:gridSpan w:val="2"/>
          </w:tcPr>
          <w:p w14:paraId="74816183" w14:textId="77777777" w:rsidR="00CF5DF7" w:rsidRDefault="00CF5DF7" w:rsidP="00147233">
            <w:pPr>
              <w:pStyle w:val="APVMATableText"/>
            </w:pPr>
            <w:r>
              <w:t>Intramuscular</w:t>
            </w:r>
          </w:p>
        </w:tc>
      </w:tr>
      <w:tr w:rsidR="00CF5DF7" w14:paraId="63EEF1B4" w14:textId="77777777" w:rsidTr="00147233">
        <w:tc>
          <w:tcPr>
            <w:tcW w:w="1111" w:type="pct"/>
          </w:tcPr>
          <w:p w14:paraId="296622BF" w14:textId="77777777" w:rsidR="00CF5DF7" w:rsidRDefault="00CF5DF7" w:rsidP="00147233">
            <w:pPr>
              <w:pStyle w:val="APVMATableText"/>
            </w:pPr>
            <w:proofErr w:type="spellStart"/>
            <w:r>
              <w:t>ip</w:t>
            </w:r>
            <w:proofErr w:type="spellEnd"/>
          </w:p>
        </w:tc>
        <w:tc>
          <w:tcPr>
            <w:tcW w:w="3889" w:type="pct"/>
            <w:gridSpan w:val="2"/>
          </w:tcPr>
          <w:p w14:paraId="4E4FBC13" w14:textId="77777777" w:rsidR="00CF5DF7" w:rsidRDefault="00CF5DF7" w:rsidP="00147233">
            <w:pPr>
              <w:pStyle w:val="APVMATableText"/>
            </w:pPr>
            <w:r>
              <w:t>Intraperitoneal</w:t>
            </w:r>
          </w:p>
        </w:tc>
      </w:tr>
      <w:tr w:rsidR="00CF5DF7" w14:paraId="21982208" w14:textId="77777777" w:rsidTr="00147233">
        <w:tc>
          <w:tcPr>
            <w:tcW w:w="1111" w:type="pct"/>
          </w:tcPr>
          <w:p w14:paraId="60BB6732" w14:textId="77777777" w:rsidR="00CF5DF7" w:rsidRDefault="00CF5DF7" w:rsidP="00147233">
            <w:pPr>
              <w:pStyle w:val="APVMATableText"/>
            </w:pPr>
            <w:r>
              <w:t>IPM</w:t>
            </w:r>
          </w:p>
        </w:tc>
        <w:tc>
          <w:tcPr>
            <w:tcW w:w="3889" w:type="pct"/>
            <w:gridSpan w:val="2"/>
          </w:tcPr>
          <w:p w14:paraId="1072DD15" w14:textId="77777777" w:rsidR="00CF5DF7" w:rsidRDefault="00CF5DF7" w:rsidP="00147233">
            <w:pPr>
              <w:pStyle w:val="APVMATableText"/>
            </w:pPr>
            <w:r>
              <w:t>Integrated pest management</w:t>
            </w:r>
          </w:p>
        </w:tc>
      </w:tr>
      <w:tr w:rsidR="00CF5DF7" w14:paraId="35BFADED" w14:textId="77777777" w:rsidTr="00147233">
        <w:tc>
          <w:tcPr>
            <w:tcW w:w="1111" w:type="pct"/>
          </w:tcPr>
          <w:p w14:paraId="645E579C" w14:textId="77777777" w:rsidR="00CF5DF7" w:rsidRDefault="00CF5DF7" w:rsidP="00147233">
            <w:pPr>
              <w:pStyle w:val="APVMATableText"/>
              <w:rPr>
                <w:i/>
              </w:rPr>
            </w:pPr>
            <w:r>
              <w:t>iv</w:t>
            </w:r>
          </w:p>
        </w:tc>
        <w:tc>
          <w:tcPr>
            <w:tcW w:w="3889" w:type="pct"/>
            <w:gridSpan w:val="2"/>
          </w:tcPr>
          <w:p w14:paraId="1253D92F" w14:textId="77777777" w:rsidR="00CF5DF7" w:rsidRDefault="00CF5DF7" w:rsidP="00147233">
            <w:pPr>
              <w:pStyle w:val="APVMATableText"/>
            </w:pPr>
            <w:r>
              <w:t>Intravenous</w:t>
            </w:r>
          </w:p>
        </w:tc>
      </w:tr>
      <w:tr w:rsidR="00CF5DF7" w14:paraId="50568CBA" w14:textId="77777777" w:rsidTr="00147233">
        <w:tc>
          <w:tcPr>
            <w:tcW w:w="1111" w:type="pct"/>
          </w:tcPr>
          <w:p w14:paraId="15802C60" w14:textId="77777777" w:rsidR="00CF5DF7" w:rsidRPr="00AB2E66" w:rsidRDefault="00CF5DF7" w:rsidP="00147233">
            <w:pPr>
              <w:pStyle w:val="APVMATableText"/>
              <w:rPr>
                <w:i/>
                <w:iCs/>
              </w:rPr>
            </w:pPr>
            <w:r w:rsidRPr="00AB2E66">
              <w:rPr>
                <w:i/>
                <w:iCs/>
              </w:rPr>
              <w:t>in vitro</w:t>
            </w:r>
          </w:p>
        </w:tc>
        <w:tc>
          <w:tcPr>
            <w:tcW w:w="3889" w:type="pct"/>
            <w:gridSpan w:val="2"/>
          </w:tcPr>
          <w:p w14:paraId="71331917" w14:textId="77777777" w:rsidR="00CF5DF7" w:rsidRDefault="00CF5DF7" w:rsidP="00147233">
            <w:pPr>
              <w:pStyle w:val="APVMATableText"/>
            </w:pPr>
            <w:r>
              <w:t>Outside the living body and in an artificial environment</w:t>
            </w:r>
          </w:p>
        </w:tc>
      </w:tr>
      <w:tr w:rsidR="00CF5DF7" w14:paraId="54343762" w14:textId="77777777" w:rsidTr="00147233">
        <w:tc>
          <w:tcPr>
            <w:tcW w:w="1111" w:type="pct"/>
          </w:tcPr>
          <w:p w14:paraId="2361A1B3" w14:textId="77777777" w:rsidR="00CF5DF7" w:rsidRPr="00AB2E66" w:rsidRDefault="00CF5DF7" w:rsidP="00147233">
            <w:pPr>
              <w:pStyle w:val="APVMATableText"/>
              <w:rPr>
                <w:i/>
                <w:iCs/>
              </w:rPr>
            </w:pPr>
            <w:r w:rsidRPr="00AB2E66">
              <w:rPr>
                <w:i/>
                <w:iCs/>
              </w:rPr>
              <w:lastRenderedPageBreak/>
              <w:t>in vivo</w:t>
            </w:r>
          </w:p>
        </w:tc>
        <w:tc>
          <w:tcPr>
            <w:tcW w:w="3889" w:type="pct"/>
            <w:gridSpan w:val="2"/>
          </w:tcPr>
          <w:p w14:paraId="7385199B" w14:textId="77777777" w:rsidR="00CF5DF7" w:rsidRDefault="00CF5DF7" w:rsidP="00147233">
            <w:pPr>
              <w:pStyle w:val="APVMATableText"/>
            </w:pPr>
            <w:r>
              <w:t>Inside the living body of a plant or animal</w:t>
            </w:r>
          </w:p>
        </w:tc>
      </w:tr>
      <w:tr w:rsidR="00CF5DF7" w14:paraId="4E93A9C2" w14:textId="77777777" w:rsidTr="00147233">
        <w:tc>
          <w:tcPr>
            <w:tcW w:w="1111" w:type="pct"/>
          </w:tcPr>
          <w:p w14:paraId="723D8FFA" w14:textId="77777777" w:rsidR="00CF5DF7" w:rsidRDefault="00CF5DF7" w:rsidP="00147233">
            <w:pPr>
              <w:pStyle w:val="APVMATableText"/>
            </w:pPr>
            <w:r>
              <w:t>kg</w:t>
            </w:r>
          </w:p>
        </w:tc>
        <w:tc>
          <w:tcPr>
            <w:tcW w:w="3889" w:type="pct"/>
            <w:gridSpan w:val="2"/>
          </w:tcPr>
          <w:p w14:paraId="3EC960CF" w14:textId="77777777" w:rsidR="00CF5DF7" w:rsidRDefault="00CF5DF7" w:rsidP="00147233">
            <w:pPr>
              <w:pStyle w:val="APVMATableText"/>
            </w:pPr>
            <w:r>
              <w:t>Kilogram</w:t>
            </w:r>
          </w:p>
        </w:tc>
      </w:tr>
      <w:tr w:rsidR="00CF5DF7" w14:paraId="10E4CD37" w14:textId="77777777" w:rsidTr="00147233">
        <w:tc>
          <w:tcPr>
            <w:tcW w:w="1111" w:type="pct"/>
          </w:tcPr>
          <w:p w14:paraId="11E45909" w14:textId="77777777" w:rsidR="00CF5DF7" w:rsidRDefault="00CF5DF7" w:rsidP="00147233">
            <w:pPr>
              <w:pStyle w:val="APVMATableText"/>
            </w:pPr>
            <w:r>
              <w:t>K</w:t>
            </w:r>
            <w:r w:rsidRPr="009A5578">
              <w:rPr>
                <w:vertAlign w:val="subscript"/>
              </w:rPr>
              <w:t>OC</w:t>
            </w:r>
          </w:p>
        </w:tc>
        <w:tc>
          <w:tcPr>
            <w:tcW w:w="3889" w:type="pct"/>
            <w:gridSpan w:val="2"/>
          </w:tcPr>
          <w:p w14:paraId="003874C8" w14:textId="77777777" w:rsidR="00CF5DF7" w:rsidRDefault="00CF5DF7" w:rsidP="00147233">
            <w:pPr>
              <w:pStyle w:val="APVMATableText"/>
            </w:pPr>
            <w:r>
              <w:t>Organic carbon partitioning coefficient</w:t>
            </w:r>
          </w:p>
        </w:tc>
      </w:tr>
      <w:tr w:rsidR="00CF5DF7" w14:paraId="12CCD394" w14:textId="77777777" w:rsidTr="00147233">
        <w:tc>
          <w:tcPr>
            <w:tcW w:w="1111" w:type="pct"/>
          </w:tcPr>
          <w:p w14:paraId="34A15F12" w14:textId="77777777" w:rsidR="00CF5DF7" w:rsidRPr="00CF35C3" w:rsidRDefault="00CF5DF7" w:rsidP="00147233">
            <w:pPr>
              <w:pStyle w:val="APVMATableText"/>
              <w:rPr>
                <w:vertAlign w:val="subscript"/>
              </w:rPr>
            </w:pPr>
            <w:r>
              <w:t>K</w:t>
            </w:r>
            <w:r>
              <w:rPr>
                <w:vertAlign w:val="subscript"/>
              </w:rPr>
              <w:t>F</w:t>
            </w:r>
          </w:p>
        </w:tc>
        <w:tc>
          <w:tcPr>
            <w:tcW w:w="3889" w:type="pct"/>
            <w:gridSpan w:val="2"/>
          </w:tcPr>
          <w:p w14:paraId="2DC8FE34" w14:textId="77777777" w:rsidR="00CF5DF7" w:rsidRDefault="00CF5DF7" w:rsidP="00147233">
            <w:pPr>
              <w:pStyle w:val="APVMATableText"/>
            </w:pPr>
            <w:r>
              <w:t>Soil adsorption coefficient</w:t>
            </w:r>
          </w:p>
        </w:tc>
      </w:tr>
      <w:tr w:rsidR="00CF5DF7" w14:paraId="0C941A9A" w14:textId="77777777" w:rsidTr="00147233">
        <w:tc>
          <w:tcPr>
            <w:tcW w:w="1111" w:type="pct"/>
          </w:tcPr>
          <w:p w14:paraId="56DDA191" w14:textId="77777777" w:rsidR="00CF5DF7" w:rsidRDefault="00CF5DF7" w:rsidP="00147233">
            <w:pPr>
              <w:pStyle w:val="APVMATableText"/>
            </w:pPr>
            <w:r>
              <w:t>K</w:t>
            </w:r>
            <w:r w:rsidRPr="00E4789F">
              <w:rPr>
                <w:vertAlign w:val="subscript"/>
              </w:rPr>
              <w:t>FOC</w:t>
            </w:r>
          </w:p>
        </w:tc>
        <w:tc>
          <w:tcPr>
            <w:tcW w:w="3889" w:type="pct"/>
            <w:gridSpan w:val="2"/>
          </w:tcPr>
          <w:p w14:paraId="0F8C187D" w14:textId="77777777" w:rsidR="00CF5DF7" w:rsidRDefault="00CF5DF7" w:rsidP="00147233">
            <w:pPr>
              <w:pStyle w:val="APVMATableText"/>
            </w:pPr>
            <w:r>
              <w:t>Organic carbon normalized Freundlich distribution coefficient</w:t>
            </w:r>
          </w:p>
        </w:tc>
      </w:tr>
      <w:tr w:rsidR="00CF5DF7" w14:paraId="67A8F4C7" w14:textId="77777777" w:rsidTr="00147233">
        <w:tc>
          <w:tcPr>
            <w:tcW w:w="1111" w:type="pct"/>
          </w:tcPr>
          <w:p w14:paraId="28CD3959" w14:textId="77777777" w:rsidR="00CF5DF7" w:rsidRDefault="00CF5DF7" w:rsidP="00147233">
            <w:pPr>
              <w:pStyle w:val="APVMATableText"/>
            </w:pPr>
            <w:r>
              <w:t>L</w:t>
            </w:r>
          </w:p>
        </w:tc>
        <w:tc>
          <w:tcPr>
            <w:tcW w:w="3889" w:type="pct"/>
            <w:gridSpan w:val="2"/>
          </w:tcPr>
          <w:p w14:paraId="641DD609" w14:textId="77777777" w:rsidR="00CF5DF7" w:rsidRDefault="00CF5DF7" w:rsidP="00147233">
            <w:pPr>
              <w:pStyle w:val="APVMATableText"/>
            </w:pPr>
            <w:r>
              <w:t>Litre</w:t>
            </w:r>
          </w:p>
        </w:tc>
      </w:tr>
      <w:tr w:rsidR="00CF5DF7" w14:paraId="04872B16" w14:textId="77777777" w:rsidTr="00147233">
        <w:tc>
          <w:tcPr>
            <w:tcW w:w="1111" w:type="pct"/>
          </w:tcPr>
          <w:p w14:paraId="57C36A81" w14:textId="77777777" w:rsidR="00CF5DF7" w:rsidRDefault="00CF5DF7" w:rsidP="00147233">
            <w:pPr>
              <w:pStyle w:val="APVMATableText"/>
              <w:rPr>
                <w:i/>
              </w:rPr>
            </w:pPr>
            <w:r>
              <w:t>LC</w:t>
            </w:r>
            <w:r>
              <w:rPr>
                <w:vertAlign w:val="subscript"/>
              </w:rPr>
              <w:t>50</w:t>
            </w:r>
          </w:p>
        </w:tc>
        <w:tc>
          <w:tcPr>
            <w:tcW w:w="3889" w:type="pct"/>
            <w:gridSpan w:val="2"/>
          </w:tcPr>
          <w:p w14:paraId="7ED9CC7F" w14:textId="77777777" w:rsidR="00CF5DF7" w:rsidRDefault="00CF5DF7" w:rsidP="00147233">
            <w:pPr>
              <w:pStyle w:val="APVMATableText"/>
            </w:pPr>
            <w:r>
              <w:t>Concentration that kills 50% of the test population of organisms</w:t>
            </w:r>
          </w:p>
        </w:tc>
      </w:tr>
      <w:tr w:rsidR="00CF5DF7" w14:paraId="20048571" w14:textId="77777777" w:rsidTr="00147233">
        <w:tc>
          <w:tcPr>
            <w:tcW w:w="1111" w:type="pct"/>
          </w:tcPr>
          <w:p w14:paraId="508CA3B6" w14:textId="77777777" w:rsidR="00CF5DF7" w:rsidRDefault="00CF5DF7" w:rsidP="00147233">
            <w:pPr>
              <w:pStyle w:val="APVMATableText"/>
            </w:pPr>
            <w:r>
              <w:t>LD</w:t>
            </w:r>
            <w:r>
              <w:rPr>
                <w:vertAlign w:val="subscript"/>
              </w:rPr>
              <w:t>50</w:t>
            </w:r>
          </w:p>
        </w:tc>
        <w:tc>
          <w:tcPr>
            <w:tcW w:w="3889" w:type="pct"/>
            <w:gridSpan w:val="2"/>
          </w:tcPr>
          <w:p w14:paraId="3E716A37" w14:textId="77777777" w:rsidR="00CF5DF7" w:rsidRDefault="00CF5DF7" w:rsidP="00147233">
            <w:pPr>
              <w:pStyle w:val="APVMATableText"/>
            </w:pPr>
            <w:r>
              <w:t>Dosage of chemical that kills 50% of the test population of organisms</w:t>
            </w:r>
          </w:p>
        </w:tc>
      </w:tr>
      <w:tr w:rsidR="00CF5DF7" w14:paraId="2D71158D" w14:textId="77777777" w:rsidTr="00147233">
        <w:tc>
          <w:tcPr>
            <w:tcW w:w="1111" w:type="pct"/>
          </w:tcPr>
          <w:p w14:paraId="68800223" w14:textId="77777777" w:rsidR="00CF5DF7" w:rsidRDefault="00CF5DF7" w:rsidP="00147233">
            <w:pPr>
              <w:pStyle w:val="APVMATableText"/>
            </w:pPr>
            <w:r>
              <w:t>LLNA</w:t>
            </w:r>
          </w:p>
        </w:tc>
        <w:tc>
          <w:tcPr>
            <w:tcW w:w="3889" w:type="pct"/>
            <w:gridSpan w:val="2"/>
          </w:tcPr>
          <w:p w14:paraId="11DEDA80" w14:textId="77777777" w:rsidR="00CF5DF7" w:rsidRDefault="00CF5DF7" w:rsidP="00147233">
            <w:pPr>
              <w:pStyle w:val="APVMATableText"/>
            </w:pPr>
            <w:r>
              <w:t>Local lymph node assay</w:t>
            </w:r>
          </w:p>
        </w:tc>
      </w:tr>
      <w:tr w:rsidR="006543E8" w14:paraId="11FC2758" w14:textId="77777777" w:rsidTr="00147233">
        <w:tc>
          <w:tcPr>
            <w:tcW w:w="1111" w:type="pct"/>
          </w:tcPr>
          <w:p w14:paraId="2A9668BA" w14:textId="66F41F77" w:rsidR="006543E8" w:rsidRDefault="006543E8" w:rsidP="00147233">
            <w:pPr>
              <w:pStyle w:val="APVMATableText"/>
            </w:pPr>
            <w:r>
              <w:t>LOAEC</w:t>
            </w:r>
          </w:p>
        </w:tc>
        <w:tc>
          <w:tcPr>
            <w:tcW w:w="3889" w:type="pct"/>
            <w:gridSpan w:val="2"/>
          </w:tcPr>
          <w:p w14:paraId="673C5E57" w14:textId="713B6D74" w:rsidR="006543E8" w:rsidRDefault="006543E8" w:rsidP="00147233">
            <w:pPr>
              <w:pStyle w:val="APVMATableText"/>
            </w:pPr>
            <w:r>
              <w:t>Lowest Observed Adverse Effect Concentration</w:t>
            </w:r>
          </w:p>
        </w:tc>
      </w:tr>
      <w:tr w:rsidR="00CF5DF7" w14:paraId="054E83BF" w14:textId="77777777" w:rsidTr="00147233">
        <w:tc>
          <w:tcPr>
            <w:tcW w:w="1111" w:type="pct"/>
          </w:tcPr>
          <w:p w14:paraId="66548CC6" w14:textId="77777777" w:rsidR="00CF5DF7" w:rsidRDefault="00CF5DF7" w:rsidP="00147233">
            <w:pPr>
              <w:pStyle w:val="APVMATableText"/>
            </w:pPr>
            <w:r>
              <w:t>LOD</w:t>
            </w:r>
          </w:p>
        </w:tc>
        <w:tc>
          <w:tcPr>
            <w:tcW w:w="3889" w:type="pct"/>
            <w:gridSpan w:val="2"/>
          </w:tcPr>
          <w:p w14:paraId="54A97DDE" w14:textId="77777777" w:rsidR="00CF5DF7" w:rsidRDefault="00CF5DF7" w:rsidP="00147233">
            <w:pPr>
              <w:pStyle w:val="APVMATableText"/>
            </w:pPr>
            <w:r>
              <w:t>Limit of Detection – level at which residues can be detected</w:t>
            </w:r>
          </w:p>
        </w:tc>
      </w:tr>
      <w:tr w:rsidR="00CF5DF7" w14:paraId="2DAEDEE8" w14:textId="77777777" w:rsidTr="00147233">
        <w:trPr>
          <w:gridAfter w:val="1"/>
          <w:wAfter w:w="93" w:type="pct"/>
        </w:trPr>
        <w:tc>
          <w:tcPr>
            <w:tcW w:w="1111" w:type="pct"/>
          </w:tcPr>
          <w:p w14:paraId="3020DE8D" w14:textId="77777777" w:rsidR="00CF5DF7" w:rsidRDefault="00CF5DF7" w:rsidP="00147233">
            <w:pPr>
              <w:pStyle w:val="APVMATableText"/>
            </w:pPr>
            <w:r>
              <w:t>Log K</w:t>
            </w:r>
            <w:r w:rsidRPr="009A5578">
              <w:rPr>
                <w:vertAlign w:val="subscript"/>
              </w:rPr>
              <w:t>OW</w:t>
            </w:r>
          </w:p>
        </w:tc>
        <w:tc>
          <w:tcPr>
            <w:tcW w:w="3796" w:type="pct"/>
          </w:tcPr>
          <w:p w14:paraId="7806887B" w14:textId="77777777" w:rsidR="00CF5DF7" w:rsidRDefault="00CF5DF7" w:rsidP="00147233">
            <w:pPr>
              <w:pStyle w:val="APVMATableText"/>
            </w:pPr>
            <w:r>
              <w:t>Log to base 10 of octanol water partitioning co-efficient, synonym P</w:t>
            </w:r>
            <w:r w:rsidRPr="009A5578">
              <w:rPr>
                <w:vertAlign w:val="subscript"/>
              </w:rPr>
              <w:t>OW</w:t>
            </w:r>
          </w:p>
        </w:tc>
      </w:tr>
      <w:tr w:rsidR="00CF5DF7" w14:paraId="51041F83" w14:textId="77777777" w:rsidTr="00147233">
        <w:tc>
          <w:tcPr>
            <w:tcW w:w="1111" w:type="pct"/>
          </w:tcPr>
          <w:p w14:paraId="28AA2673" w14:textId="77777777" w:rsidR="00CF5DF7" w:rsidRDefault="00CF5DF7" w:rsidP="00147233">
            <w:pPr>
              <w:pStyle w:val="APVMATableText"/>
            </w:pPr>
            <w:r>
              <w:t>LOQ</w:t>
            </w:r>
          </w:p>
        </w:tc>
        <w:tc>
          <w:tcPr>
            <w:tcW w:w="3889" w:type="pct"/>
            <w:gridSpan w:val="2"/>
          </w:tcPr>
          <w:p w14:paraId="2291DE26" w14:textId="77777777" w:rsidR="00CF5DF7" w:rsidRDefault="00CF5DF7" w:rsidP="00147233">
            <w:pPr>
              <w:pStyle w:val="APVMATableText"/>
            </w:pPr>
            <w:r>
              <w:t>Limit of Quantitation – level at which residues can be quantified</w:t>
            </w:r>
          </w:p>
        </w:tc>
      </w:tr>
      <w:tr w:rsidR="00CF5DF7" w14:paraId="3AE64AC1" w14:textId="77777777" w:rsidTr="00147233">
        <w:tc>
          <w:tcPr>
            <w:tcW w:w="1111" w:type="pct"/>
          </w:tcPr>
          <w:p w14:paraId="2639B7E9" w14:textId="77777777" w:rsidR="00CF5DF7" w:rsidRDefault="00CF5DF7" w:rsidP="00147233">
            <w:pPr>
              <w:pStyle w:val="APVMATableText"/>
            </w:pPr>
            <w:r>
              <w:t>mg</w:t>
            </w:r>
          </w:p>
        </w:tc>
        <w:tc>
          <w:tcPr>
            <w:tcW w:w="3889" w:type="pct"/>
            <w:gridSpan w:val="2"/>
          </w:tcPr>
          <w:p w14:paraId="0F513EE3" w14:textId="77777777" w:rsidR="00CF5DF7" w:rsidRDefault="00CF5DF7" w:rsidP="00147233">
            <w:pPr>
              <w:pStyle w:val="APVMATableText"/>
            </w:pPr>
            <w:r>
              <w:t>Milligram</w:t>
            </w:r>
          </w:p>
        </w:tc>
      </w:tr>
      <w:tr w:rsidR="00CF5DF7" w14:paraId="6AAD4BFA" w14:textId="77777777" w:rsidTr="00147233">
        <w:tc>
          <w:tcPr>
            <w:tcW w:w="1111" w:type="pct"/>
          </w:tcPr>
          <w:p w14:paraId="2FCEA21C" w14:textId="77777777" w:rsidR="00CF5DF7" w:rsidRDefault="00CF5DF7" w:rsidP="00147233">
            <w:pPr>
              <w:pStyle w:val="APVMATableText"/>
            </w:pPr>
            <w:r>
              <w:t>mL</w:t>
            </w:r>
          </w:p>
        </w:tc>
        <w:tc>
          <w:tcPr>
            <w:tcW w:w="3889" w:type="pct"/>
            <w:gridSpan w:val="2"/>
          </w:tcPr>
          <w:p w14:paraId="252DD767" w14:textId="77777777" w:rsidR="00CF5DF7" w:rsidRDefault="00CF5DF7" w:rsidP="00147233">
            <w:pPr>
              <w:pStyle w:val="APVMATableText"/>
            </w:pPr>
            <w:r>
              <w:t>Millilitre</w:t>
            </w:r>
          </w:p>
        </w:tc>
      </w:tr>
      <w:tr w:rsidR="00CF5DF7" w14:paraId="6FB43F31" w14:textId="77777777" w:rsidTr="00147233">
        <w:tc>
          <w:tcPr>
            <w:tcW w:w="1111" w:type="pct"/>
          </w:tcPr>
          <w:p w14:paraId="1548B38E" w14:textId="77777777" w:rsidR="00CF5DF7" w:rsidRDefault="00CF5DF7" w:rsidP="00147233">
            <w:pPr>
              <w:pStyle w:val="APVMATableText"/>
            </w:pPr>
            <w:r>
              <w:t>MRL</w:t>
            </w:r>
          </w:p>
        </w:tc>
        <w:tc>
          <w:tcPr>
            <w:tcW w:w="3889" w:type="pct"/>
            <w:gridSpan w:val="2"/>
          </w:tcPr>
          <w:p w14:paraId="211CFA1F" w14:textId="77777777" w:rsidR="00CF5DF7" w:rsidRDefault="00CF5DF7" w:rsidP="00147233">
            <w:pPr>
              <w:pStyle w:val="APVMATableText"/>
            </w:pPr>
            <w:r>
              <w:t>Maximum residue limit</w:t>
            </w:r>
          </w:p>
        </w:tc>
      </w:tr>
      <w:tr w:rsidR="00CF5DF7" w14:paraId="60412097" w14:textId="77777777" w:rsidTr="00147233">
        <w:tc>
          <w:tcPr>
            <w:tcW w:w="1111" w:type="pct"/>
          </w:tcPr>
          <w:p w14:paraId="70E92306" w14:textId="77777777" w:rsidR="00CF5DF7" w:rsidRDefault="00CF5DF7" w:rsidP="00147233">
            <w:pPr>
              <w:pStyle w:val="APVMATableText"/>
            </w:pPr>
            <w:r>
              <w:t>MSDS</w:t>
            </w:r>
          </w:p>
        </w:tc>
        <w:tc>
          <w:tcPr>
            <w:tcW w:w="3889" w:type="pct"/>
            <w:gridSpan w:val="2"/>
          </w:tcPr>
          <w:p w14:paraId="3AF1907F" w14:textId="77777777" w:rsidR="00CF5DF7" w:rsidRDefault="00CF5DF7" w:rsidP="00147233">
            <w:pPr>
              <w:pStyle w:val="APVMATableText"/>
            </w:pPr>
            <w:r>
              <w:t>Material Safety Data Sheet</w:t>
            </w:r>
          </w:p>
        </w:tc>
      </w:tr>
      <w:tr w:rsidR="00CF5DF7" w14:paraId="1263D672" w14:textId="77777777" w:rsidTr="00147233">
        <w:tc>
          <w:tcPr>
            <w:tcW w:w="1111" w:type="pct"/>
          </w:tcPr>
          <w:p w14:paraId="3D8C337F" w14:textId="77777777" w:rsidR="00CF5DF7" w:rsidRDefault="00CF5DF7" w:rsidP="00147233">
            <w:pPr>
              <w:pStyle w:val="APVMATableText"/>
            </w:pPr>
            <w:r>
              <w:t>NEDI</w:t>
            </w:r>
          </w:p>
        </w:tc>
        <w:tc>
          <w:tcPr>
            <w:tcW w:w="3889" w:type="pct"/>
            <w:gridSpan w:val="2"/>
          </w:tcPr>
          <w:p w14:paraId="46A06587" w14:textId="77777777" w:rsidR="00CF5DF7" w:rsidRDefault="00CF5DF7" w:rsidP="00147233">
            <w:pPr>
              <w:pStyle w:val="APVMATableText"/>
            </w:pPr>
            <w:r>
              <w:t>National Estimated Daily Intake</w:t>
            </w:r>
          </w:p>
        </w:tc>
      </w:tr>
      <w:tr w:rsidR="00CF5DF7" w14:paraId="2EDFE5D4" w14:textId="77777777" w:rsidTr="00147233">
        <w:tc>
          <w:tcPr>
            <w:tcW w:w="1111" w:type="pct"/>
          </w:tcPr>
          <w:p w14:paraId="1B268432" w14:textId="77777777" w:rsidR="00CF5DF7" w:rsidRDefault="00CF5DF7" w:rsidP="00147233">
            <w:pPr>
              <w:pStyle w:val="APVMATableText"/>
            </w:pPr>
            <w:r>
              <w:t>NESTI</w:t>
            </w:r>
          </w:p>
        </w:tc>
        <w:tc>
          <w:tcPr>
            <w:tcW w:w="3889" w:type="pct"/>
            <w:gridSpan w:val="2"/>
          </w:tcPr>
          <w:p w14:paraId="2FAA2F28" w14:textId="77777777" w:rsidR="00CF5DF7" w:rsidRDefault="00CF5DF7" w:rsidP="00147233">
            <w:pPr>
              <w:pStyle w:val="APVMATableText"/>
            </w:pPr>
            <w:r>
              <w:t>National Estimated Short-Term Intake</w:t>
            </w:r>
          </w:p>
        </w:tc>
      </w:tr>
      <w:tr w:rsidR="00CF5DF7" w14:paraId="2FACDD74" w14:textId="77777777" w:rsidTr="00147233">
        <w:tc>
          <w:tcPr>
            <w:tcW w:w="1111" w:type="pct"/>
          </w:tcPr>
          <w:p w14:paraId="5E80B6C1" w14:textId="77777777" w:rsidR="00CF5DF7" w:rsidRDefault="00CF5DF7" w:rsidP="00147233">
            <w:pPr>
              <w:pStyle w:val="APVMATableText"/>
            </w:pPr>
            <w:r>
              <w:t>ng</w:t>
            </w:r>
          </w:p>
        </w:tc>
        <w:tc>
          <w:tcPr>
            <w:tcW w:w="3889" w:type="pct"/>
            <w:gridSpan w:val="2"/>
          </w:tcPr>
          <w:p w14:paraId="0AEFE18F" w14:textId="77777777" w:rsidR="00CF5DF7" w:rsidRDefault="00CF5DF7" w:rsidP="00147233">
            <w:pPr>
              <w:pStyle w:val="APVMATableText"/>
            </w:pPr>
            <w:r>
              <w:t>Nanogram</w:t>
            </w:r>
          </w:p>
        </w:tc>
      </w:tr>
      <w:tr w:rsidR="00CF5DF7" w14:paraId="1749A919" w14:textId="77777777" w:rsidTr="00147233">
        <w:tc>
          <w:tcPr>
            <w:tcW w:w="1111" w:type="pct"/>
          </w:tcPr>
          <w:p w14:paraId="15B86EF4" w14:textId="77777777" w:rsidR="00CF5DF7" w:rsidRDefault="00CF5DF7" w:rsidP="00147233">
            <w:pPr>
              <w:pStyle w:val="APVMATableText"/>
            </w:pPr>
            <w:r>
              <w:t>NHMRC</w:t>
            </w:r>
          </w:p>
        </w:tc>
        <w:tc>
          <w:tcPr>
            <w:tcW w:w="3889" w:type="pct"/>
            <w:gridSpan w:val="2"/>
          </w:tcPr>
          <w:p w14:paraId="5F8548E0" w14:textId="77777777" w:rsidR="00CF5DF7" w:rsidRDefault="00CF5DF7" w:rsidP="00147233">
            <w:pPr>
              <w:pStyle w:val="APVMATableText"/>
            </w:pPr>
            <w:r>
              <w:t>National Health and Medical Research Council</w:t>
            </w:r>
          </w:p>
        </w:tc>
      </w:tr>
      <w:tr w:rsidR="00CF5DF7" w14:paraId="73008EF4" w14:textId="77777777" w:rsidTr="00147233">
        <w:tc>
          <w:tcPr>
            <w:tcW w:w="1111" w:type="pct"/>
          </w:tcPr>
          <w:p w14:paraId="7FE8D0E3" w14:textId="77777777" w:rsidR="00CF5DF7" w:rsidRDefault="00CF5DF7" w:rsidP="00147233">
            <w:pPr>
              <w:pStyle w:val="APVMATableText"/>
            </w:pPr>
            <w:r>
              <w:t>NOEC/NOEL</w:t>
            </w:r>
          </w:p>
        </w:tc>
        <w:tc>
          <w:tcPr>
            <w:tcW w:w="3889" w:type="pct"/>
            <w:gridSpan w:val="2"/>
          </w:tcPr>
          <w:p w14:paraId="21A28622" w14:textId="77777777" w:rsidR="00CF5DF7" w:rsidRDefault="00CF5DF7" w:rsidP="00147233">
            <w:pPr>
              <w:pStyle w:val="APVMATableText"/>
            </w:pPr>
            <w:r>
              <w:t>No observable effect concentration level</w:t>
            </w:r>
          </w:p>
        </w:tc>
      </w:tr>
      <w:tr w:rsidR="00CF5DF7" w14:paraId="702995FE" w14:textId="77777777" w:rsidTr="00147233">
        <w:tc>
          <w:tcPr>
            <w:tcW w:w="1111" w:type="pct"/>
          </w:tcPr>
          <w:p w14:paraId="77792737" w14:textId="77777777" w:rsidR="00CF5DF7" w:rsidRDefault="00CF5DF7" w:rsidP="00147233">
            <w:pPr>
              <w:pStyle w:val="APVMATableText"/>
            </w:pPr>
            <w:r>
              <w:t>NOAEL</w:t>
            </w:r>
          </w:p>
        </w:tc>
        <w:tc>
          <w:tcPr>
            <w:tcW w:w="3889" w:type="pct"/>
            <w:gridSpan w:val="2"/>
          </w:tcPr>
          <w:p w14:paraId="7DE25D7E" w14:textId="77777777" w:rsidR="00CF5DF7" w:rsidRDefault="00CF5DF7" w:rsidP="00147233">
            <w:pPr>
              <w:pStyle w:val="APVMATableText"/>
            </w:pPr>
            <w:r>
              <w:t>No observed adverse effect level</w:t>
            </w:r>
          </w:p>
        </w:tc>
      </w:tr>
      <w:tr w:rsidR="00CF5DF7" w14:paraId="0B707379" w14:textId="77777777" w:rsidTr="00147233">
        <w:tc>
          <w:tcPr>
            <w:tcW w:w="1111" w:type="pct"/>
          </w:tcPr>
          <w:p w14:paraId="066C2EC8" w14:textId="77777777" w:rsidR="00CF5DF7" w:rsidRDefault="00CF5DF7" w:rsidP="00147233">
            <w:pPr>
              <w:pStyle w:val="APVMATableText"/>
            </w:pPr>
            <w:r>
              <w:t>OC</w:t>
            </w:r>
          </w:p>
        </w:tc>
        <w:tc>
          <w:tcPr>
            <w:tcW w:w="3889" w:type="pct"/>
            <w:gridSpan w:val="2"/>
          </w:tcPr>
          <w:p w14:paraId="7F4B6BB8" w14:textId="77777777" w:rsidR="00CF5DF7" w:rsidRDefault="00CF5DF7" w:rsidP="00147233">
            <w:pPr>
              <w:pStyle w:val="APVMATableText"/>
            </w:pPr>
            <w:r>
              <w:t>Organic carbon</w:t>
            </w:r>
          </w:p>
        </w:tc>
      </w:tr>
      <w:tr w:rsidR="00CF5DF7" w14:paraId="13939D9F" w14:textId="77777777" w:rsidTr="00147233">
        <w:tc>
          <w:tcPr>
            <w:tcW w:w="1111" w:type="pct"/>
          </w:tcPr>
          <w:p w14:paraId="740AA5B9" w14:textId="77777777" w:rsidR="00CF5DF7" w:rsidRDefault="00CF5DF7" w:rsidP="00147233">
            <w:pPr>
              <w:pStyle w:val="APVMATableText"/>
            </w:pPr>
            <w:r>
              <w:t xml:space="preserve">OM </w:t>
            </w:r>
          </w:p>
        </w:tc>
        <w:tc>
          <w:tcPr>
            <w:tcW w:w="3889" w:type="pct"/>
            <w:gridSpan w:val="2"/>
          </w:tcPr>
          <w:p w14:paraId="57848FF5" w14:textId="77777777" w:rsidR="00CF5DF7" w:rsidRDefault="00CF5DF7" w:rsidP="00147233">
            <w:pPr>
              <w:pStyle w:val="APVMATableText"/>
            </w:pPr>
            <w:r>
              <w:t>Organic matter</w:t>
            </w:r>
          </w:p>
        </w:tc>
      </w:tr>
      <w:tr w:rsidR="00CF5DF7" w14:paraId="30A35492" w14:textId="77777777" w:rsidTr="00147233">
        <w:tc>
          <w:tcPr>
            <w:tcW w:w="1111" w:type="pct"/>
          </w:tcPr>
          <w:p w14:paraId="21129AA8" w14:textId="77777777" w:rsidR="00CF5DF7" w:rsidRDefault="00CF5DF7" w:rsidP="00147233">
            <w:pPr>
              <w:pStyle w:val="APVMATableText"/>
            </w:pPr>
            <w:r>
              <w:t>PAI</w:t>
            </w:r>
          </w:p>
        </w:tc>
        <w:tc>
          <w:tcPr>
            <w:tcW w:w="3889" w:type="pct"/>
            <w:gridSpan w:val="2"/>
          </w:tcPr>
          <w:p w14:paraId="61C3D3DB" w14:textId="77777777" w:rsidR="00CF5DF7" w:rsidRDefault="00CF5DF7" w:rsidP="00147233">
            <w:pPr>
              <w:pStyle w:val="APVMATableText"/>
            </w:pPr>
            <w:r>
              <w:t>Purified active ingredient</w:t>
            </w:r>
          </w:p>
        </w:tc>
      </w:tr>
      <w:tr w:rsidR="00CF5DF7" w14:paraId="73749D78" w14:textId="77777777" w:rsidTr="00147233">
        <w:tc>
          <w:tcPr>
            <w:tcW w:w="1111" w:type="pct"/>
          </w:tcPr>
          <w:p w14:paraId="04F040FB" w14:textId="77777777" w:rsidR="00CF5DF7" w:rsidRDefault="00CF5DF7" w:rsidP="00147233">
            <w:pPr>
              <w:pStyle w:val="APVMATableText"/>
            </w:pPr>
            <w:r>
              <w:t>PND</w:t>
            </w:r>
          </w:p>
        </w:tc>
        <w:tc>
          <w:tcPr>
            <w:tcW w:w="3889" w:type="pct"/>
            <w:gridSpan w:val="2"/>
          </w:tcPr>
          <w:p w14:paraId="0FF98BCB" w14:textId="77777777" w:rsidR="00CF5DF7" w:rsidRDefault="00CF5DF7" w:rsidP="00147233">
            <w:pPr>
              <w:pStyle w:val="APVMATableText"/>
            </w:pPr>
            <w:r>
              <w:t>Post-natal Day</w:t>
            </w:r>
          </w:p>
        </w:tc>
      </w:tr>
      <w:tr w:rsidR="00EA7EEA" w14:paraId="4B0F5990" w14:textId="77777777" w:rsidTr="00147233">
        <w:tc>
          <w:tcPr>
            <w:tcW w:w="1111" w:type="pct"/>
          </w:tcPr>
          <w:p w14:paraId="63BFE869" w14:textId="7F34EAFF" w:rsidR="00EA7EEA" w:rsidRDefault="00EA7EEA" w:rsidP="00147233">
            <w:pPr>
              <w:pStyle w:val="APVMATableText"/>
            </w:pPr>
            <w:r>
              <w:lastRenderedPageBreak/>
              <w:t>POD</w:t>
            </w:r>
          </w:p>
        </w:tc>
        <w:tc>
          <w:tcPr>
            <w:tcW w:w="3889" w:type="pct"/>
            <w:gridSpan w:val="2"/>
          </w:tcPr>
          <w:p w14:paraId="5443E0AE" w14:textId="3CD79695" w:rsidR="00EA7EEA" w:rsidRDefault="00EA7EEA" w:rsidP="00147233">
            <w:pPr>
              <w:pStyle w:val="APVMATableText"/>
            </w:pPr>
            <w:r>
              <w:t>Point of Departure</w:t>
            </w:r>
          </w:p>
        </w:tc>
      </w:tr>
      <w:tr w:rsidR="00CF5DF7" w14:paraId="2710B8B0" w14:textId="77777777" w:rsidTr="00147233">
        <w:tc>
          <w:tcPr>
            <w:tcW w:w="1111" w:type="pct"/>
          </w:tcPr>
          <w:p w14:paraId="5BCA03AC" w14:textId="77777777" w:rsidR="00CF5DF7" w:rsidRDefault="00CF5DF7" w:rsidP="00147233">
            <w:pPr>
              <w:pStyle w:val="APVMATableText"/>
            </w:pPr>
            <w:r>
              <w:t>po</w:t>
            </w:r>
          </w:p>
        </w:tc>
        <w:tc>
          <w:tcPr>
            <w:tcW w:w="3889" w:type="pct"/>
            <w:gridSpan w:val="2"/>
          </w:tcPr>
          <w:p w14:paraId="6FFBB9B8" w14:textId="77777777" w:rsidR="00CF5DF7" w:rsidRDefault="00CF5DF7" w:rsidP="00147233">
            <w:pPr>
              <w:pStyle w:val="APVMATableText"/>
            </w:pPr>
            <w:r>
              <w:t>Oral</w:t>
            </w:r>
          </w:p>
        </w:tc>
      </w:tr>
      <w:tr w:rsidR="00CF5DF7" w14:paraId="601F1E0C" w14:textId="77777777" w:rsidTr="00147233">
        <w:tc>
          <w:tcPr>
            <w:tcW w:w="1111" w:type="pct"/>
          </w:tcPr>
          <w:p w14:paraId="478A00B1" w14:textId="77777777" w:rsidR="00CF5DF7" w:rsidRDefault="00CF5DF7" w:rsidP="00147233">
            <w:pPr>
              <w:pStyle w:val="APVMATableText"/>
            </w:pPr>
            <w:r>
              <w:t>ppb</w:t>
            </w:r>
          </w:p>
        </w:tc>
        <w:tc>
          <w:tcPr>
            <w:tcW w:w="3889" w:type="pct"/>
            <w:gridSpan w:val="2"/>
          </w:tcPr>
          <w:p w14:paraId="14496E74" w14:textId="77777777" w:rsidR="00CF5DF7" w:rsidRDefault="00CF5DF7" w:rsidP="00147233">
            <w:pPr>
              <w:pStyle w:val="APVMATableText"/>
            </w:pPr>
            <w:r>
              <w:t>Parts per billion</w:t>
            </w:r>
          </w:p>
        </w:tc>
      </w:tr>
      <w:tr w:rsidR="00CF5DF7" w14:paraId="1E6AF792" w14:textId="77777777" w:rsidTr="00147233">
        <w:tc>
          <w:tcPr>
            <w:tcW w:w="1111" w:type="pct"/>
          </w:tcPr>
          <w:p w14:paraId="24D09E42" w14:textId="77777777" w:rsidR="00CF5DF7" w:rsidRDefault="00CF5DF7" w:rsidP="00147233">
            <w:pPr>
              <w:pStyle w:val="APVMATableText"/>
            </w:pPr>
            <w:r>
              <w:t>PPE</w:t>
            </w:r>
          </w:p>
        </w:tc>
        <w:tc>
          <w:tcPr>
            <w:tcW w:w="3889" w:type="pct"/>
            <w:gridSpan w:val="2"/>
          </w:tcPr>
          <w:p w14:paraId="72541307" w14:textId="77777777" w:rsidR="00CF5DF7" w:rsidRDefault="00CF5DF7" w:rsidP="00147233">
            <w:pPr>
              <w:pStyle w:val="APVMATableText"/>
            </w:pPr>
            <w:r>
              <w:t>Personal protective equipment</w:t>
            </w:r>
          </w:p>
        </w:tc>
      </w:tr>
      <w:tr w:rsidR="00CF5DF7" w14:paraId="5BDF0474" w14:textId="77777777" w:rsidTr="00147233">
        <w:tc>
          <w:tcPr>
            <w:tcW w:w="1111" w:type="pct"/>
          </w:tcPr>
          <w:p w14:paraId="08A8519E" w14:textId="77777777" w:rsidR="00CF5DF7" w:rsidRDefault="00CF5DF7" w:rsidP="00147233">
            <w:pPr>
              <w:pStyle w:val="APVMATableText"/>
            </w:pPr>
            <w:r>
              <w:t>ppm</w:t>
            </w:r>
          </w:p>
        </w:tc>
        <w:tc>
          <w:tcPr>
            <w:tcW w:w="3889" w:type="pct"/>
            <w:gridSpan w:val="2"/>
          </w:tcPr>
          <w:p w14:paraId="3C4FC901" w14:textId="77777777" w:rsidR="00CF5DF7" w:rsidRDefault="00CF5DF7" w:rsidP="00147233">
            <w:pPr>
              <w:pStyle w:val="APVMATableText"/>
            </w:pPr>
            <w:r>
              <w:t>Parts per million</w:t>
            </w:r>
          </w:p>
        </w:tc>
      </w:tr>
      <w:tr w:rsidR="00CF5DF7" w14:paraId="7679D396" w14:textId="77777777" w:rsidTr="00147233">
        <w:tc>
          <w:tcPr>
            <w:tcW w:w="1111" w:type="pct"/>
          </w:tcPr>
          <w:p w14:paraId="15BAAEDC" w14:textId="77777777" w:rsidR="00CF5DF7" w:rsidRDefault="00CF5DF7" w:rsidP="00147233">
            <w:pPr>
              <w:pStyle w:val="APVMATableText"/>
            </w:pPr>
            <w:r>
              <w:t>QT</w:t>
            </w:r>
          </w:p>
        </w:tc>
        <w:tc>
          <w:tcPr>
            <w:tcW w:w="3889" w:type="pct"/>
            <w:gridSpan w:val="2"/>
          </w:tcPr>
          <w:p w14:paraId="35D2E3CC" w14:textId="77777777" w:rsidR="00CF5DF7" w:rsidRDefault="00CF5DF7" w:rsidP="00147233">
            <w:pPr>
              <w:pStyle w:val="APVMATableText"/>
            </w:pPr>
            <w:r>
              <w:t>Time from the start of the Q wave to the end of a T wave on an electrocardiogram. It represents time taken for ventricular depolarisation and repolarisation or the period of ventricular systole from ventricular isovolumetric contraction to isovolumetric relaxation.</w:t>
            </w:r>
          </w:p>
        </w:tc>
      </w:tr>
      <w:tr w:rsidR="00CF5DF7" w14:paraId="2E0C28A7" w14:textId="77777777" w:rsidTr="00147233">
        <w:tc>
          <w:tcPr>
            <w:tcW w:w="1111" w:type="pct"/>
          </w:tcPr>
          <w:p w14:paraId="3AB71076" w14:textId="77777777" w:rsidR="00CF5DF7" w:rsidRDefault="00CF5DF7" w:rsidP="00147233">
            <w:pPr>
              <w:pStyle w:val="APVMATableText"/>
            </w:pPr>
            <w:r>
              <w:t>Q-value</w:t>
            </w:r>
          </w:p>
        </w:tc>
        <w:tc>
          <w:tcPr>
            <w:tcW w:w="3889" w:type="pct"/>
            <w:gridSpan w:val="2"/>
          </w:tcPr>
          <w:p w14:paraId="1BFF5929" w14:textId="77777777" w:rsidR="00CF5DF7" w:rsidRDefault="00CF5DF7" w:rsidP="00147233">
            <w:pPr>
              <w:pStyle w:val="APVMATableText"/>
            </w:pPr>
            <w:r>
              <w:t>Quotient-value</w:t>
            </w:r>
          </w:p>
        </w:tc>
      </w:tr>
      <w:tr w:rsidR="00CF5DF7" w14:paraId="496199AE" w14:textId="77777777" w:rsidTr="00147233">
        <w:tc>
          <w:tcPr>
            <w:tcW w:w="1111" w:type="pct"/>
          </w:tcPr>
          <w:p w14:paraId="23804F55" w14:textId="77777777" w:rsidR="00CF5DF7" w:rsidRDefault="00CF5DF7" w:rsidP="00147233">
            <w:pPr>
              <w:pStyle w:val="APVMATableText"/>
            </w:pPr>
            <w:r>
              <w:t>RAL</w:t>
            </w:r>
          </w:p>
        </w:tc>
        <w:tc>
          <w:tcPr>
            <w:tcW w:w="3889" w:type="pct"/>
            <w:gridSpan w:val="2"/>
          </w:tcPr>
          <w:p w14:paraId="0C70405B" w14:textId="77777777" w:rsidR="00CF5DF7" w:rsidRDefault="00CF5DF7" w:rsidP="00147233">
            <w:pPr>
              <w:pStyle w:val="APVMATableText"/>
            </w:pPr>
            <w:r>
              <w:t>Regulatory acceptable level</w:t>
            </w:r>
          </w:p>
        </w:tc>
      </w:tr>
      <w:tr w:rsidR="00CF5DF7" w14:paraId="0C205CCC" w14:textId="77777777" w:rsidTr="00147233">
        <w:tc>
          <w:tcPr>
            <w:tcW w:w="1111" w:type="pct"/>
          </w:tcPr>
          <w:p w14:paraId="40519203" w14:textId="77777777" w:rsidR="00CF5DF7" w:rsidRDefault="00CF5DF7" w:rsidP="00147233">
            <w:pPr>
              <w:pStyle w:val="APVMATableText"/>
            </w:pPr>
            <w:r>
              <w:t>RBC</w:t>
            </w:r>
          </w:p>
        </w:tc>
        <w:tc>
          <w:tcPr>
            <w:tcW w:w="3889" w:type="pct"/>
            <w:gridSpan w:val="2"/>
          </w:tcPr>
          <w:p w14:paraId="145B42DA" w14:textId="77777777" w:rsidR="00CF5DF7" w:rsidRDefault="00CF5DF7" w:rsidP="00147233">
            <w:pPr>
              <w:pStyle w:val="APVMATableText"/>
            </w:pPr>
            <w:r>
              <w:t>Red blood cell count</w:t>
            </w:r>
          </w:p>
        </w:tc>
      </w:tr>
      <w:tr w:rsidR="00CF5DF7" w14:paraId="333E921D" w14:textId="77777777" w:rsidTr="00147233">
        <w:tc>
          <w:tcPr>
            <w:tcW w:w="1111" w:type="pct"/>
          </w:tcPr>
          <w:p w14:paraId="5094A90B" w14:textId="77777777" w:rsidR="00CF5DF7" w:rsidRDefault="00CF5DF7" w:rsidP="00147233">
            <w:pPr>
              <w:pStyle w:val="APVMATableText"/>
            </w:pPr>
            <w:r>
              <w:t>REI</w:t>
            </w:r>
          </w:p>
        </w:tc>
        <w:tc>
          <w:tcPr>
            <w:tcW w:w="3889" w:type="pct"/>
            <w:gridSpan w:val="2"/>
          </w:tcPr>
          <w:p w14:paraId="7225E7E8" w14:textId="77777777" w:rsidR="00CF5DF7" w:rsidRDefault="00CF5DF7" w:rsidP="00147233">
            <w:pPr>
              <w:pStyle w:val="APVMATableText"/>
            </w:pPr>
            <w:r>
              <w:t>Re-entry interval</w:t>
            </w:r>
          </w:p>
        </w:tc>
      </w:tr>
      <w:tr w:rsidR="00CF5DF7" w14:paraId="241F236F" w14:textId="77777777" w:rsidTr="00147233">
        <w:tc>
          <w:tcPr>
            <w:tcW w:w="1111" w:type="pct"/>
          </w:tcPr>
          <w:p w14:paraId="02782C7E" w14:textId="77777777" w:rsidR="00CF5DF7" w:rsidRDefault="00CF5DF7" w:rsidP="00147233">
            <w:pPr>
              <w:pStyle w:val="APVMATableText"/>
            </w:pPr>
            <w:r>
              <w:t>s</w:t>
            </w:r>
          </w:p>
        </w:tc>
        <w:tc>
          <w:tcPr>
            <w:tcW w:w="3889" w:type="pct"/>
            <w:gridSpan w:val="2"/>
          </w:tcPr>
          <w:p w14:paraId="574F9BF6" w14:textId="77777777" w:rsidR="00CF5DF7" w:rsidRDefault="00CF5DF7" w:rsidP="00147233">
            <w:pPr>
              <w:pStyle w:val="APVMATableText"/>
            </w:pPr>
            <w:r>
              <w:t>Second</w:t>
            </w:r>
          </w:p>
        </w:tc>
      </w:tr>
      <w:tr w:rsidR="00CF5DF7" w14:paraId="2603EE26" w14:textId="77777777" w:rsidTr="00147233">
        <w:tc>
          <w:tcPr>
            <w:tcW w:w="1111" w:type="pct"/>
          </w:tcPr>
          <w:p w14:paraId="599F157E" w14:textId="77777777" w:rsidR="00CF5DF7" w:rsidRDefault="00CF5DF7" w:rsidP="00147233">
            <w:pPr>
              <w:pStyle w:val="APVMATableText"/>
            </w:pPr>
            <w:proofErr w:type="spellStart"/>
            <w:r>
              <w:t>sc</w:t>
            </w:r>
            <w:proofErr w:type="spellEnd"/>
          </w:p>
        </w:tc>
        <w:tc>
          <w:tcPr>
            <w:tcW w:w="3889" w:type="pct"/>
            <w:gridSpan w:val="2"/>
          </w:tcPr>
          <w:p w14:paraId="47085725" w14:textId="77777777" w:rsidR="00CF5DF7" w:rsidRDefault="00CF5DF7" w:rsidP="00147233">
            <w:pPr>
              <w:pStyle w:val="APVMATableText"/>
            </w:pPr>
            <w:r>
              <w:t>Subcutaneous</w:t>
            </w:r>
          </w:p>
        </w:tc>
      </w:tr>
      <w:tr w:rsidR="00CF5DF7" w14:paraId="31ADAC03" w14:textId="77777777" w:rsidTr="00147233">
        <w:tc>
          <w:tcPr>
            <w:tcW w:w="1111" w:type="pct"/>
          </w:tcPr>
          <w:p w14:paraId="7FD3FB1F" w14:textId="77777777" w:rsidR="00CF5DF7" w:rsidRDefault="00CF5DF7" w:rsidP="00147233">
            <w:pPr>
              <w:pStyle w:val="APVMATableText"/>
            </w:pPr>
            <w:r>
              <w:t>SC</w:t>
            </w:r>
          </w:p>
        </w:tc>
        <w:tc>
          <w:tcPr>
            <w:tcW w:w="3889" w:type="pct"/>
            <w:gridSpan w:val="2"/>
          </w:tcPr>
          <w:p w14:paraId="0255D3DE" w14:textId="77777777" w:rsidR="00CF5DF7" w:rsidRDefault="00CF5DF7" w:rsidP="00147233">
            <w:pPr>
              <w:pStyle w:val="APVMATableText"/>
            </w:pPr>
            <w:r>
              <w:t>Suspension concentrate</w:t>
            </w:r>
          </w:p>
        </w:tc>
      </w:tr>
      <w:tr w:rsidR="00CF5DF7" w14:paraId="54FAB266" w14:textId="77777777" w:rsidTr="00147233">
        <w:tc>
          <w:tcPr>
            <w:tcW w:w="1111" w:type="pct"/>
          </w:tcPr>
          <w:p w14:paraId="6EACCA0D" w14:textId="77777777" w:rsidR="00CF5DF7" w:rsidRDefault="00CF5DF7" w:rsidP="00147233">
            <w:pPr>
              <w:pStyle w:val="APVMATableText"/>
            </w:pPr>
            <w:r>
              <w:t>SDMT</w:t>
            </w:r>
          </w:p>
        </w:tc>
        <w:tc>
          <w:tcPr>
            <w:tcW w:w="3889" w:type="pct"/>
            <w:gridSpan w:val="2"/>
          </w:tcPr>
          <w:p w14:paraId="75D05931" w14:textId="77777777" w:rsidR="00CF5DF7" w:rsidRDefault="00CF5DF7" w:rsidP="00147233">
            <w:pPr>
              <w:pStyle w:val="APVMATableText"/>
            </w:pPr>
            <w:r>
              <w:t>Spray Drift Management Tool</w:t>
            </w:r>
          </w:p>
        </w:tc>
      </w:tr>
      <w:tr w:rsidR="00CF5DF7" w14:paraId="55CB5D1C" w14:textId="77777777" w:rsidTr="00147233">
        <w:tc>
          <w:tcPr>
            <w:tcW w:w="1111" w:type="pct"/>
          </w:tcPr>
          <w:p w14:paraId="309AC7CD" w14:textId="77777777" w:rsidR="00CF5DF7" w:rsidRDefault="00CF5DF7" w:rsidP="00147233">
            <w:pPr>
              <w:pStyle w:val="APVMATableText"/>
            </w:pPr>
            <w:r>
              <w:t>SDRAT</w:t>
            </w:r>
          </w:p>
        </w:tc>
        <w:tc>
          <w:tcPr>
            <w:tcW w:w="3889" w:type="pct"/>
            <w:gridSpan w:val="2"/>
          </w:tcPr>
          <w:p w14:paraId="3CEFC7A8" w14:textId="77777777" w:rsidR="00CF5DF7" w:rsidRDefault="00CF5DF7" w:rsidP="00147233">
            <w:pPr>
              <w:pStyle w:val="APVMATableText"/>
            </w:pPr>
            <w:r>
              <w:t>Spray Drift Risk Assessment Tool</w:t>
            </w:r>
          </w:p>
        </w:tc>
      </w:tr>
      <w:tr w:rsidR="00CF5DF7" w14:paraId="38A00B72" w14:textId="77777777" w:rsidTr="00147233">
        <w:tc>
          <w:tcPr>
            <w:tcW w:w="1111" w:type="pct"/>
          </w:tcPr>
          <w:p w14:paraId="75BFD648" w14:textId="77777777" w:rsidR="00CF5DF7" w:rsidRDefault="00CF5DF7" w:rsidP="00147233">
            <w:pPr>
              <w:pStyle w:val="APVMATableText"/>
            </w:pPr>
            <w:r>
              <w:t>SSD</w:t>
            </w:r>
          </w:p>
        </w:tc>
        <w:tc>
          <w:tcPr>
            <w:tcW w:w="3889" w:type="pct"/>
            <w:gridSpan w:val="2"/>
          </w:tcPr>
          <w:p w14:paraId="5B8C8390" w14:textId="77777777" w:rsidR="00CF5DF7" w:rsidRDefault="00CF5DF7" w:rsidP="00147233">
            <w:pPr>
              <w:pStyle w:val="APVMATableText"/>
            </w:pPr>
            <w:r>
              <w:t>Species specific diversity</w:t>
            </w:r>
          </w:p>
        </w:tc>
      </w:tr>
      <w:tr w:rsidR="00CF5DF7" w14:paraId="1D831E79" w14:textId="77777777" w:rsidTr="00147233">
        <w:tc>
          <w:tcPr>
            <w:tcW w:w="1111" w:type="pct"/>
          </w:tcPr>
          <w:p w14:paraId="6EE3EFF9" w14:textId="77777777" w:rsidR="00CF5DF7" w:rsidRDefault="00CF5DF7" w:rsidP="00147233">
            <w:pPr>
              <w:pStyle w:val="APVMATableText"/>
            </w:pPr>
            <w:r>
              <w:t>SUSMP</w:t>
            </w:r>
          </w:p>
        </w:tc>
        <w:tc>
          <w:tcPr>
            <w:tcW w:w="3889" w:type="pct"/>
            <w:gridSpan w:val="2"/>
          </w:tcPr>
          <w:p w14:paraId="397A2250" w14:textId="77777777" w:rsidR="00CF5DF7" w:rsidRDefault="00CF5DF7" w:rsidP="00147233">
            <w:pPr>
              <w:pStyle w:val="APVMATableText"/>
            </w:pPr>
            <w:r>
              <w:t>Standard for the Uniform Scheduling of Medicines and Poisons</w:t>
            </w:r>
          </w:p>
        </w:tc>
      </w:tr>
      <w:tr w:rsidR="00CF5DF7" w14:paraId="5F01963B" w14:textId="77777777" w:rsidTr="00147233">
        <w:tc>
          <w:tcPr>
            <w:tcW w:w="1111" w:type="pct"/>
          </w:tcPr>
          <w:p w14:paraId="4A34BF67" w14:textId="77777777" w:rsidR="00CF5DF7" w:rsidRDefault="00CF5DF7" w:rsidP="00147233">
            <w:pPr>
              <w:pStyle w:val="APVMATableText"/>
            </w:pPr>
            <w:r>
              <w:t>t</w:t>
            </w:r>
            <w:r w:rsidRPr="007A3E21">
              <w:rPr>
                <w:vertAlign w:val="subscript"/>
              </w:rPr>
              <w:t>1/2</w:t>
            </w:r>
          </w:p>
        </w:tc>
        <w:tc>
          <w:tcPr>
            <w:tcW w:w="3889" w:type="pct"/>
            <w:gridSpan w:val="2"/>
          </w:tcPr>
          <w:p w14:paraId="649FBC24" w14:textId="77777777" w:rsidR="00CF5DF7" w:rsidRDefault="00CF5DF7" w:rsidP="00147233">
            <w:pPr>
              <w:pStyle w:val="APVMATableText"/>
            </w:pPr>
            <w:r>
              <w:t>Time required for plasma concentration (of a chemical substance) to decrease by half</w:t>
            </w:r>
          </w:p>
        </w:tc>
      </w:tr>
      <w:tr w:rsidR="00CF5DF7" w14:paraId="5B70D8CE" w14:textId="77777777" w:rsidTr="00147233">
        <w:tc>
          <w:tcPr>
            <w:tcW w:w="1111" w:type="pct"/>
          </w:tcPr>
          <w:p w14:paraId="5AED3783" w14:textId="77777777" w:rsidR="00CF5DF7" w:rsidRDefault="00CF5DF7" w:rsidP="00147233">
            <w:pPr>
              <w:pStyle w:val="APVMATableText"/>
            </w:pPr>
            <w:proofErr w:type="spellStart"/>
            <w:r>
              <w:t>T</w:t>
            </w:r>
            <w:r w:rsidRPr="002D7545">
              <w:rPr>
                <w:vertAlign w:val="subscript"/>
              </w:rPr>
              <w:t>max</w:t>
            </w:r>
            <w:proofErr w:type="spellEnd"/>
          </w:p>
        </w:tc>
        <w:tc>
          <w:tcPr>
            <w:tcW w:w="3889" w:type="pct"/>
            <w:gridSpan w:val="2"/>
          </w:tcPr>
          <w:p w14:paraId="597793E0" w14:textId="77777777" w:rsidR="00CF5DF7" w:rsidRDefault="00CF5DF7" w:rsidP="00147233">
            <w:pPr>
              <w:pStyle w:val="APVMATableText"/>
            </w:pPr>
            <w:r>
              <w:t>Time to peak concentration</w:t>
            </w:r>
          </w:p>
        </w:tc>
      </w:tr>
      <w:tr w:rsidR="00CF5DF7" w14:paraId="3D2CE085" w14:textId="77777777" w:rsidTr="00147233">
        <w:tc>
          <w:tcPr>
            <w:tcW w:w="1111" w:type="pct"/>
          </w:tcPr>
          <w:p w14:paraId="133A4E46" w14:textId="77777777" w:rsidR="00CF5DF7" w:rsidRDefault="00CF5DF7" w:rsidP="00147233">
            <w:pPr>
              <w:pStyle w:val="APVMATableText"/>
            </w:pPr>
            <w:r>
              <w:t>TGA</w:t>
            </w:r>
          </w:p>
        </w:tc>
        <w:tc>
          <w:tcPr>
            <w:tcW w:w="3889" w:type="pct"/>
            <w:gridSpan w:val="2"/>
          </w:tcPr>
          <w:p w14:paraId="3ED99B70" w14:textId="77777777" w:rsidR="00CF5DF7" w:rsidRDefault="00CF5DF7" w:rsidP="00147233">
            <w:pPr>
              <w:pStyle w:val="APVMATableText"/>
            </w:pPr>
            <w:r>
              <w:t>Therapeutic Goods Administration</w:t>
            </w:r>
          </w:p>
        </w:tc>
      </w:tr>
      <w:tr w:rsidR="00CF5DF7" w14:paraId="1E594D5C" w14:textId="77777777" w:rsidTr="00147233">
        <w:tc>
          <w:tcPr>
            <w:tcW w:w="1111" w:type="pct"/>
          </w:tcPr>
          <w:p w14:paraId="7DAE1711" w14:textId="77777777" w:rsidR="00CF5DF7" w:rsidRDefault="00CF5DF7" w:rsidP="00147233">
            <w:pPr>
              <w:pStyle w:val="APVMATableText"/>
            </w:pPr>
            <w:r>
              <w:t>TGAC</w:t>
            </w:r>
          </w:p>
        </w:tc>
        <w:tc>
          <w:tcPr>
            <w:tcW w:w="3889" w:type="pct"/>
            <w:gridSpan w:val="2"/>
          </w:tcPr>
          <w:p w14:paraId="1AB7F5B1" w14:textId="77777777" w:rsidR="00CF5DF7" w:rsidRDefault="00CF5DF7" w:rsidP="00147233">
            <w:pPr>
              <w:pStyle w:val="APVMATableText"/>
            </w:pPr>
            <w:r>
              <w:t>Technical grade active constituent</w:t>
            </w:r>
          </w:p>
        </w:tc>
      </w:tr>
      <w:tr w:rsidR="00CF5DF7" w14:paraId="1BC98BC7" w14:textId="77777777" w:rsidTr="00147233">
        <w:tc>
          <w:tcPr>
            <w:tcW w:w="1111" w:type="pct"/>
          </w:tcPr>
          <w:p w14:paraId="62F995E4" w14:textId="77777777" w:rsidR="00CF5DF7" w:rsidRDefault="00CF5DF7" w:rsidP="00147233">
            <w:pPr>
              <w:pStyle w:val="APVMATableText"/>
              <w:rPr>
                <w:bCs/>
              </w:rPr>
            </w:pPr>
            <w:r>
              <w:rPr>
                <w:bCs/>
              </w:rPr>
              <w:t>TRR</w:t>
            </w:r>
          </w:p>
        </w:tc>
        <w:tc>
          <w:tcPr>
            <w:tcW w:w="3889" w:type="pct"/>
            <w:gridSpan w:val="2"/>
          </w:tcPr>
          <w:p w14:paraId="1BF83302" w14:textId="77777777" w:rsidR="00CF5DF7" w:rsidRDefault="00CF5DF7" w:rsidP="00147233">
            <w:pPr>
              <w:pStyle w:val="APVMATableText"/>
            </w:pPr>
            <w:r>
              <w:t>Total radioactive residue</w:t>
            </w:r>
          </w:p>
        </w:tc>
      </w:tr>
      <w:tr w:rsidR="00CF5DF7" w14:paraId="7BC89BFB" w14:textId="77777777" w:rsidTr="00147233">
        <w:tc>
          <w:tcPr>
            <w:tcW w:w="1111" w:type="pct"/>
          </w:tcPr>
          <w:p w14:paraId="1E03FFAD" w14:textId="77777777" w:rsidR="00CF5DF7" w:rsidRDefault="00CF5DF7" w:rsidP="00147233">
            <w:pPr>
              <w:pStyle w:val="APVMATableText"/>
              <w:rPr>
                <w:bCs/>
              </w:rPr>
            </w:pPr>
            <w:r>
              <w:rPr>
                <w:bCs/>
              </w:rPr>
              <w:t>TTC</w:t>
            </w:r>
          </w:p>
        </w:tc>
        <w:tc>
          <w:tcPr>
            <w:tcW w:w="3889" w:type="pct"/>
            <w:gridSpan w:val="2"/>
          </w:tcPr>
          <w:p w14:paraId="1A745409" w14:textId="77777777" w:rsidR="00CF5DF7" w:rsidRDefault="00CF5DF7" w:rsidP="00147233">
            <w:pPr>
              <w:pStyle w:val="APVMATableText"/>
            </w:pPr>
            <w:r>
              <w:t>Threshold of toxicological concern</w:t>
            </w:r>
          </w:p>
        </w:tc>
      </w:tr>
      <w:tr w:rsidR="00CF5DF7" w14:paraId="225145BF" w14:textId="77777777" w:rsidTr="00147233">
        <w:tc>
          <w:tcPr>
            <w:tcW w:w="1111" w:type="pct"/>
          </w:tcPr>
          <w:p w14:paraId="5A14EDA9" w14:textId="77777777" w:rsidR="00CF5DF7" w:rsidRDefault="00CF5DF7" w:rsidP="00147233">
            <w:pPr>
              <w:pStyle w:val="APVMATableText"/>
            </w:pPr>
            <w:r>
              <w:rPr>
                <w:bCs/>
              </w:rPr>
              <w:t>µ</w:t>
            </w:r>
            <w:r>
              <w:t>g</w:t>
            </w:r>
          </w:p>
        </w:tc>
        <w:tc>
          <w:tcPr>
            <w:tcW w:w="3889" w:type="pct"/>
            <w:gridSpan w:val="2"/>
          </w:tcPr>
          <w:p w14:paraId="6FEE416F" w14:textId="77777777" w:rsidR="00CF5DF7" w:rsidRDefault="00CF5DF7" w:rsidP="00147233">
            <w:pPr>
              <w:pStyle w:val="APVMATableText"/>
            </w:pPr>
            <w:r>
              <w:t>Microgram</w:t>
            </w:r>
          </w:p>
        </w:tc>
      </w:tr>
      <w:tr w:rsidR="00CF5DF7" w14:paraId="19F4C5DA" w14:textId="77777777" w:rsidTr="00147233">
        <w:tc>
          <w:tcPr>
            <w:tcW w:w="1111" w:type="pct"/>
          </w:tcPr>
          <w:p w14:paraId="22ED8522" w14:textId="77777777" w:rsidR="00CF5DF7" w:rsidRDefault="00CF5DF7" w:rsidP="00147233">
            <w:pPr>
              <w:pStyle w:val="APVMATableText"/>
            </w:pPr>
            <w:proofErr w:type="spellStart"/>
            <w:r>
              <w:t>vmd</w:t>
            </w:r>
            <w:proofErr w:type="spellEnd"/>
          </w:p>
        </w:tc>
        <w:tc>
          <w:tcPr>
            <w:tcW w:w="3889" w:type="pct"/>
            <w:gridSpan w:val="2"/>
          </w:tcPr>
          <w:p w14:paraId="0D192D8A" w14:textId="77777777" w:rsidR="00CF5DF7" w:rsidRDefault="00CF5DF7" w:rsidP="00147233">
            <w:pPr>
              <w:pStyle w:val="APVMATableText"/>
            </w:pPr>
            <w:r>
              <w:t>Volume median diameter</w:t>
            </w:r>
          </w:p>
        </w:tc>
      </w:tr>
      <w:tr w:rsidR="00CF5DF7" w14:paraId="1709BF11" w14:textId="77777777" w:rsidTr="00147233">
        <w:tc>
          <w:tcPr>
            <w:tcW w:w="1111" w:type="pct"/>
          </w:tcPr>
          <w:p w14:paraId="5E56F0F1" w14:textId="77777777" w:rsidR="00CF5DF7" w:rsidRDefault="00CF5DF7" w:rsidP="00147233">
            <w:pPr>
              <w:pStyle w:val="APVMATableText"/>
            </w:pPr>
            <w:r>
              <w:t>WG</w:t>
            </w:r>
          </w:p>
        </w:tc>
        <w:tc>
          <w:tcPr>
            <w:tcW w:w="3889" w:type="pct"/>
            <w:gridSpan w:val="2"/>
          </w:tcPr>
          <w:p w14:paraId="486648F5" w14:textId="77777777" w:rsidR="00CF5DF7" w:rsidRDefault="00CF5DF7" w:rsidP="00147233">
            <w:pPr>
              <w:pStyle w:val="APVMATableText"/>
            </w:pPr>
            <w:r>
              <w:t>Water dispersible granule</w:t>
            </w:r>
          </w:p>
        </w:tc>
      </w:tr>
      <w:tr w:rsidR="00CF5DF7" w14:paraId="6D8C98A5" w14:textId="77777777" w:rsidTr="00147233">
        <w:tc>
          <w:tcPr>
            <w:tcW w:w="1111" w:type="pct"/>
          </w:tcPr>
          <w:p w14:paraId="6BF39D67" w14:textId="77777777" w:rsidR="00CF5DF7" w:rsidRDefault="00CF5DF7" w:rsidP="00147233">
            <w:pPr>
              <w:pStyle w:val="APVMATableText"/>
              <w:rPr>
                <w:lang w:val="en-GB"/>
              </w:rPr>
            </w:pPr>
            <w:r>
              <w:rPr>
                <w:lang w:val="en-GB"/>
              </w:rPr>
              <w:lastRenderedPageBreak/>
              <w:t>WHP</w:t>
            </w:r>
          </w:p>
        </w:tc>
        <w:tc>
          <w:tcPr>
            <w:tcW w:w="3889" w:type="pct"/>
            <w:gridSpan w:val="2"/>
          </w:tcPr>
          <w:p w14:paraId="7BEA7B64" w14:textId="77777777" w:rsidR="00CF5DF7" w:rsidRDefault="00CF5DF7" w:rsidP="00147233">
            <w:pPr>
              <w:pStyle w:val="APVMATableText"/>
            </w:pPr>
            <w:r>
              <w:rPr>
                <w:lang w:val="en-GB"/>
              </w:rPr>
              <w:t>Withholding period</w:t>
            </w:r>
          </w:p>
        </w:tc>
      </w:tr>
    </w:tbl>
    <w:p w14:paraId="35823568" w14:textId="3D49DDBF" w:rsidR="00CF5DF7" w:rsidRDefault="00CF5DF7" w:rsidP="00772458">
      <w:pPr>
        <w:pStyle w:val="APVMAText"/>
        <w:sectPr w:rsidR="00CF5DF7">
          <w:headerReference w:type="even" r:id="rId64"/>
          <w:headerReference w:type="default" r:id="rId65"/>
          <w:pgSz w:w="11906" w:h="16838" w:code="9"/>
          <w:pgMar w:top="2835" w:right="1134" w:bottom="1134" w:left="1134" w:header="1701" w:footer="680" w:gutter="0"/>
          <w:cols w:space="708"/>
          <w:docGrid w:linePitch="360"/>
        </w:sectPr>
      </w:pPr>
    </w:p>
    <w:p w14:paraId="596FB68A" w14:textId="2A63E627" w:rsidR="009346C3" w:rsidRDefault="009346C3" w:rsidP="00CF5DF7">
      <w:pPr>
        <w:pStyle w:val="APVMAAppendixH1"/>
      </w:pPr>
      <w:bookmarkStart w:id="257" w:name="_Toc531181110"/>
      <w:bookmarkStart w:id="258" w:name="_Toc7561296"/>
      <w:bookmarkStart w:id="259" w:name="_Toc137198196"/>
      <w:r>
        <w:rPr>
          <w:lang w:val="en-GB"/>
        </w:rPr>
        <w:lastRenderedPageBreak/>
        <w:t>Glossary</w:t>
      </w:r>
      <w:bookmarkEnd w:id="257"/>
      <w:bookmarkEnd w:id="258"/>
      <w:bookmarkEnd w:id="259"/>
    </w:p>
    <w:tbl>
      <w:tblPr>
        <w:tblW w:w="5000" w:type="pct"/>
        <w:tblBorders>
          <w:top w:val="single" w:sz="4" w:space="0" w:color="auto"/>
          <w:bottom w:val="single" w:sz="4" w:space="0" w:color="auto"/>
          <w:insideH w:val="single" w:sz="4" w:space="0" w:color="auto"/>
        </w:tblBorders>
        <w:tblLook w:val="0000" w:firstRow="0" w:lastRow="0" w:firstColumn="0" w:lastColumn="0" w:noHBand="0" w:noVBand="0"/>
        <w:tblCaption w:val="Glossary"/>
        <w:tblDescription w:val="Explanation of technical and unfamiliar terms used in the publication"/>
      </w:tblPr>
      <w:tblGrid>
        <w:gridCol w:w="2182"/>
        <w:gridCol w:w="7456"/>
      </w:tblGrid>
      <w:tr w:rsidR="00CA5B2B" w14:paraId="6CCAE66D" w14:textId="77777777" w:rsidTr="00772458">
        <w:tc>
          <w:tcPr>
            <w:tcW w:w="1132" w:type="pct"/>
            <w:shd w:val="clear" w:color="auto" w:fill="00747A"/>
          </w:tcPr>
          <w:p w14:paraId="33B1E2B5" w14:textId="5313452F" w:rsidR="00CA5B2B" w:rsidRPr="00CA5B2B" w:rsidRDefault="00CA5B2B" w:rsidP="00CA5B2B">
            <w:pPr>
              <w:pStyle w:val="APVMATableHead"/>
            </w:pPr>
            <w:r>
              <w:t>Term</w:t>
            </w:r>
          </w:p>
        </w:tc>
        <w:tc>
          <w:tcPr>
            <w:tcW w:w="3868" w:type="pct"/>
            <w:shd w:val="clear" w:color="auto" w:fill="00747A"/>
          </w:tcPr>
          <w:p w14:paraId="4A52FD44" w14:textId="61551732" w:rsidR="00CA5B2B" w:rsidRPr="00CA5B2B" w:rsidRDefault="00CA5B2B" w:rsidP="00CA5B2B">
            <w:pPr>
              <w:pStyle w:val="APVMATableHead"/>
            </w:pPr>
            <w:r>
              <w:t>Description</w:t>
            </w:r>
          </w:p>
        </w:tc>
      </w:tr>
      <w:tr w:rsidR="00CA5B2B" w14:paraId="6C741B0B" w14:textId="77777777" w:rsidTr="00772458">
        <w:tc>
          <w:tcPr>
            <w:tcW w:w="1132" w:type="pct"/>
            <w:shd w:val="clear" w:color="auto" w:fill="auto"/>
          </w:tcPr>
          <w:p w14:paraId="2DBAB8B5" w14:textId="77777777" w:rsidR="00CA5B2B" w:rsidRDefault="00CA5B2B" w:rsidP="00CA5B2B">
            <w:pPr>
              <w:pStyle w:val="APVMATableText"/>
            </w:pPr>
            <w:r>
              <w:t>Active constituent</w:t>
            </w:r>
          </w:p>
        </w:tc>
        <w:tc>
          <w:tcPr>
            <w:tcW w:w="3868" w:type="pct"/>
            <w:shd w:val="clear" w:color="auto" w:fill="auto"/>
          </w:tcPr>
          <w:p w14:paraId="6F4CB2CB" w14:textId="77777777" w:rsidR="00CA5B2B" w:rsidRDefault="00CA5B2B" w:rsidP="00CA5B2B">
            <w:pPr>
              <w:pStyle w:val="APVMATableText"/>
            </w:pPr>
            <w:r>
              <w:t>The substance that is primarily responsible for the effect produced by a chemical product</w:t>
            </w:r>
          </w:p>
        </w:tc>
      </w:tr>
      <w:tr w:rsidR="00CA5B2B" w14:paraId="6F6F18E5" w14:textId="77777777" w:rsidTr="00772458">
        <w:tc>
          <w:tcPr>
            <w:tcW w:w="1132" w:type="pct"/>
            <w:shd w:val="clear" w:color="auto" w:fill="auto"/>
          </w:tcPr>
          <w:p w14:paraId="3D3E543B" w14:textId="77777777" w:rsidR="00CA5B2B" w:rsidRDefault="00CA5B2B" w:rsidP="00CA5B2B">
            <w:pPr>
              <w:pStyle w:val="APVMATableText"/>
            </w:pPr>
            <w:r>
              <w:t>Acute</w:t>
            </w:r>
          </w:p>
        </w:tc>
        <w:tc>
          <w:tcPr>
            <w:tcW w:w="3868" w:type="pct"/>
            <w:shd w:val="clear" w:color="auto" w:fill="auto"/>
          </w:tcPr>
          <w:p w14:paraId="1B32302E" w14:textId="77777777" w:rsidR="00CA5B2B" w:rsidRDefault="00CA5B2B" w:rsidP="00CA5B2B">
            <w:pPr>
              <w:pStyle w:val="APVMATableText"/>
            </w:pPr>
            <w:r>
              <w:t>Having rapid onset and of short duration</w:t>
            </w:r>
          </w:p>
        </w:tc>
      </w:tr>
      <w:tr w:rsidR="00CA5B2B" w14:paraId="20CAA1A1" w14:textId="77777777" w:rsidTr="00772458">
        <w:tc>
          <w:tcPr>
            <w:tcW w:w="1132" w:type="pct"/>
            <w:shd w:val="clear" w:color="auto" w:fill="auto"/>
          </w:tcPr>
          <w:p w14:paraId="141AEE46" w14:textId="77777777" w:rsidR="00CA5B2B" w:rsidRDefault="00CA5B2B" w:rsidP="00CA5B2B">
            <w:pPr>
              <w:pStyle w:val="APVMATableText"/>
            </w:pPr>
            <w:r>
              <w:t>Carcinogenicity</w:t>
            </w:r>
          </w:p>
        </w:tc>
        <w:tc>
          <w:tcPr>
            <w:tcW w:w="3868" w:type="pct"/>
            <w:shd w:val="clear" w:color="auto" w:fill="auto"/>
          </w:tcPr>
          <w:p w14:paraId="6833A841" w14:textId="77777777" w:rsidR="00CA5B2B" w:rsidRDefault="00CA5B2B" w:rsidP="00CA5B2B">
            <w:pPr>
              <w:pStyle w:val="APVMATableText"/>
            </w:pPr>
            <w:r>
              <w:t>The ability to cause cancer</w:t>
            </w:r>
          </w:p>
        </w:tc>
      </w:tr>
      <w:tr w:rsidR="00CA5B2B" w14:paraId="02F60EC0" w14:textId="77777777" w:rsidTr="00772458">
        <w:tc>
          <w:tcPr>
            <w:tcW w:w="1132" w:type="pct"/>
            <w:shd w:val="clear" w:color="auto" w:fill="auto"/>
          </w:tcPr>
          <w:p w14:paraId="18A75311" w14:textId="77777777" w:rsidR="00CA5B2B" w:rsidRDefault="00CA5B2B" w:rsidP="00CA5B2B">
            <w:pPr>
              <w:pStyle w:val="APVMATableText"/>
            </w:pPr>
            <w:r>
              <w:t>Chronic</w:t>
            </w:r>
          </w:p>
        </w:tc>
        <w:tc>
          <w:tcPr>
            <w:tcW w:w="3868" w:type="pct"/>
            <w:shd w:val="clear" w:color="auto" w:fill="auto"/>
          </w:tcPr>
          <w:p w14:paraId="662A61C7" w14:textId="77777777" w:rsidR="00CA5B2B" w:rsidRDefault="00CA5B2B" w:rsidP="00CA5B2B">
            <w:pPr>
              <w:pStyle w:val="APVMATableText"/>
            </w:pPr>
            <w:r>
              <w:t>Of long duration</w:t>
            </w:r>
          </w:p>
        </w:tc>
      </w:tr>
      <w:tr w:rsidR="00CA5B2B" w14:paraId="39C8B60E" w14:textId="77777777" w:rsidTr="00772458">
        <w:tc>
          <w:tcPr>
            <w:tcW w:w="1132" w:type="pct"/>
            <w:shd w:val="clear" w:color="auto" w:fill="auto"/>
          </w:tcPr>
          <w:p w14:paraId="34A08E1A" w14:textId="77777777" w:rsidR="00CA5B2B" w:rsidRDefault="00CA5B2B" w:rsidP="00CA5B2B">
            <w:pPr>
              <w:pStyle w:val="APVMATableText"/>
            </w:pPr>
            <w:r>
              <w:t xml:space="preserve">Codex MRL </w:t>
            </w:r>
          </w:p>
        </w:tc>
        <w:tc>
          <w:tcPr>
            <w:tcW w:w="3868" w:type="pct"/>
            <w:shd w:val="clear" w:color="auto" w:fill="auto"/>
          </w:tcPr>
          <w:p w14:paraId="0E7857B0" w14:textId="77777777" w:rsidR="00CA5B2B" w:rsidRDefault="00CA5B2B" w:rsidP="00CA5B2B">
            <w:pPr>
              <w:pStyle w:val="APVMATableText"/>
            </w:pPr>
            <w:r>
              <w:t>Internationally published standard maximum residue limit</w:t>
            </w:r>
          </w:p>
        </w:tc>
      </w:tr>
      <w:tr w:rsidR="00CA5B2B" w14:paraId="4921685A" w14:textId="77777777" w:rsidTr="00772458">
        <w:tc>
          <w:tcPr>
            <w:tcW w:w="1132" w:type="pct"/>
            <w:shd w:val="clear" w:color="auto" w:fill="auto"/>
          </w:tcPr>
          <w:p w14:paraId="63FD1CFD" w14:textId="77777777" w:rsidR="00CA5B2B" w:rsidRDefault="00CA5B2B" w:rsidP="00CA5B2B">
            <w:pPr>
              <w:pStyle w:val="APVMATableText"/>
            </w:pPr>
            <w:r>
              <w:t>Desorption</w:t>
            </w:r>
          </w:p>
        </w:tc>
        <w:tc>
          <w:tcPr>
            <w:tcW w:w="3868" w:type="pct"/>
            <w:shd w:val="clear" w:color="auto" w:fill="auto"/>
          </w:tcPr>
          <w:p w14:paraId="004DF0F4" w14:textId="77777777" w:rsidR="00CA5B2B" w:rsidRDefault="00CA5B2B" w:rsidP="00CA5B2B">
            <w:pPr>
              <w:pStyle w:val="APVMATableText"/>
            </w:pPr>
            <w:r>
              <w:t>Removal of a material from or through a surface</w:t>
            </w:r>
          </w:p>
        </w:tc>
      </w:tr>
      <w:tr w:rsidR="00CA5B2B" w14:paraId="7FA0A785" w14:textId="77777777" w:rsidTr="00772458">
        <w:tc>
          <w:tcPr>
            <w:tcW w:w="1132" w:type="pct"/>
            <w:shd w:val="clear" w:color="auto" w:fill="auto"/>
          </w:tcPr>
          <w:p w14:paraId="21AD28E1" w14:textId="77777777" w:rsidR="00CA5B2B" w:rsidRDefault="00CA5B2B" w:rsidP="00CA5B2B">
            <w:pPr>
              <w:pStyle w:val="APVMATableText"/>
            </w:pPr>
            <w:r>
              <w:t>Efficacy</w:t>
            </w:r>
          </w:p>
        </w:tc>
        <w:tc>
          <w:tcPr>
            <w:tcW w:w="3868" w:type="pct"/>
            <w:shd w:val="clear" w:color="auto" w:fill="auto"/>
          </w:tcPr>
          <w:p w14:paraId="0B05FBFC" w14:textId="77777777" w:rsidR="00CA5B2B" w:rsidRDefault="00CA5B2B" w:rsidP="00CA5B2B">
            <w:pPr>
              <w:pStyle w:val="APVMATableText"/>
            </w:pPr>
            <w:r>
              <w:t>Production of the desired effect</w:t>
            </w:r>
          </w:p>
        </w:tc>
      </w:tr>
      <w:tr w:rsidR="00CA5B2B" w14:paraId="36F32D84" w14:textId="77777777" w:rsidTr="00772458">
        <w:tc>
          <w:tcPr>
            <w:tcW w:w="1132" w:type="pct"/>
            <w:shd w:val="clear" w:color="auto" w:fill="auto"/>
          </w:tcPr>
          <w:p w14:paraId="51478344" w14:textId="77777777" w:rsidR="00CA5B2B" w:rsidRDefault="00CA5B2B" w:rsidP="00CA5B2B">
            <w:pPr>
              <w:pStyle w:val="APVMATableText"/>
            </w:pPr>
            <w:r>
              <w:t>Formulation</w:t>
            </w:r>
          </w:p>
        </w:tc>
        <w:tc>
          <w:tcPr>
            <w:tcW w:w="3868" w:type="pct"/>
            <w:shd w:val="clear" w:color="auto" w:fill="auto"/>
          </w:tcPr>
          <w:p w14:paraId="3F839B8C" w14:textId="77777777" w:rsidR="00CA5B2B" w:rsidRDefault="00CA5B2B" w:rsidP="00CA5B2B">
            <w:pPr>
              <w:pStyle w:val="APVMATableText"/>
            </w:pPr>
            <w:r>
              <w:t>A combination of both active and inactive constituents to form the end use product</w:t>
            </w:r>
          </w:p>
        </w:tc>
      </w:tr>
      <w:tr w:rsidR="00CA5B2B" w14:paraId="5D66D0A8" w14:textId="77777777" w:rsidTr="00772458">
        <w:tc>
          <w:tcPr>
            <w:tcW w:w="1132" w:type="pct"/>
            <w:shd w:val="clear" w:color="auto" w:fill="auto"/>
          </w:tcPr>
          <w:p w14:paraId="2A25EAC2" w14:textId="77777777" w:rsidR="00CA5B2B" w:rsidRDefault="00CA5B2B" w:rsidP="00CA5B2B">
            <w:pPr>
              <w:pStyle w:val="APVMATableText"/>
            </w:pPr>
            <w:r>
              <w:t>Genotoxicity</w:t>
            </w:r>
          </w:p>
        </w:tc>
        <w:tc>
          <w:tcPr>
            <w:tcW w:w="3868" w:type="pct"/>
            <w:shd w:val="clear" w:color="auto" w:fill="auto"/>
          </w:tcPr>
          <w:p w14:paraId="0BABEB19" w14:textId="77777777" w:rsidR="00CA5B2B" w:rsidRDefault="00CA5B2B" w:rsidP="00CA5B2B">
            <w:pPr>
              <w:pStyle w:val="APVMATableText"/>
            </w:pPr>
            <w:r>
              <w:t>The ability to damage genetic material</w:t>
            </w:r>
          </w:p>
        </w:tc>
      </w:tr>
      <w:tr w:rsidR="00CA5B2B" w14:paraId="423048F6" w14:textId="77777777" w:rsidTr="00772458">
        <w:tc>
          <w:tcPr>
            <w:tcW w:w="1132" w:type="pct"/>
            <w:shd w:val="clear" w:color="auto" w:fill="auto"/>
          </w:tcPr>
          <w:p w14:paraId="4C5FAE2C" w14:textId="77777777" w:rsidR="00CA5B2B" w:rsidRDefault="00CA5B2B" w:rsidP="00CA5B2B">
            <w:pPr>
              <w:pStyle w:val="APVMATableText"/>
            </w:pPr>
            <w:r>
              <w:t>Hydrophobic</w:t>
            </w:r>
          </w:p>
        </w:tc>
        <w:tc>
          <w:tcPr>
            <w:tcW w:w="3868" w:type="pct"/>
            <w:shd w:val="clear" w:color="auto" w:fill="auto"/>
          </w:tcPr>
          <w:p w14:paraId="0DA9B277" w14:textId="77777777" w:rsidR="00CA5B2B" w:rsidRDefault="00CA5B2B" w:rsidP="00CA5B2B">
            <w:pPr>
              <w:pStyle w:val="APVMATableText"/>
            </w:pPr>
            <w:r>
              <w:t>Repels water</w:t>
            </w:r>
          </w:p>
        </w:tc>
      </w:tr>
      <w:tr w:rsidR="00CA5B2B" w14:paraId="6373AD5B" w14:textId="77777777" w:rsidTr="00772458">
        <w:tc>
          <w:tcPr>
            <w:tcW w:w="1132" w:type="pct"/>
            <w:shd w:val="clear" w:color="auto" w:fill="auto"/>
          </w:tcPr>
          <w:p w14:paraId="516BD504" w14:textId="77777777" w:rsidR="00CA5B2B" w:rsidRDefault="00CA5B2B" w:rsidP="00CA5B2B">
            <w:pPr>
              <w:pStyle w:val="APVMATableText"/>
            </w:pPr>
            <w:r>
              <w:t>Leaching</w:t>
            </w:r>
          </w:p>
        </w:tc>
        <w:tc>
          <w:tcPr>
            <w:tcW w:w="3868" w:type="pct"/>
            <w:shd w:val="clear" w:color="auto" w:fill="auto"/>
          </w:tcPr>
          <w:p w14:paraId="30D7D784" w14:textId="77777777" w:rsidR="00CA5B2B" w:rsidRDefault="00CA5B2B" w:rsidP="00CA5B2B">
            <w:pPr>
              <w:pStyle w:val="APVMATableText"/>
            </w:pPr>
            <w:r>
              <w:t>Removal of a compound by use of a solvent</w:t>
            </w:r>
          </w:p>
        </w:tc>
      </w:tr>
      <w:tr w:rsidR="00CA5B2B" w14:paraId="2AD6F9CC" w14:textId="77777777" w:rsidTr="00772458">
        <w:tc>
          <w:tcPr>
            <w:tcW w:w="1132" w:type="pct"/>
            <w:shd w:val="clear" w:color="auto" w:fill="auto"/>
          </w:tcPr>
          <w:p w14:paraId="67CE640F" w14:textId="77777777" w:rsidR="00CA5B2B" w:rsidRDefault="00CA5B2B" w:rsidP="00CA5B2B">
            <w:pPr>
              <w:pStyle w:val="APVMATableText"/>
            </w:pPr>
            <w:r>
              <w:t>Metabolism</w:t>
            </w:r>
          </w:p>
        </w:tc>
        <w:tc>
          <w:tcPr>
            <w:tcW w:w="3868" w:type="pct"/>
            <w:shd w:val="clear" w:color="auto" w:fill="auto"/>
          </w:tcPr>
          <w:p w14:paraId="73E171C8" w14:textId="77777777" w:rsidR="00CA5B2B" w:rsidRDefault="00CA5B2B" w:rsidP="00CA5B2B">
            <w:pPr>
              <w:pStyle w:val="APVMATableText"/>
            </w:pPr>
            <w:r>
              <w:t>The chemical processes that maintain living organisms</w:t>
            </w:r>
          </w:p>
        </w:tc>
      </w:tr>
      <w:tr w:rsidR="00CA5B2B" w14:paraId="16D69C09" w14:textId="77777777" w:rsidTr="00772458">
        <w:tc>
          <w:tcPr>
            <w:tcW w:w="1132" w:type="pct"/>
            <w:shd w:val="clear" w:color="auto" w:fill="auto"/>
          </w:tcPr>
          <w:p w14:paraId="1439CF91" w14:textId="77777777" w:rsidR="00CA5B2B" w:rsidRDefault="00CA5B2B" w:rsidP="00CA5B2B">
            <w:pPr>
              <w:pStyle w:val="APVMATableText"/>
            </w:pPr>
            <w:r>
              <w:t>Photodegradation</w:t>
            </w:r>
          </w:p>
        </w:tc>
        <w:tc>
          <w:tcPr>
            <w:tcW w:w="3868" w:type="pct"/>
            <w:shd w:val="clear" w:color="auto" w:fill="auto"/>
          </w:tcPr>
          <w:p w14:paraId="08DCB9F5" w14:textId="77777777" w:rsidR="00CA5B2B" w:rsidRDefault="00CA5B2B" w:rsidP="00CA5B2B">
            <w:pPr>
              <w:pStyle w:val="APVMATableText"/>
            </w:pPr>
            <w:r>
              <w:t>Breakdown of chemicals due to the action of light</w:t>
            </w:r>
          </w:p>
        </w:tc>
      </w:tr>
      <w:tr w:rsidR="00CA5B2B" w14:paraId="13A107AE" w14:textId="77777777" w:rsidTr="00772458">
        <w:tc>
          <w:tcPr>
            <w:tcW w:w="1132" w:type="pct"/>
            <w:shd w:val="clear" w:color="auto" w:fill="auto"/>
          </w:tcPr>
          <w:p w14:paraId="422CC94E" w14:textId="77777777" w:rsidR="00CA5B2B" w:rsidRDefault="00CA5B2B" w:rsidP="00CA5B2B">
            <w:pPr>
              <w:pStyle w:val="APVMATableText"/>
            </w:pPr>
            <w:r>
              <w:t>Photolysis</w:t>
            </w:r>
          </w:p>
        </w:tc>
        <w:tc>
          <w:tcPr>
            <w:tcW w:w="3868" w:type="pct"/>
            <w:shd w:val="clear" w:color="auto" w:fill="auto"/>
          </w:tcPr>
          <w:p w14:paraId="4B338C7A" w14:textId="77777777" w:rsidR="00CA5B2B" w:rsidRDefault="00CA5B2B" w:rsidP="00CA5B2B">
            <w:pPr>
              <w:pStyle w:val="APVMATableText"/>
            </w:pPr>
            <w:r>
              <w:t>Breakdown of chemicals due to the action of light</w:t>
            </w:r>
          </w:p>
        </w:tc>
      </w:tr>
      <w:tr w:rsidR="00CA5B2B" w14:paraId="09890428" w14:textId="77777777" w:rsidTr="00772458">
        <w:tc>
          <w:tcPr>
            <w:tcW w:w="1132" w:type="pct"/>
            <w:shd w:val="clear" w:color="auto" w:fill="auto"/>
          </w:tcPr>
          <w:p w14:paraId="23B04C25" w14:textId="77777777" w:rsidR="00CA5B2B" w:rsidRDefault="00CA5B2B" w:rsidP="00CA5B2B">
            <w:pPr>
              <w:pStyle w:val="APVMATableText"/>
            </w:pPr>
            <w:r>
              <w:t>Subcutaneous</w:t>
            </w:r>
          </w:p>
        </w:tc>
        <w:tc>
          <w:tcPr>
            <w:tcW w:w="3868" w:type="pct"/>
            <w:shd w:val="clear" w:color="auto" w:fill="auto"/>
          </w:tcPr>
          <w:p w14:paraId="3D65E82E" w14:textId="77777777" w:rsidR="00CA5B2B" w:rsidRDefault="00CA5B2B" w:rsidP="00CA5B2B">
            <w:pPr>
              <w:pStyle w:val="APVMATableText"/>
            </w:pPr>
            <w:r>
              <w:t>Under the skin</w:t>
            </w:r>
          </w:p>
        </w:tc>
      </w:tr>
      <w:tr w:rsidR="00CA5B2B" w14:paraId="2BA57DDE" w14:textId="77777777" w:rsidTr="00772458">
        <w:tc>
          <w:tcPr>
            <w:tcW w:w="1132" w:type="pct"/>
            <w:shd w:val="clear" w:color="auto" w:fill="auto"/>
          </w:tcPr>
          <w:p w14:paraId="68712508" w14:textId="77777777" w:rsidR="00CA5B2B" w:rsidRDefault="00CA5B2B" w:rsidP="00CA5B2B">
            <w:pPr>
              <w:pStyle w:val="APVMATableText"/>
            </w:pPr>
            <w:proofErr w:type="spellStart"/>
            <w:r>
              <w:t>Toxicokinetics</w:t>
            </w:r>
            <w:proofErr w:type="spellEnd"/>
          </w:p>
        </w:tc>
        <w:tc>
          <w:tcPr>
            <w:tcW w:w="3868" w:type="pct"/>
            <w:shd w:val="clear" w:color="auto" w:fill="auto"/>
          </w:tcPr>
          <w:p w14:paraId="57A68E14" w14:textId="77777777" w:rsidR="00CA5B2B" w:rsidRDefault="00CA5B2B" w:rsidP="00CA5B2B">
            <w:pPr>
              <w:pStyle w:val="APVMATableText"/>
            </w:pPr>
            <w:r>
              <w:t>The study of the movement of toxins through the body</w:t>
            </w:r>
          </w:p>
        </w:tc>
      </w:tr>
      <w:tr w:rsidR="00CA5B2B" w14:paraId="50303712" w14:textId="77777777" w:rsidTr="00772458">
        <w:tc>
          <w:tcPr>
            <w:tcW w:w="1132" w:type="pct"/>
            <w:shd w:val="clear" w:color="auto" w:fill="auto"/>
          </w:tcPr>
          <w:p w14:paraId="06DA7702" w14:textId="77777777" w:rsidR="00CA5B2B" w:rsidRDefault="00CA5B2B" w:rsidP="00CA5B2B">
            <w:pPr>
              <w:pStyle w:val="APVMATableText"/>
            </w:pPr>
            <w:r>
              <w:t>Toxicology</w:t>
            </w:r>
          </w:p>
        </w:tc>
        <w:tc>
          <w:tcPr>
            <w:tcW w:w="3868" w:type="pct"/>
            <w:shd w:val="clear" w:color="auto" w:fill="auto"/>
          </w:tcPr>
          <w:p w14:paraId="0614348A" w14:textId="77777777" w:rsidR="00CA5B2B" w:rsidRDefault="00CA5B2B" w:rsidP="00CA5B2B">
            <w:pPr>
              <w:pStyle w:val="APVMATableText"/>
            </w:pPr>
            <w:r>
              <w:t>The study of the nature and effects of poisons</w:t>
            </w:r>
          </w:p>
        </w:tc>
      </w:tr>
    </w:tbl>
    <w:p w14:paraId="64BD9C6E" w14:textId="77777777" w:rsidR="009346C3" w:rsidRDefault="009346C3" w:rsidP="00772458">
      <w:pPr>
        <w:pStyle w:val="APVMAText"/>
        <w:sectPr w:rsidR="009346C3">
          <w:headerReference w:type="even" r:id="rId66"/>
          <w:headerReference w:type="default" r:id="rId67"/>
          <w:pgSz w:w="11906" w:h="16838" w:code="9"/>
          <w:pgMar w:top="2835" w:right="1134" w:bottom="1134" w:left="1134" w:header="1701" w:footer="680" w:gutter="0"/>
          <w:cols w:space="708"/>
          <w:docGrid w:linePitch="360"/>
        </w:sectPr>
      </w:pPr>
    </w:p>
    <w:p w14:paraId="59272191" w14:textId="18D9D898" w:rsidR="003329CF" w:rsidRDefault="003329CF" w:rsidP="003329CF">
      <w:pPr>
        <w:pStyle w:val="APVMAAppendixH1"/>
      </w:pPr>
      <w:bookmarkStart w:id="260" w:name="_Toc231963196"/>
      <w:bookmarkStart w:id="261" w:name="_Toc531181111"/>
      <w:bookmarkStart w:id="262" w:name="_Toc7561297"/>
      <w:bookmarkStart w:id="263" w:name="_Toc137198197"/>
      <w:r>
        <w:lastRenderedPageBreak/>
        <w:t>References</w:t>
      </w:r>
      <w:bookmarkEnd w:id="260"/>
      <w:bookmarkEnd w:id="261"/>
      <w:bookmarkEnd w:id="262"/>
      <w:bookmarkEnd w:id="263"/>
    </w:p>
    <w:p w14:paraId="7AC87CFF" w14:textId="666FCE57" w:rsidR="006B3AEF" w:rsidRPr="00235709" w:rsidRDefault="006B3AEF" w:rsidP="00DD03C2">
      <w:pPr>
        <w:pStyle w:val="APVMAText"/>
        <w:rPr>
          <w:color w:val="000000"/>
          <w:szCs w:val="20"/>
          <w:lang w:eastAsia="en-AU"/>
        </w:rPr>
      </w:pPr>
      <w:r>
        <w:rPr>
          <w:lang w:eastAsia="en-AU"/>
        </w:rPr>
        <w:t xml:space="preserve">Australian Government Federal Register of Legislation, </w:t>
      </w:r>
      <w:hyperlink r:id="rId68" w:history="1">
        <w:r w:rsidRPr="00AB2E66">
          <w:rPr>
            <w:rStyle w:val="Hyperlink"/>
            <w:i/>
            <w:iCs/>
            <w:szCs w:val="20"/>
            <w:lang w:eastAsia="en-AU"/>
          </w:rPr>
          <w:t>Agricultural and Veterinary Chemicals Code Act (1994)</w:t>
        </w:r>
        <w:r w:rsidRPr="00AB2E66">
          <w:rPr>
            <w:rStyle w:val="Hyperlink"/>
            <w:szCs w:val="20"/>
            <w:lang w:eastAsia="en-AU"/>
          </w:rPr>
          <w:t xml:space="preserve"> (</w:t>
        </w:r>
        <w:proofErr w:type="spellStart"/>
        <w:r w:rsidRPr="00AB2E66">
          <w:rPr>
            <w:rStyle w:val="Hyperlink"/>
            <w:szCs w:val="20"/>
            <w:lang w:eastAsia="en-AU"/>
          </w:rPr>
          <w:t>Cth</w:t>
        </w:r>
        <w:proofErr w:type="spellEnd"/>
        <w:r w:rsidRPr="00AB2E66">
          <w:rPr>
            <w:rStyle w:val="Hyperlink"/>
            <w:szCs w:val="20"/>
            <w:lang w:eastAsia="en-AU"/>
          </w:rPr>
          <w:t>)</w:t>
        </w:r>
      </w:hyperlink>
      <w:r>
        <w:rPr>
          <w:lang w:eastAsia="en-AU"/>
        </w:rPr>
        <w:t xml:space="preserve">, </w:t>
      </w:r>
      <w:r w:rsidRPr="00AB2E66">
        <w:rPr>
          <w:lang w:eastAsia="en-AU"/>
        </w:rPr>
        <w:t>Federal Register of Legislation</w:t>
      </w:r>
      <w:r>
        <w:rPr>
          <w:lang w:eastAsia="en-AU"/>
        </w:rPr>
        <w:t xml:space="preserve"> website</w:t>
      </w:r>
      <w:r w:rsidR="00DD03C2">
        <w:rPr>
          <w:lang w:eastAsia="en-AU"/>
        </w:rPr>
        <w:t>.</w:t>
      </w:r>
    </w:p>
    <w:p w14:paraId="78702AC9" w14:textId="77777777" w:rsidR="006B3AEF" w:rsidRPr="00235709" w:rsidRDefault="006B3AEF" w:rsidP="00DD03C2">
      <w:pPr>
        <w:pStyle w:val="APVMAText"/>
        <w:rPr>
          <w:lang w:eastAsia="en-AU"/>
        </w:rPr>
      </w:pPr>
      <w:r w:rsidRPr="00235709">
        <w:rPr>
          <w:lang w:eastAsia="en-AU"/>
        </w:rPr>
        <w:t>Australian</w:t>
      </w:r>
      <w:r>
        <w:rPr>
          <w:lang w:eastAsia="en-AU"/>
        </w:rPr>
        <w:t xml:space="preserve"> </w:t>
      </w:r>
      <w:r w:rsidRPr="00235709">
        <w:rPr>
          <w:lang w:eastAsia="en-AU"/>
        </w:rPr>
        <w:t xml:space="preserve">Pesticides and Veterinary Medicines Authority (2018). </w:t>
      </w:r>
      <w:hyperlink r:id="rId69" w:history="1">
        <w:r w:rsidRPr="00AB2E66">
          <w:rPr>
            <w:rStyle w:val="Hyperlink"/>
            <w:i/>
            <w:iCs/>
            <w:szCs w:val="20"/>
            <w:lang w:eastAsia="en-AU"/>
          </w:rPr>
          <w:t xml:space="preserve">Spray Drift Risk Assessment Tool (SDRAT) </w:t>
        </w:r>
        <w:r w:rsidRPr="00AB2E66">
          <w:rPr>
            <w:rStyle w:val="Hyperlink"/>
            <w:rFonts w:eastAsia="TimesNewRomanPSMT"/>
            <w:i/>
            <w:iCs/>
            <w:szCs w:val="20"/>
            <w:lang w:eastAsia="en-AU"/>
          </w:rPr>
          <w:t xml:space="preserve">– </w:t>
        </w:r>
        <w:r w:rsidRPr="00AB2E66">
          <w:rPr>
            <w:rStyle w:val="Hyperlink"/>
            <w:i/>
            <w:iCs/>
            <w:szCs w:val="20"/>
            <w:lang w:eastAsia="en-AU"/>
          </w:rPr>
          <w:t>Version 1.0</w:t>
        </w:r>
      </w:hyperlink>
      <w:r>
        <w:rPr>
          <w:lang w:eastAsia="en-AU"/>
        </w:rPr>
        <w:t>,</w:t>
      </w:r>
      <w:r w:rsidRPr="00235709">
        <w:rPr>
          <w:lang w:eastAsia="en-AU"/>
        </w:rPr>
        <w:t xml:space="preserve"> APVMA </w:t>
      </w:r>
      <w:r>
        <w:rPr>
          <w:lang w:eastAsia="en-AU"/>
        </w:rPr>
        <w:t>website.</w:t>
      </w:r>
    </w:p>
    <w:p w14:paraId="02264D72" w14:textId="77777777" w:rsidR="006B3AEF" w:rsidRDefault="006B3AEF" w:rsidP="00DD03C2">
      <w:pPr>
        <w:pStyle w:val="APVMAText"/>
        <w:rPr>
          <w:lang w:eastAsia="en-AU"/>
        </w:rPr>
      </w:pPr>
      <w:r w:rsidRPr="00235709">
        <w:rPr>
          <w:lang w:eastAsia="en-AU"/>
        </w:rPr>
        <w:t>Australian</w:t>
      </w:r>
      <w:r>
        <w:rPr>
          <w:lang w:eastAsia="en-AU"/>
        </w:rPr>
        <w:t xml:space="preserve"> </w:t>
      </w:r>
      <w:r w:rsidRPr="00235709">
        <w:rPr>
          <w:lang w:eastAsia="en-AU"/>
        </w:rPr>
        <w:t>Pesticides and Veterinary Medicines Authority</w:t>
      </w:r>
      <w:r>
        <w:rPr>
          <w:lang w:eastAsia="en-AU"/>
        </w:rPr>
        <w:t xml:space="preserve"> </w:t>
      </w:r>
      <w:r w:rsidRPr="00235709">
        <w:rPr>
          <w:color w:val="000000"/>
          <w:szCs w:val="20"/>
          <w:lang w:eastAsia="en-AU"/>
        </w:rPr>
        <w:t>(2021a)</w:t>
      </w:r>
      <w:r>
        <w:rPr>
          <w:color w:val="000000"/>
          <w:szCs w:val="20"/>
          <w:lang w:eastAsia="en-AU"/>
        </w:rPr>
        <w:t xml:space="preserve">. </w:t>
      </w:r>
      <w:hyperlink r:id="rId70" w:history="1">
        <w:r w:rsidRPr="00AB2E66">
          <w:rPr>
            <w:rStyle w:val="Hyperlink"/>
            <w:i/>
            <w:iCs/>
            <w:szCs w:val="20"/>
            <w:lang w:eastAsia="en-AU"/>
          </w:rPr>
          <w:t>Acceptable daily intakes for agricultural and veterinary chemicals</w:t>
        </w:r>
      </w:hyperlink>
      <w:r>
        <w:rPr>
          <w:color w:val="000000"/>
          <w:szCs w:val="20"/>
          <w:lang w:eastAsia="en-AU"/>
        </w:rPr>
        <w:t xml:space="preserve">, </w:t>
      </w:r>
      <w:r w:rsidRPr="00235709">
        <w:rPr>
          <w:lang w:eastAsia="en-AU"/>
        </w:rPr>
        <w:t xml:space="preserve">APVMA </w:t>
      </w:r>
      <w:r>
        <w:rPr>
          <w:lang w:eastAsia="en-AU"/>
        </w:rPr>
        <w:t>website.</w:t>
      </w:r>
    </w:p>
    <w:p w14:paraId="1275BB99" w14:textId="77777777" w:rsidR="006B3AEF" w:rsidRPr="00AB2E66" w:rsidRDefault="006B3AEF" w:rsidP="00DD03C2">
      <w:pPr>
        <w:pStyle w:val="APVMAText"/>
        <w:rPr>
          <w:lang w:eastAsia="en-AU"/>
        </w:rPr>
      </w:pPr>
      <w:r w:rsidRPr="00235709">
        <w:rPr>
          <w:lang w:eastAsia="en-AU"/>
        </w:rPr>
        <w:t>Australian</w:t>
      </w:r>
      <w:r>
        <w:rPr>
          <w:lang w:eastAsia="en-AU"/>
        </w:rPr>
        <w:t xml:space="preserve"> </w:t>
      </w:r>
      <w:r w:rsidRPr="00235709">
        <w:rPr>
          <w:lang w:eastAsia="en-AU"/>
        </w:rPr>
        <w:t>Pesticides and Veterinary Medicines Authority</w:t>
      </w:r>
      <w:r>
        <w:rPr>
          <w:lang w:eastAsia="en-AU"/>
        </w:rPr>
        <w:t xml:space="preserve"> </w:t>
      </w:r>
      <w:r w:rsidRPr="00235709">
        <w:rPr>
          <w:color w:val="000000"/>
          <w:szCs w:val="20"/>
          <w:lang w:eastAsia="en-AU"/>
        </w:rPr>
        <w:t>(2021</w:t>
      </w:r>
      <w:r>
        <w:rPr>
          <w:color w:val="000000"/>
          <w:szCs w:val="20"/>
          <w:lang w:eastAsia="en-AU"/>
        </w:rPr>
        <w:t>b</w:t>
      </w:r>
      <w:r w:rsidRPr="00235709">
        <w:rPr>
          <w:color w:val="000000"/>
          <w:szCs w:val="20"/>
          <w:lang w:eastAsia="en-AU"/>
        </w:rPr>
        <w:t>)</w:t>
      </w:r>
      <w:r>
        <w:rPr>
          <w:color w:val="000000"/>
          <w:szCs w:val="20"/>
          <w:lang w:eastAsia="en-AU"/>
        </w:rPr>
        <w:t xml:space="preserve">. </w:t>
      </w:r>
      <w:hyperlink r:id="rId71" w:history="1">
        <w:r>
          <w:rPr>
            <w:rStyle w:val="Hyperlink"/>
            <w:i/>
            <w:iCs/>
            <w:szCs w:val="20"/>
            <w:lang w:eastAsia="en-AU"/>
          </w:rPr>
          <w:t>A</w:t>
        </w:r>
        <w:r w:rsidRPr="00AB2E66">
          <w:rPr>
            <w:rStyle w:val="Hyperlink"/>
            <w:i/>
            <w:iCs/>
            <w:szCs w:val="20"/>
            <w:lang w:eastAsia="en-AU"/>
          </w:rPr>
          <w:t>cute reference doses for agricultural and veterinary chemicals</w:t>
        </w:r>
      </w:hyperlink>
      <w:r w:rsidRPr="00AB2E66">
        <w:rPr>
          <w:color w:val="000000"/>
          <w:szCs w:val="20"/>
          <w:lang w:eastAsia="en-AU"/>
        </w:rPr>
        <w:t>,</w:t>
      </w:r>
      <w:r>
        <w:rPr>
          <w:i/>
          <w:iCs/>
          <w:color w:val="000000"/>
          <w:szCs w:val="20"/>
          <w:lang w:eastAsia="en-AU"/>
        </w:rPr>
        <w:t xml:space="preserve"> </w:t>
      </w:r>
      <w:r w:rsidRPr="00235709">
        <w:rPr>
          <w:lang w:eastAsia="en-AU"/>
        </w:rPr>
        <w:t xml:space="preserve">APVMA </w:t>
      </w:r>
      <w:r>
        <w:rPr>
          <w:lang w:eastAsia="en-AU"/>
        </w:rPr>
        <w:t>website.</w:t>
      </w:r>
    </w:p>
    <w:p w14:paraId="2DBB0556" w14:textId="7F6181DB" w:rsidR="006B3AEF" w:rsidRDefault="006B3AEF" w:rsidP="00DD03C2">
      <w:pPr>
        <w:pStyle w:val="APVMAText"/>
        <w:rPr>
          <w:lang w:eastAsia="en-AU"/>
        </w:rPr>
      </w:pPr>
      <w:r w:rsidRPr="00235709">
        <w:rPr>
          <w:lang w:eastAsia="en-AU"/>
        </w:rPr>
        <w:t>Australian</w:t>
      </w:r>
      <w:r>
        <w:rPr>
          <w:lang w:eastAsia="en-AU"/>
        </w:rPr>
        <w:t xml:space="preserve"> </w:t>
      </w:r>
      <w:r w:rsidRPr="00235709">
        <w:rPr>
          <w:lang w:eastAsia="en-AU"/>
        </w:rPr>
        <w:t>Pesticides and Veterinary Medicines Authority</w:t>
      </w:r>
      <w:r>
        <w:rPr>
          <w:lang w:eastAsia="en-AU"/>
        </w:rPr>
        <w:t xml:space="preserve"> </w:t>
      </w:r>
      <w:r w:rsidRPr="00235709">
        <w:rPr>
          <w:color w:val="000000"/>
          <w:szCs w:val="20"/>
          <w:lang w:eastAsia="en-AU"/>
        </w:rPr>
        <w:t>(2021</w:t>
      </w:r>
      <w:r>
        <w:rPr>
          <w:color w:val="000000"/>
          <w:szCs w:val="20"/>
          <w:lang w:eastAsia="en-AU"/>
        </w:rPr>
        <w:t>c</w:t>
      </w:r>
      <w:r w:rsidRPr="00235709">
        <w:rPr>
          <w:color w:val="000000"/>
          <w:szCs w:val="20"/>
          <w:lang w:eastAsia="en-AU"/>
        </w:rPr>
        <w:t>)</w:t>
      </w:r>
      <w:r>
        <w:rPr>
          <w:color w:val="000000"/>
          <w:szCs w:val="20"/>
          <w:lang w:eastAsia="en-AU"/>
        </w:rPr>
        <w:t xml:space="preserve">. </w:t>
      </w:r>
      <w:hyperlink r:id="rId72" w:history="1">
        <w:r w:rsidRPr="00AB2E66">
          <w:rPr>
            <w:rStyle w:val="Hyperlink"/>
            <w:i/>
            <w:iCs/>
            <w:szCs w:val="20"/>
            <w:lang w:eastAsia="en-AU"/>
          </w:rPr>
          <w:t>FAISD Handbook</w:t>
        </w:r>
      </w:hyperlink>
      <w:r>
        <w:rPr>
          <w:i/>
          <w:iCs/>
          <w:color w:val="000000"/>
          <w:szCs w:val="20"/>
          <w:lang w:eastAsia="en-AU"/>
        </w:rPr>
        <w:t xml:space="preserve">, </w:t>
      </w:r>
      <w:r w:rsidRPr="00235709">
        <w:rPr>
          <w:lang w:eastAsia="en-AU"/>
        </w:rPr>
        <w:t xml:space="preserve">APVMA </w:t>
      </w:r>
      <w:r>
        <w:rPr>
          <w:lang w:eastAsia="en-AU"/>
        </w:rPr>
        <w:t>website.</w:t>
      </w:r>
    </w:p>
    <w:p w14:paraId="43B5E9A1" w14:textId="5C984336" w:rsidR="006B3AEF" w:rsidRPr="006B3AEF" w:rsidRDefault="006B3AEF" w:rsidP="00DD03C2">
      <w:pPr>
        <w:pStyle w:val="APVMAText"/>
        <w:rPr>
          <w:lang w:eastAsia="en-AU"/>
        </w:rPr>
      </w:pPr>
      <w:r>
        <w:rPr>
          <w:lang w:eastAsia="en-AU"/>
        </w:rPr>
        <w:t xml:space="preserve">Australian Wine Research Institute (AWRI) (2010). </w:t>
      </w:r>
      <w:hyperlink r:id="rId73" w:history="1">
        <w:r w:rsidRPr="00DD03C2">
          <w:rPr>
            <w:rStyle w:val="Hyperlink"/>
            <w:i/>
            <w:iCs/>
            <w:lang w:eastAsia="en-AU"/>
          </w:rPr>
          <w:t>Understanding grapevine growth. Flowering and pollination</w:t>
        </w:r>
      </w:hyperlink>
      <w:r w:rsidR="00DD03C2">
        <w:rPr>
          <w:i/>
          <w:iCs/>
          <w:lang w:eastAsia="en-AU"/>
        </w:rPr>
        <w:t>.</w:t>
      </w:r>
      <w:r w:rsidR="00DD03C2">
        <w:rPr>
          <w:lang w:eastAsia="en-AU"/>
        </w:rPr>
        <w:t xml:space="preserve"> AWRI website.</w:t>
      </w:r>
    </w:p>
    <w:p w14:paraId="212E24ED" w14:textId="6236C27A" w:rsidR="006B3AEF" w:rsidRDefault="006B3AEF" w:rsidP="00DD03C2">
      <w:pPr>
        <w:pStyle w:val="APVMAText"/>
        <w:rPr>
          <w:lang w:val="en"/>
        </w:rPr>
      </w:pPr>
      <w:r w:rsidRPr="006B3AEF">
        <w:rPr>
          <w:lang w:val="en"/>
        </w:rPr>
        <w:t xml:space="preserve">Bernard M, </w:t>
      </w:r>
      <w:proofErr w:type="spellStart"/>
      <w:r w:rsidRPr="006B3AEF">
        <w:rPr>
          <w:lang w:val="en"/>
        </w:rPr>
        <w:t>Wainer</w:t>
      </w:r>
      <w:proofErr w:type="spellEnd"/>
      <w:r w:rsidRPr="006B3AEF">
        <w:rPr>
          <w:lang w:val="en"/>
        </w:rPr>
        <w:t xml:space="preserve"> J, Carter V, Semeraro L, Yen AL, Wratten SD, 2006</w:t>
      </w:r>
      <w:r w:rsidRPr="00DD03C2">
        <w:rPr>
          <w:lang w:val="en"/>
        </w:rPr>
        <w:t>. Beneficial insects and spiders in vineyards – predators in Southeast Australia</w:t>
      </w:r>
      <w:r>
        <w:rPr>
          <w:lang w:val="en"/>
        </w:rPr>
        <w:t>. The</w:t>
      </w:r>
      <w:r w:rsidRPr="006B3AEF">
        <w:rPr>
          <w:lang w:val="en"/>
        </w:rPr>
        <w:t xml:space="preserve"> </w:t>
      </w:r>
      <w:r>
        <w:rPr>
          <w:lang w:val="en"/>
        </w:rPr>
        <w:t>Austra</w:t>
      </w:r>
      <w:r w:rsidRPr="006B3AEF">
        <w:rPr>
          <w:lang w:val="en"/>
        </w:rPr>
        <w:t xml:space="preserve">lian and New Zealand </w:t>
      </w:r>
      <w:proofErr w:type="spellStart"/>
      <w:r w:rsidRPr="006B3AEF">
        <w:rPr>
          <w:lang w:val="en"/>
        </w:rPr>
        <w:t>Grapegrower</w:t>
      </w:r>
      <w:proofErr w:type="spellEnd"/>
      <w:r>
        <w:rPr>
          <w:lang w:val="en"/>
        </w:rPr>
        <w:t xml:space="preserve"> </w:t>
      </w:r>
      <w:r w:rsidRPr="006B3AEF">
        <w:rPr>
          <w:lang w:val="en"/>
        </w:rPr>
        <w:t>and Winemaker 512: 37-48</w:t>
      </w:r>
      <w:r w:rsidR="00DD03C2">
        <w:rPr>
          <w:lang w:val="en"/>
        </w:rPr>
        <w:t>l.</w:t>
      </w:r>
    </w:p>
    <w:p w14:paraId="20832A87" w14:textId="44180D33" w:rsidR="009A5ACE" w:rsidRDefault="009A5ACE" w:rsidP="00DD03C2">
      <w:pPr>
        <w:pStyle w:val="APVMAText"/>
        <w:rPr>
          <w:lang w:val="en"/>
        </w:rPr>
      </w:pPr>
      <w:r w:rsidRPr="009A5ACE">
        <w:rPr>
          <w:lang w:val="en"/>
        </w:rPr>
        <w:t xml:space="preserve">ECETOC (2003). </w:t>
      </w:r>
      <w:hyperlink r:id="rId74" w:history="1">
        <w:r w:rsidRPr="00DD03C2">
          <w:rPr>
            <w:rStyle w:val="Hyperlink"/>
            <w:i/>
            <w:iCs/>
            <w:lang w:val="en"/>
          </w:rPr>
          <w:t>Derivation of assessment factors for human health risk assessment</w:t>
        </w:r>
      </w:hyperlink>
      <w:r w:rsidRPr="009A5ACE">
        <w:rPr>
          <w:lang w:val="en"/>
        </w:rPr>
        <w:t>. European centr</w:t>
      </w:r>
      <w:r>
        <w:rPr>
          <w:lang w:val="en"/>
        </w:rPr>
        <w:t>e</w:t>
      </w:r>
      <w:r w:rsidRPr="009A5ACE">
        <w:rPr>
          <w:lang w:val="en"/>
        </w:rPr>
        <w:t xml:space="preserve"> for ecotoxicology and toxicology of chemicals. Technical report No 86 pp 1-90 February 2003.</w:t>
      </w:r>
    </w:p>
    <w:p w14:paraId="0382149A" w14:textId="4D3D1593" w:rsidR="00DD03C2" w:rsidRDefault="006B3AEF" w:rsidP="00DD03C2">
      <w:pPr>
        <w:pStyle w:val="APVMAText"/>
      </w:pPr>
      <w:r>
        <w:t>EFSA (European Food Safety Authority), 2009. G</w:t>
      </w:r>
      <w:hyperlink r:id="rId75" w:history="1">
        <w:r w:rsidRPr="00DD03C2">
          <w:rPr>
            <w:rStyle w:val="Hyperlink"/>
            <w:i/>
            <w:iCs/>
          </w:rPr>
          <w:t>uidance document on risk assessment for birds &amp; mammals on request from EFSA</w:t>
        </w:r>
      </w:hyperlink>
      <w:r>
        <w:t xml:space="preserve">. EFSA Journal 7(12): 1438, </w:t>
      </w:r>
      <w:proofErr w:type="spellStart"/>
      <w:r>
        <w:t>doi</w:t>
      </w:r>
      <w:proofErr w:type="spellEnd"/>
      <w:r>
        <w:t>: 10.2903/j.efsa.2009.1438.</w:t>
      </w:r>
    </w:p>
    <w:p w14:paraId="4AA5581D" w14:textId="2307DFA4" w:rsidR="00DD03C2" w:rsidRDefault="006B3AEF" w:rsidP="00DD03C2">
      <w:pPr>
        <w:pStyle w:val="APVMAText"/>
      </w:pPr>
      <w:r>
        <w:t xml:space="preserve">EFSA (European Food Safety Authority), 2013. </w:t>
      </w:r>
      <w:hyperlink r:id="rId76" w:history="1">
        <w:r w:rsidRPr="00DD03C2">
          <w:rPr>
            <w:rStyle w:val="Hyperlink"/>
            <w:i/>
            <w:iCs/>
          </w:rPr>
          <w:t>Guidance on the risk assessment of plant protection products on bees (</w:t>
        </w:r>
        <w:proofErr w:type="spellStart"/>
        <w:r w:rsidRPr="00DD03C2">
          <w:rPr>
            <w:rStyle w:val="Hyperlink"/>
            <w:i/>
            <w:iCs/>
          </w:rPr>
          <w:t>Apis</w:t>
        </w:r>
        <w:proofErr w:type="spellEnd"/>
        <w:r w:rsidRPr="00DD03C2">
          <w:rPr>
            <w:rStyle w:val="Hyperlink"/>
            <w:i/>
            <w:iCs/>
          </w:rPr>
          <w:t xml:space="preserve"> mellifera, Bombus spp. and solitary bees).</w:t>
        </w:r>
      </w:hyperlink>
      <w:r>
        <w:t xml:space="preserve"> EFSA</w:t>
      </w:r>
      <w:r>
        <w:rPr>
          <w:spacing w:val="-1"/>
        </w:rPr>
        <w:t xml:space="preserve"> </w:t>
      </w:r>
      <w:r>
        <w:t xml:space="preserve">Journal 11(7): 3295. 266 pp. </w:t>
      </w:r>
      <w:proofErr w:type="gramStart"/>
      <w:r>
        <w:t>doi:10.2903/j.efsa</w:t>
      </w:r>
      <w:proofErr w:type="gramEnd"/>
      <w:r>
        <w:t>.2013.3295.</w:t>
      </w:r>
    </w:p>
    <w:p w14:paraId="538B6298" w14:textId="5AD1C5DA" w:rsidR="00DD03C2" w:rsidRDefault="006B3AEF" w:rsidP="00DD03C2">
      <w:pPr>
        <w:pStyle w:val="APVMAText"/>
      </w:pPr>
      <w:r>
        <w:t xml:space="preserve">EFSA (European Food Safety Authority), 2014. </w:t>
      </w:r>
      <w:hyperlink r:id="rId77" w:history="1">
        <w:r w:rsidRPr="00DD03C2">
          <w:rPr>
            <w:rStyle w:val="Hyperlink"/>
            <w:i/>
            <w:iCs/>
          </w:rPr>
          <w:t>EFSA</w:t>
        </w:r>
        <w:r w:rsidRPr="00DD03C2">
          <w:rPr>
            <w:rStyle w:val="Hyperlink"/>
            <w:i/>
            <w:iCs/>
            <w:spacing w:val="-3"/>
          </w:rPr>
          <w:t xml:space="preserve"> </w:t>
        </w:r>
        <w:r w:rsidRPr="00DD03C2">
          <w:rPr>
            <w:rStyle w:val="Hyperlink"/>
            <w:i/>
            <w:iCs/>
          </w:rPr>
          <w:t>guidance document for evaluating</w:t>
        </w:r>
        <w:r w:rsidRPr="00DD03C2">
          <w:rPr>
            <w:rStyle w:val="Hyperlink"/>
            <w:i/>
            <w:iCs/>
            <w:spacing w:val="-2"/>
          </w:rPr>
          <w:t xml:space="preserve"> </w:t>
        </w:r>
        <w:r w:rsidRPr="00DD03C2">
          <w:rPr>
            <w:rStyle w:val="Hyperlink"/>
            <w:i/>
            <w:iCs/>
          </w:rPr>
          <w:t xml:space="preserve">laboratory </w:t>
        </w:r>
        <w:r w:rsidRPr="00DD03C2">
          <w:rPr>
            <w:rStyle w:val="Hyperlink"/>
            <w:i/>
            <w:iCs/>
            <w:position w:val="2"/>
          </w:rPr>
          <w:t>and field dissipation studies</w:t>
        </w:r>
        <w:r w:rsidRPr="00DD03C2">
          <w:rPr>
            <w:rStyle w:val="Hyperlink"/>
            <w:i/>
            <w:iCs/>
            <w:spacing w:val="-1"/>
            <w:position w:val="2"/>
          </w:rPr>
          <w:t xml:space="preserve"> </w:t>
        </w:r>
        <w:r w:rsidRPr="00DD03C2">
          <w:rPr>
            <w:rStyle w:val="Hyperlink"/>
            <w:i/>
            <w:iCs/>
            <w:position w:val="2"/>
          </w:rPr>
          <w:t xml:space="preserve">to obtain </w:t>
        </w:r>
        <w:proofErr w:type="spellStart"/>
        <w:r w:rsidRPr="00DD03C2">
          <w:rPr>
            <w:rStyle w:val="Hyperlink"/>
            <w:i/>
            <w:iCs/>
            <w:position w:val="2"/>
          </w:rPr>
          <w:t>DegT</w:t>
        </w:r>
        <w:proofErr w:type="spellEnd"/>
        <w:r w:rsidRPr="00DD03C2">
          <w:rPr>
            <w:rStyle w:val="Hyperlink"/>
            <w:i/>
            <w:iCs/>
            <w:sz w:val="14"/>
            <w:szCs w:val="14"/>
          </w:rPr>
          <w:t>50</w:t>
        </w:r>
        <w:r w:rsidRPr="00DD03C2">
          <w:rPr>
            <w:rStyle w:val="Hyperlink"/>
            <w:i/>
            <w:iCs/>
            <w:spacing w:val="21"/>
            <w:sz w:val="14"/>
            <w:szCs w:val="14"/>
          </w:rPr>
          <w:t xml:space="preserve"> </w:t>
        </w:r>
        <w:r w:rsidRPr="00DD03C2">
          <w:rPr>
            <w:rStyle w:val="Hyperlink"/>
            <w:i/>
            <w:iCs/>
            <w:position w:val="2"/>
          </w:rPr>
          <w:t>values of</w:t>
        </w:r>
        <w:r w:rsidRPr="00DD03C2">
          <w:rPr>
            <w:rStyle w:val="Hyperlink"/>
            <w:i/>
            <w:iCs/>
            <w:spacing w:val="-1"/>
            <w:position w:val="2"/>
          </w:rPr>
          <w:t xml:space="preserve"> </w:t>
        </w:r>
        <w:r w:rsidRPr="00DD03C2">
          <w:rPr>
            <w:rStyle w:val="Hyperlink"/>
            <w:i/>
            <w:iCs/>
            <w:position w:val="2"/>
          </w:rPr>
          <w:t>active</w:t>
        </w:r>
        <w:r w:rsidRPr="00DD03C2">
          <w:rPr>
            <w:rStyle w:val="Hyperlink"/>
            <w:i/>
            <w:iCs/>
            <w:spacing w:val="-1"/>
            <w:position w:val="2"/>
          </w:rPr>
          <w:t xml:space="preserve"> </w:t>
        </w:r>
        <w:r w:rsidRPr="00DD03C2">
          <w:rPr>
            <w:rStyle w:val="Hyperlink"/>
            <w:i/>
            <w:iCs/>
            <w:position w:val="2"/>
          </w:rPr>
          <w:t xml:space="preserve">substances of plant protection products </w:t>
        </w:r>
        <w:r w:rsidRPr="00DD03C2">
          <w:rPr>
            <w:rStyle w:val="Hyperlink"/>
            <w:i/>
            <w:iCs/>
          </w:rPr>
          <w:t>and transformation products of</w:t>
        </w:r>
        <w:r w:rsidRPr="00DD03C2">
          <w:rPr>
            <w:rStyle w:val="Hyperlink"/>
            <w:i/>
            <w:iCs/>
            <w:spacing w:val="-1"/>
          </w:rPr>
          <w:t xml:space="preserve"> </w:t>
        </w:r>
        <w:r w:rsidRPr="00DD03C2">
          <w:rPr>
            <w:rStyle w:val="Hyperlink"/>
            <w:i/>
            <w:iCs/>
          </w:rPr>
          <w:t>these active substances</w:t>
        </w:r>
        <w:r w:rsidRPr="00DD03C2">
          <w:rPr>
            <w:rStyle w:val="Hyperlink"/>
            <w:i/>
            <w:iCs/>
            <w:spacing w:val="-1"/>
          </w:rPr>
          <w:t xml:space="preserve"> </w:t>
        </w:r>
        <w:r w:rsidRPr="00DD03C2">
          <w:rPr>
            <w:rStyle w:val="Hyperlink"/>
            <w:i/>
            <w:iCs/>
          </w:rPr>
          <w:t>in soil</w:t>
        </w:r>
      </w:hyperlink>
      <w:r w:rsidR="00DD03C2">
        <w:rPr>
          <w:spacing w:val="-2"/>
        </w:rPr>
        <w:t xml:space="preserve">. </w:t>
      </w:r>
      <w:r>
        <w:t xml:space="preserve">EFSA Journal 12(5): 3662, 37 pp. </w:t>
      </w:r>
      <w:proofErr w:type="gramStart"/>
      <w:r>
        <w:t>doi:10.2903/j.efsa</w:t>
      </w:r>
      <w:proofErr w:type="gramEnd"/>
      <w:r>
        <w:t>.2014.3662.</w:t>
      </w:r>
    </w:p>
    <w:p w14:paraId="7F2A94BF" w14:textId="19EA7B5D" w:rsidR="006B3AEF" w:rsidRDefault="009A5ACE" w:rsidP="00DD03C2">
      <w:pPr>
        <w:pStyle w:val="APVMAText"/>
        <w:rPr>
          <w:lang w:val="en"/>
        </w:rPr>
      </w:pPr>
      <w:r w:rsidRPr="009A5ACE">
        <w:rPr>
          <w:lang w:val="en"/>
        </w:rPr>
        <w:t xml:space="preserve">Ishii, S., Ishii, K., </w:t>
      </w:r>
      <w:proofErr w:type="spellStart"/>
      <w:r w:rsidRPr="009A5ACE">
        <w:rPr>
          <w:lang w:val="en"/>
        </w:rPr>
        <w:t>Nakadate</w:t>
      </w:r>
      <w:proofErr w:type="spellEnd"/>
      <w:r w:rsidRPr="009A5ACE">
        <w:rPr>
          <w:lang w:val="en"/>
        </w:rPr>
        <w:t xml:space="preserve">, M. and Yamasaki, K. (2013). </w:t>
      </w:r>
      <w:r w:rsidRPr="00DD03C2">
        <w:rPr>
          <w:i/>
          <w:iCs/>
          <w:lang w:val="en"/>
        </w:rPr>
        <w:t>Correlation study in skin and eye irritation between rabbits and humans based on published literatures</w:t>
      </w:r>
      <w:r w:rsidRPr="009A5ACE">
        <w:rPr>
          <w:lang w:val="en"/>
        </w:rPr>
        <w:t xml:space="preserve">. Food Chem. </w:t>
      </w:r>
      <w:proofErr w:type="spellStart"/>
      <w:r w:rsidRPr="009A5ACE">
        <w:rPr>
          <w:lang w:val="en"/>
        </w:rPr>
        <w:t>Toxicol</w:t>
      </w:r>
      <w:proofErr w:type="spellEnd"/>
      <w:r w:rsidRPr="009A5ACE">
        <w:rPr>
          <w:lang w:val="en"/>
        </w:rPr>
        <w:t>. 55 (596-601) DOI: 10.1016/j.fct.2013.02.004.</w:t>
      </w:r>
    </w:p>
    <w:p w14:paraId="08B5E32F" w14:textId="04D05C34" w:rsidR="006B3AEF" w:rsidRPr="006B3AEF" w:rsidRDefault="006B3AEF" w:rsidP="00DD03C2">
      <w:pPr>
        <w:pStyle w:val="APVMAText"/>
        <w:rPr>
          <w:lang w:val="en"/>
        </w:rPr>
      </w:pPr>
      <w:r w:rsidRPr="006B3AEF">
        <w:rPr>
          <w:lang w:val="en"/>
        </w:rPr>
        <w:t>OECD (</w:t>
      </w:r>
      <w:proofErr w:type="spellStart"/>
      <w:r w:rsidRPr="006B3AEF">
        <w:rPr>
          <w:lang w:val="en"/>
        </w:rPr>
        <w:t>Organisation</w:t>
      </w:r>
      <w:proofErr w:type="spellEnd"/>
      <w:r w:rsidRPr="006B3AEF">
        <w:rPr>
          <w:lang w:val="en"/>
        </w:rPr>
        <w:t xml:space="preserve"> for Economic Co-operation and Development), 2018. </w:t>
      </w:r>
      <w:hyperlink r:id="rId78" w:history="1">
        <w:r w:rsidRPr="00DD03C2">
          <w:rPr>
            <w:rStyle w:val="Hyperlink"/>
            <w:i/>
            <w:iCs/>
            <w:lang w:val="en"/>
          </w:rPr>
          <w:t xml:space="preserve">Revised guidance document 150 on </w:t>
        </w:r>
        <w:proofErr w:type="spellStart"/>
        <w:r w:rsidRPr="00DD03C2">
          <w:rPr>
            <w:rStyle w:val="Hyperlink"/>
            <w:i/>
            <w:iCs/>
            <w:lang w:val="en"/>
          </w:rPr>
          <w:t>standardised</w:t>
        </w:r>
        <w:proofErr w:type="spellEnd"/>
        <w:r w:rsidRPr="00DD03C2">
          <w:rPr>
            <w:rStyle w:val="Hyperlink"/>
            <w:i/>
            <w:iCs/>
            <w:lang w:val="en"/>
          </w:rPr>
          <w:t xml:space="preserve"> test guidelines for evaluating chemicals for endocrine disruption</w:t>
        </w:r>
      </w:hyperlink>
      <w:r w:rsidRPr="006B3AEF">
        <w:rPr>
          <w:lang w:val="en"/>
        </w:rPr>
        <w:t>. OECD Series on Testing and Assessment, OECD Publishing, Paris.</w:t>
      </w:r>
    </w:p>
    <w:p w14:paraId="14A08764" w14:textId="7BFE7FAE" w:rsidR="006B3AEF" w:rsidRDefault="006B3AEF" w:rsidP="00DD03C2">
      <w:pPr>
        <w:pStyle w:val="APVMAText"/>
        <w:rPr>
          <w:lang w:val="en"/>
        </w:rPr>
      </w:pPr>
      <w:proofErr w:type="spellStart"/>
      <w:r w:rsidRPr="006B3AEF">
        <w:rPr>
          <w:lang w:val="en"/>
        </w:rPr>
        <w:lastRenderedPageBreak/>
        <w:t>Retallack</w:t>
      </w:r>
      <w:proofErr w:type="spellEnd"/>
      <w:r w:rsidRPr="006B3AEF">
        <w:rPr>
          <w:lang w:val="en"/>
        </w:rPr>
        <w:t xml:space="preserve"> M, 2021. </w:t>
      </w:r>
      <w:hyperlink r:id="rId79" w:history="1">
        <w:r w:rsidRPr="00DD03C2">
          <w:rPr>
            <w:rStyle w:val="Hyperlink"/>
            <w:i/>
            <w:iCs/>
            <w:lang w:val="en"/>
          </w:rPr>
          <w:t xml:space="preserve">Natural predators of vineyard </w:t>
        </w:r>
        <w:proofErr w:type="gramStart"/>
        <w:r w:rsidRPr="00DD03C2">
          <w:rPr>
            <w:rStyle w:val="Hyperlink"/>
            <w:i/>
            <w:iCs/>
            <w:lang w:val="en"/>
          </w:rPr>
          <w:t>insects</w:t>
        </w:r>
        <w:proofErr w:type="gramEnd"/>
        <w:r w:rsidRPr="00DD03C2">
          <w:rPr>
            <w:rStyle w:val="Hyperlink"/>
            <w:i/>
            <w:iCs/>
            <w:lang w:val="en"/>
          </w:rPr>
          <w:t xml:space="preserve"> pests booklet: a guide to the natural enemies of grapevine pests in South Australia</w:t>
        </w:r>
      </w:hyperlink>
      <w:r w:rsidRPr="006B3AEF">
        <w:rPr>
          <w:lang w:val="en"/>
        </w:rPr>
        <w:t>.</w:t>
      </w:r>
    </w:p>
    <w:p w14:paraId="4830CFFA" w14:textId="6D75391C" w:rsidR="006B3AEF" w:rsidRDefault="006B3AEF" w:rsidP="00DD03C2">
      <w:pPr>
        <w:pStyle w:val="APVMAText"/>
        <w:rPr>
          <w:lang w:val="en"/>
        </w:rPr>
      </w:pPr>
      <w:r>
        <w:rPr>
          <w:lang w:val="en"/>
        </w:rPr>
        <w:t xml:space="preserve">The Therapeutic Goods Administration (TGA) (2023) </w:t>
      </w:r>
      <w:hyperlink r:id="rId80" w:history="1">
        <w:r w:rsidRPr="006B3AEF">
          <w:rPr>
            <w:rStyle w:val="Hyperlink"/>
            <w:i/>
            <w:iCs/>
            <w:lang w:val="en"/>
          </w:rPr>
          <w:t>Therapeutic Goods (Poisons Standard-June 2023) Instrument 2023</w:t>
        </w:r>
      </w:hyperlink>
      <w:r>
        <w:rPr>
          <w:lang w:val="en"/>
        </w:rPr>
        <w:t>, TGA website.</w:t>
      </w:r>
    </w:p>
    <w:p w14:paraId="0B32DD61" w14:textId="302D08C3" w:rsidR="006B3AEF" w:rsidRDefault="006B3AEF" w:rsidP="00DD03C2">
      <w:pPr>
        <w:pStyle w:val="APVMAText"/>
        <w:rPr>
          <w:lang w:val="en"/>
        </w:rPr>
      </w:pPr>
      <w:r w:rsidRPr="006B3AEF">
        <w:rPr>
          <w:lang w:val="en"/>
        </w:rPr>
        <w:t xml:space="preserve">USDA (United States Department of Agriculture), 2017. </w:t>
      </w:r>
      <w:hyperlink r:id="rId81" w:history="1">
        <w:r w:rsidRPr="00DD03C2">
          <w:rPr>
            <w:rStyle w:val="Hyperlink"/>
            <w:i/>
            <w:iCs/>
            <w:lang w:val="en"/>
          </w:rPr>
          <w:t>Attractiveness of agricultural corps to pollinating bees for the collection of nectar and/or pollen</w:t>
        </w:r>
      </w:hyperlink>
      <w:r w:rsidRPr="006B3AEF">
        <w:rPr>
          <w:lang w:val="en"/>
        </w:rPr>
        <w:t>.</w:t>
      </w:r>
      <w:r w:rsidR="00DD03C2">
        <w:rPr>
          <w:lang w:val="en"/>
        </w:rPr>
        <w:t xml:space="preserve"> USDA website.</w:t>
      </w:r>
    </w:p>
    <w:p w14:paraId="1E041EDC" w14:textId="294A69EC" w:rsidR="009A5ACE" w:rsidRDefault="009A5ACE" w:rsidP="00DD03C2">
      <w:pPr>
        <w:pStyle w:val="APVMAText"/>
      </w:pPr>
      <w:r>
        <w:t>US EPA (2021a</w:t>
      </w:r>
      <w:r w:rsidRPr="008358D2">
        <w:t xml:space="preserve">). </w:t>
      </w:r>
      <w:hyperlink r:id="rId82" w:history="1">
        <w:r w:rsidRPr="00DD03C2">
          <w:rPr>
            <w:rStyle w:val="Hyperlink"/>
            <w:i/>
            <w:iCs/>
          </w:rPr>
          <w:t>Occupational Pesticide Handler Exposure Calculator (OPHEC) (version date: May 2021). Occupational Pesticide Handler Exposure Data | Pesticide Science and Assessing Pesticide Risks</w:t>
        </w:r>
      </w:hyperlink>
      <w:r w:rsidR="00DD03C2">
        <w:t>.</w:t>
      </w:r>
      <w:r w:rsidRPr="00DD03C2">
        <w:t xml:space="preserve"> US EPA</w:t>
      </w:r>
      <w:r w:rsidR="00DD03C2">
        <w:t xml:space="preserve"> website.</w:t>
      </w:r>
    </w:p>
    <w:p w14:paraId="319B2CD3" w14:textId="71755C8B" w:rsidR="009A5ACE" w:rsidRPr="009A5ACE" w:rsidRDefault="009A5ACE" w:rsidP="00DD03C2">
      <w:pPr>
        <w:pStyle w:val="APVMAText"/>
        <w:rPr>
          <w:bCs/>
          <w:szCs w:val="20"/>
        </w:rPr>
      </w:pPr>
      <w:r w:rsidRPr="008358D2">
        <w:t>US EPA (20</w:t>
      </w:r>
      <w:r>
        <w:t>21b</w:t>
      </w:r>
      <w:r w:rsidRPr="008358D2">
        <w:t xml:space="preserve">). </w:t>
      </w:r>
      <w:hyperlink r:id="rId83" w:history="1">
        <w:r w:rsidRPr="00DD03C2">
          <w:rPr>
            <w:rStyle w:val="Hyperlink"/>
            <w:i/>
            <w:iCs/>
          </w:rPr>
          <w:t>Occupational Pesticide Re-entry Exposure Calculator (OPREC)</w:t>
        </w:r>
      </w:hyperlink>
      <w:r w:rsidRPr="008358D2">
        <w:t>.</w:t>
      </w:r>
      <w:r w:rsidR="00DD03C2">
        <w:t xml:space="preserve"> US EPA website.</w:t>
      </w:r>
    </w:p>
    <w:sectPr w:rsidR="009A5ACE" w:rsidRPr="009A5ACE">
      <w:headerReference w:type="even" r:id="rId84"/>
      <w:headerReference w:type="default" r:id="rId85"/>
      <w:pgSz w:w="11906" w:h="16838" w:code="9"/>
      <w:pgMar w:top="2835" w:right="1134" w:bottom="1134" w:left="1134" w:header="1701"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0C72E" w14:textId="77777777" w:rsidR="005C2D40" w:rsidRDefault="005C2D40">
      <w:r>
        <w:separator/>
      </w:r>
    </w:p>
    <w:p w14:paraId="79461769" w14:textId="77777777" w:rsidR="005C2D40" w:rsidRDefault="005C2D40"/>
    <w:p w14:paraId="10FCFFF9" w14:textId="77777777" w:rsidR="005C2D40" w:rsidRDefault="005C2D40"/>
    <w:p w14:paraId="54F4AB6D" w14:textId="77777777" w:rsidR="005C2D40" w:rsidRDefault="005C2D40"/>
  </w:endnote>
  <w:endnote w:type="continuationSeparator" w:id="0">
    <w:p w14:paraId="38FBE2F7" w14:textId="77777777" w:rsidR="005C2D40" w:rsidRDefault="005C2D40">
      <w:r>
        <w:continuationSeparator/>
      </w:r>
    </w:p>
    <w:p w14:paraId="323F026F" w14:textId="77777777" w:rsidR="005C2D40" w:rsidRDefault="005C2D40"/>
    <w:p w14:paraId="364D3AF6" w14:textId="77777777" w:rsidR="005C2D40" w:rsidRDefault="005C2D40"/>
    <w:p w14:paraId="4BDBB2A7" w14:textId="77777777" w:rsidR="005C2D40" w:rsidRDefault="005C2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Orator Std">
    <w:altName w:val="Calibri"/>
    <w:panose1 w:val="00000000000000000000"/>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F6BF" w14:textId="77777777" w:rsidR="00C22447" w:rsidRDefault="00C22447">
    <w:pPr>
      <w:pStyle w:val="Footer"/>
    </w:pPr>
  </w:p>
  <w:p w14:paraId="2A31A066" w14:textId="77777777" w:rsidR="00843899" w:rsidRDefault="008438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D12EB" w14:textId="77777777" w:rsidR="005C2D40" w:rsidRDefault="005C2D40">
      <w:r>
        <w:separator/>
      </w:r>
    </w:p>
    <w:p w14:paraId="053B9A2A" w14:textId="77777777" w:rsidR="005C2D40" w:rsidRDefault="005C2D40"/>
  </w:footnote>
  <w:footnote w:type="continuationSeparator" w:id="0">
    <w:p w14:paraId="46A87DCE" w14:textId="77777777" w:rsidR="005C2D40" w:rsidRDefault="005C2D40">
      <w:pPr>
        <w:spacing w:line="180" w:lineRule="exact"/>
        <w:rPr>
          <w:sz w:val="16"/>
        </w:rPr>
      </w:pPr>
      <w:r>
        <w:rPr>
          <w:sz w:val="16"/>
        </w:rPr>
        <w:continuationSeparator/>
      </w:r>
    </w:p>
    <w:p w14:paraId="48EF10D1" w14:textId="77777777" w:rsidR="005C2D40" w:rsidRDefault="005C2D40"/>
    <w:p w14:paraId="1664F89F" w14:textId="77777777" w:rsidR="005C2D40" w:rsidRDefault="005C2D40"/>
    <w:p w14:paraId="3AA2A54F" w14:textId="77777777" w:rsidR="005C2D40" w:rsidRDefault="005C2D40"/>
  </w:footnote>
  <w:footnote w:type="continuationNotice" w:id="1">
    <w:p w14:paraId="52DE1DE9" w14:textId="77777777" w:rsidR="005C2D40" w:rsidRDefault="005C2D40"/>
    <w:p w14:paraId="2E2E6038" w14:textId="77777777" w:rsidR="005C2D40" w:rsidRDefault="005C2D40"/>
    <w:p w14:paraId="442DFF63" w14:textId="77777777" w:rsidR="005C2D40" w:rsidRDefault="005C2D40"/>
    <w:p w14:paraId="33AB57E6" w14:textId="77777777" w:rsidR="005C2D40" w:rsidRDefault="005C2D40"/>
  </w:footnote>
  <w:footnote w:id="2">
    <w:p w14:paraId="05773C0D" w14:textId="77777777" w:rsidR="00F9202B" w:rsidRPr="0071481F" w:rsidRDefault="00F9202B" w:rsidP="00F9202B">
      <w:pPr>
        <w:pStyle w:val="FootnoteText"/>
        <w:rPr>
          <w:sz w:val="18"/>
          <w:szCs w:val="18"/>
        </w:rPr>
      </w:pPr>
      <w:r>
        <w:rPr>
          <w:rStyle w:val="FootnoteReference"/>
        </w:rPr>
        <w:footnoteRef/>
      </w:r>
      <w:r>
        <w:t xml:space="preserve"> </w:t>
      </w:r>
      <w:hyperlink r:id="rId1" w:history="1">
        <w:r w:rsidRPr="0071481F">
          <w:rPr>
            <w:rStyle w:val="Hyperlink"/>
            <w:sz w:val="18"/>
            <w:szCs w:val="18"/>
          </w:rPr>
          <w:t>OECD Publications on pesticide residues</w:t>
        </w:r>
      </w:hyperlink>
    </w:p>
  </w:footnote>
  <w:footnote w:id="3">
    <w:p w14:paraId="7102CE4A" w14:textId="4F93E5F0" w:rsidR="006A20B0" w:rsidRPr="00E21275" w:rsidRDefault="006A20B0" w:rsidP="006A20B0">
      <w:pPr>
        <w:pStyle w:val="FootnoteText"/>
      </w:pPr>
      <w:r w:rsidRPr="00E21275">
        <w:rPr>
          <w:rStyle w:val="FootnoteReference"/>
          <w:rFonts w:eastAsiaTheme="majorEastAsia"/>
        </w:rPr>
        <w:footnoteRef/>
      </w:r>
      <w:r w:rsidRPr="00E21275">
        <w:t xml:space="preserve"> APVMA Regulatory Guidelines – </w:t>
      </w:r>
      <w:r w:rsidRPr="00DD03C2">
        <w:rPr>
          <w:i/>
          <w:iCs/>
        </w:rPr>
        <w:t>Data Guidelines: Agricultural</w:t>
      </w:r>
      <w:r w:rsidRPr="00E21275">
        <w:t xml:space="preserve"> </w:t>
      </w:r>
      <w:r w:rsidR="00DD03C2">
        <w:t>–</w:t>
      </w:r>
      <w:r w:rsidRPr="00E21275">
        <w:t xml:space="preserve"> Overseas trade (Part 5B)</w:t>
      </w:r>
    </w:p>
  </w:footnote>
  <w:footnote w:id="4">
    <w:p w14:paraId="284B1DEA" w14:textId="55FE4534" w:rsidR="006A20B0" w:rsidRDefault="006A20B0" w:rsidP="006A20B0">
      <w:pPr>
        <w:pStyle w:val="FootnoteText"/>
      </w:pPr>
      <w:r>
        <w:rPr>
          <w:rStyle w:val="FootnoteReference"/>
        </w:rPr>
        <w:footnoteRef/>
      </w:r>
      <w:r>
        <w:t xml:space="preserve"> </w:t>
      </w:r>
      <w:hyperlink r:id="rId2" w:anchor="2021" w:history="1">
        <w:r>
          <w:rPr>
            <w:rStyle w:val="Hyperlink"/>
          </w:rPr>
          <w:t>Australian Government Department of Agriculture, Fisheries and Forestry</w:t>
        </w:r>
        <w:r w:rsidR="00DD03C2">
          <w:rPr>
            <w:rStyle w:val="Hyperlink"/>
          </w:rPr>
          <w:t xml:space="preserve">, </w:t>
        </w:r>
        <w:r>
          <w:rPr>
            <w:rStyle w:val="Hyperlink"/>
          </w:rPr>
          <w:t>ABARES</w:t>
        </w:r>
        <w:r w:rsidR="00DD03C2">
          <w:rPr>
            <w:rStyle w:val="Hyperlink"/>
          </w:rPr>
          <w:t xml:space="preserve">, </w:t>
        </w:r>
        <w:r w:rsidRPr="00DD03C2">
          <w:rPr>
            <w:rStyle w:val="Hyperlink"/>
            <w:i/>
            <w:iCs/>
          </w:rPr>
          <w:t>Agricultural commodities and trade</w:t>
        </w:r>
        <w:r>
          <w:rPr>
            <w:rStyle w:val="Hyperlink"/>
          </w:rPr>
          <w:t xml:space="preserve"> </w:t>
        </w:r>
        <w:r w:rsidRPr="00DD03C2">
          <w:rPr>
            <w:rStyle w:val="Hyperlink"/>
            <w:i/>
            <w:iCs/>
          </w:rPr>
          <w:t>data</w:t>
        </w:r>
      </w:hyperlink>
      <w:r>
        <w:t xml:space="preserve">, cited </w:t>
      </w:r>
      <w:r w:rsidR="00DD03C2">
        <w:t xml:space="preserve">8 March </w:t>
      </w:r>
      <w:r>
        <w:t>2023.</w:t>
      </w:r>
    </w:p>
  </w:footnote>
  <w:footnote w:id="5">
    <w:p w14:paraId="7DA4A52F" w14:textId="1DFF5C9E" w:rsidR="006A20B0" w:rsidRDefault="006A20B0" w:rsidP="006A20B0">
      <w:pPr>
        <w:pStyle w:val="FootnoteText"/>
      </w:pPr>
      <w:r>
        <w:rPr>
          <w:rStyle w:val="FootnoteReference"/>
        </w:rPr>
        <w:footnoteRef/>
      </w:r>
      <w:r>
        <w:t xml:space="preserve"> </w:t>
      </w:r>
      <w:hyperlink r:id="rId3" w:history="1">
        <w:r>
          <w:rPr>
            <w:rStyle w:val="Hyperlink"/>
          </w:rPr>
          <w:t>European Commission</w:t>
        </w:r>
        <w:r w:rsidR="00DD03C2">
          <w:rPr>
            <w:rStyle w:val="Hyperlink"/>
          </w:rPr>
          <w:t>,</w:t>
        </w:r>
        <w:r>
          <w:rPr>
            <w:rStyle w:val="Hyperlink"/>
          </w:rPr>
          <w:t xml:space="preserve"> Pesticide residue(s) and maximum residue levels (mg/kg)</w:t>
        </w:r>
      </w:hyperlink>
      <w:r>
        <w:t>, cited 8</w:t>
      </w:r>
      <w:r w:rsidR="00DD03C2">
        <w:t xml:space="preserve"> March </w:t>
      </w:r>
      <w:r>
        <w:t>2023.</w:t>
      </w:r>
    </w:p>
  </w:footnote>
  <w:footnote w:id="6">
    <w:p w14:paraId="158B5D0B" w14:textId="1EF7487C" w:rsidR="006A20B0" w:rsidRDefault="006A20B0" w:rsidP="006A20B0">
      <w:pPr>
        <w:pStyle w:val="FootnoteText"/>
      </w:pPr>
      <w:r>
        <w:rPr>
          <w:rStyle w:val="FootnoteReference"/>
        </w:rPr>
        <w:footnoteRef/>
      </w:r>
      <w:r>
        <w:t xml:space="preserve"> </w:t>
      </w:r>
      <w:hyperlink r:id="rId4" w:history="1">
        <w:r>
          <w:rPr>
            <w:rStyle w:val="Hyperlink"/>
          </w:rPr>
          <w:t>United States of America</w:t>
        </w:r>
        <w:r w:rsidR="00DD03C2">
          <w:rPr>
            <w:rStyle w:val="Hyperlink"/>
          </w:rPr>
          <w:t xml:space="preserve">, </w:t>
        </w:r>
        <w:r>
          <w:rPr>
            <w:rStyle w:val="Hyperlink"/>
          </w:rPr>
          <w:t xml:space="preserve">Code of </w:t>
        </w:r>
        <w:r w:rsidR="00DD03C2">
          <w:rPr>
            <w:rStyle w:val="Hyperlink"/>
          </w:rPr>
          <w:t>F</w:t>
        </w:r>
        <w:r>
          <w:rPr>
            <w:rStyle w:val="Hyperlink"/>
          </w:rPr>
          <w:t>ederal Regulations</w:t>
        </w:r>
        <w:r w:rsidR="00DD03C2">
          <w:rPr>
            <w:rStyle w:val="Hyperlink"/>
          </w:rPr>
          <w:t>,</w:t>
        </w:r>
        <w:r>
          <w:rPr>
            <w:rStyle w:val="Hyperlink"/>
          </w:rPr>
          <w:t xml:space="preserve"> </w:t>
        </w:r>
        <w:r w:rsidRPr="00DD03C2">
          <w:rPr>
            <w:rStyle w:val="Hyperlink"/>
            <w:i/>
            <w:iCs/>
          </w:rPr>
          <w:t>P</w:t>
        </w:r>
        <w:r w:rsidR="00DD03C2" w:rsidRPr="00DD03C2">
          <w:rPr>
            <w:rStyle w:val="Hyperlink"/>
            <w:i/>
            <w:iCs/>
          </w:rPr>
          <w:t>art 180 – Tolerances and exemptions for pesticide</w:t>
        </w:r>
        <w:r w:rsidRPr="00DD03C2">
          <w:rPr>
            <w:rStyle w:val="Hyperlink"/>
            <w:i/>
            <w:iCs/>
          </w:rPr>
          <w:t xml:space="preserve"> </w:t>
        </w:r>
        <w:r w:rsidR="00DD03C2" w:rsidRPr="00DD03C2">
          <w:rPr>
            <w:rStyle w:val="Hyperlink"/>
            <w:i/>
            <w:iCs/>
          </w:rPr>
          <w:t>chemical residues in food</w:t>
        </w:r>
      </w:hyperlink>
      <w:r>
        <w:t xml:space="preserve">, cited </w:t>
      </w:r>
      <w:r w:rsidR="00DD03C2">
        <w:t>8 March 2</w:t>
      </w:r>
      <w:r>
        <w:t>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C61D" w14:textId="77777777" w:rsidR="00C22447" w:rsidRDefault="00C22447">
    <w:pPr>
      <w:pStyle w:val="Header"/>
    </w:pPr>
  </w:p>
  <w:p w14:paraId="4EEDABD8" w14:textId="77777777" w:rsidR="00843899" w:rsidRDefault="0084389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CB997" w14:textId="77777777" w:rsidR="00DD03C2" w:rsidRDefault="00DD03C2" w:rsidP="00DD03C2">
    <w:pPr>
      <w:pStyle w:val="APVMAEvenHeader"/>
      <w:pBdr>
        <w:bottom w:val="single" w:sz="4" w:space="2" w:color="auto"/>
      </w:pBdr>
    </w:pPr>
    <w:r>
      <w:rPr>
        <w:rStyle w:val="PageNumber"/>
        <w:b w:val="0"/>
        <w:caps/>
        <w:szCs w:val="24"/>
      </w:rPr>
      <w:fldChar w:fldCharType="begin"/>
    </w:r>
    <w:r>
      <w:rPr>
        <w:rStyle w:val="PageNumber"/>
        <w:szCs w:val="24"/>
      </w:rPr>
      <w:instrText xml:space="preserve"> PAGE </w:instrText>
    </w:r>
    <w:r>
      <w:rPr>
        <w:rStyle w:val="PageNumber"/>
        <w:b w:val="0"/>
        <w:caps/>
        <w:szCs w:val="24"/>
      </w:rPr>
      <w:fldChar w:fldCharType="separate"/>
    </w:r>
    <w:r>
      <w:rPr>
        <w:rStyle w:val="PageNumber"/>
        <w:b w:val="0"/>
        <w:caps/>
      </w:rPr>
      <w:t>iv</w:t>
    </w:r>
    <w:r>
      <w:rPr>
        <w:rStyle w:val="PageNumber"/>
        <w:b w:val="0"/>
        <w:caps/>
        <w:szCs w:val="24"/>
      </w:rPr>
      <w:fldChar w:fldCharType="end"/>
    </w:r>
    <w:r>
      <w:tab/>
      <w:t>Public Release Summary on fenpropidin in SEEKER Duo Fungicide</w:t>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B9F6" w14:textId="737694D6" w:rsidR="00DD03C2" w:rsidRDefault="00DD03C2" w:rsidP="00DD03C2">
    <w:pPr>
      <w:pStyle w:val="APVMAOddHeader"/>
    </w:pPr>
    <w:r>
      <w:tab/>
      <w:t>Residues assessment</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A30E1" w14:textId="77777777" w:rsidR="00DD03C2" w:rsidRDefault="00DD03C2" w:rsidP="00DD03C2">
    <w:pPr>
      <w:pStyle w:val="APVMAEvenHeader"/>
      <w:pBdr>
        <w:bottom w:val="single" w:sz="4" w:space="2" w:color="auto"/>
      </w:pBdr>
    </w:pPr>
    <w:r>
      <w:rPr>
        <w:rStyle w:val="PageNumber"/>
        <w:b w:val="0"/>
        <w:caps/>
        <w:szCs w:val="24"/>
      </w:rPr>
      <w:fldChar w:fldCharType="begin"/>
    </w:r>
    <w:r>
      <w:rPr>
        <w:rStyle w:val="PageNumber"/>
        <w:szCs w:val="24"/>
      </w:rPr>
      <w:instrText xml:space="preserve"> PAGE </w:instrText>
    </w:r>
    <w:r>
      <w:rPr>
        <w:rStyle w:val="PageNumber"/>
        <w:b w:val="0"/>
        <w:caps/>
        <w:szCs w:val="24"/>
      </w:rPr>
      <w:fldChar w:fldCharType="separate"/>
    </w:r>
    <w:r>
      <w:rPr>
        <w:rStyle w:val="PageNumber"/>
        <w:b w:val="0"/>
        <w:caps/>
        <w:szCs w:val="24"/>
      </w:rPr>
      <w:t>15</w:t>
    </w:r>
    <w:r>
      <w:rPr>
        <w:rStyle w:val="PageNumber"/>
        <w:b w:val="0"/>
        <w:caps/>
        <w:szCs w:val="24"/>
      </w:rPr>
      <w:fldChar w:fldCharType="end"/>
    </w:r>
    <w:r>
      <w:tab/>
      <w:t>Public Release Summary on fenpropidin in SEEKER Duo Fungicide</w:t>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5D31" w14:textId="0BF6C0B0" w:rsidR="00DD03C2" w:rsidRDefault="00DD03C2" w:rsidP="00DD03C2">
    <w:pPr>
      <w:pStyle w:val="APVMAOddHeader"/>
    </w:pPr>
    <w:r>
      <w:tab/>
    </w:r>
    <w:r w:rsidRPr="00DD03C2">
      <w:t>Assessment of overseas trade aspects of residues in food</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88D1" w14:textId="77777777" w:rsidR="00DD03C2" w:rsidRDefault="00DD03C2" w:rsidP="00DD03C2">
    <w:pPr>
      <w:pStyle w:val="APVMAEvenHeader"/>
      <w:pBdr>
        <w:bottom w:val="single" w:sz="4" w:space="2" w:color="auto"/>
      </w:pBdr>
    </w:pPr>
    <w:r>
      <w:rPr>
        <w:rStyle w:val="PageNumber"/>
        <w:b w:val="0"/>
        <w:caps/>
        <w:szCs w:val="24"/>
      </w:rPr>
      <w:fldChar w:fldCharType="begin"/>
    </w:r>
    <w:r>
      <w:rPr>
        <w:rStyle w:val="PageNumber"/>
        <w:szCs w:val="24"/>
      </w:rPr>
      <w:instrText xml:space="preserve"> PAGE </w:instrText>
    </w:r>
    <w:r>
      <w:rPr>
        <w:rStyle w:val="PageNumber"/>
        <w:b w:val="0"/>
        <w:caps/>
        <w:szCs w:val="24"/>
      </w:rPr>
      <w:fldChar w:fldCharType="separate"/>
    </w:r>
    <w:r>
      <w:rPr>
        <w:rStyle w:val="PageNumber"/>
        <w:b w:val="0"/>
        <w:caps/>
      </w:rPr>
      <w:t>33</w:t>
    </w:r>
    <w:r>
      <w:rPr>
        <w:rStyle w:val="PageNumber"/>
        <w:b w:val="0"/>
        <w:caps/>
        <w:szCs w:val="24"/>
      </w:rPr>
      <w:fldChar w:fldCharType="end"/>
    </w:r>
    <w:r>
      <w:tab/>
      <w:t>Public Release Summary on fenpropidin in SEEKER Duo Fungicide</w:t>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6F2D" w14:textId="26C669D5" w:rsidR="00DD03C2" w:rsidRDefault="00DD03C2" w:rsidP="00DD03C2">
    <w:pPr>
      <w:pStyle w:val="APVMAOddHeader"/>
    </w:pPr>
    <w:r>
      <w:tab/>
    </w:r>
    <w:r w:rsidRPr="00DD03C2">
      <w:t>Work health and safety assessment</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9A816" w14:textId="77777777" w:rsidR="00DD03C2" w:rsidRDefault="00DD03C2" w:rsidP="00DD03C2">
    <w:pPr>
      <w:pStyle w:val="APVMAEvenHeader"/>
      <w:pBdr>
        <w:bottom w:val="single" w:sz="4" w:space="2" w:color="auto"/>
      </w:pBdr>
    </w:pPr>
    <w:r>
      <w:rPr>
        <w:rStyle w:val="PageNumber"/>
        <w:b w:val="0"/>
        <w:caps/>
        <w:szCs w:val="24"/>
      </w:rPr>
      <w:fldChar w:fldCharType="begin"/>
    </w:r>
    <w:r>
      <w:rPr>
        <w:rStyle w:val="PageNumber"/>
        <w:szCs w:val="24"/>
      </w:rPr>
      <w:instrText xml:space="preserve"> PAGE </w:instrText>
    </w:r>
    <w:r>
      <w:rPr>
        <w:rStyle w:val="PageNumber"/>
        <w:b w:val="0"/>
        <w:caps/>
        <w:szCs w:val="24"/>
      </w:rPr>
      <w:fldChar w:fldCharType="separate"/>
    </w:r>
    <w:r>
      <w:rPr>
        <w:rStyle w:val="PageNumber"/>
        <w:b w:val="0"/>
        <w:caps/>
        <w:szCs w:val="24"/>
      </w:rPr>
      <w:t>37</w:t>
    </w:r>
    <w:r>
      <w:rPr>
        <w:rStyle w:val="PageNumber"/>
        <w:b w:val="0"/>
        <w:caps/>
        <w:szCs w:val="24"/>
      </w:rPr>
      <w:fldChar w:fldCharType="end"/>
    </w:r>
    <w:r>
      <w:tab/>
      <w:t>Public Release Summary on fenpropidin in SEEKER Duo Fungicide</w:t>
    </w:r>
    <w: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68B0C" w14:textId="4258F717" w:rsidR="00DD03C2" w:rsidRDefault="00DD03C2" w:rsidP="00DD03C2">
    <w:pPr>
      <w:pStyle w:val="APVMAOddHeader"/>
    </w:pPr>
    <w:r>
      <w:tab/>
      <w:t>Environmental</w:t>
    </w:r>
    <w:r w:rsidRPr="00DD03C2">
      <w:t xml:space="preserve"> assessment</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1157" w14:textId="7779D9E3" w:rsidR="00DD03C2" w:rsidRDefault="00DD03C2" w:rsidP="00DD03C2">
    <w:pPr>
      <w:pStyle w:val="APVMAOddHeader"/>
    </w:pPr>
    <w:r>
      <w:tab/>
    </w:r>
    <w:r w:rsidRPr="00DD03C2">
      <w:t>Efficacy and safety assessment</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3B03" w14:textId="77777777" w:rsidR="00DD03C2" w:rsidRDefault="00DD03C2" w:rsidP="00DD03C2">
    <w:pPr>
      <w:pStyle w:val="APVMAEvenHeader"/>
      <w:pBdr>
        <w:bottom w:val="single" w:sz="4" w:space="2" w:color="auto"/>
      </w:pBdr>
    </w:pPr>
    <w:r>
      <w:rPr>
        <w:rStyle w:val="PageNumber"/>
        <w:b w:val="0"/>
        <w:caps/>
        <w:szCs w:val="24"/>
      </w:rPr>
      <w:fldChar w:fldCharType="begin"/>
    </w:r>
    <w:r>
      <w:rPr>
        <w:rStyle w:val="PageNumber"/>
        <w:szCs w:val="24"/>
      </w:rPr>
      <w:instrText xml:space="preserve"> PAGE </w:instrText>
    </w:r>
    <w:r>
      <w:rPr>
        <w:rStyle w:val="PageNumber"/>
        <w:b w:val="0"/>
        <w:caps/>
        <w:szCs w:val="24"/>
      </w:rPr>
      <w:fldChar w:fldCharType="separate"/>
    </w:r>
    <w:r>
      <w:rPr>
        <w:rStyle w:val="PageNumber"/>
        <w:b w:val="0"/>
        <w:caps/>
      </w:rPr>
      <w:t>47</w:t>
    </w:r>
    <w:r>
      <w:rPr>
        <w:rStyle w:val="PageNumber"/>
        <w:b w:val="0"/>
        <w:caps/>
        <w:szCs w:val="24"/>
      </w:rPr>
      <w:fldChar w:fldCharType="end"/>
    </w:r>
    <w:r>
      <w:tab/>
      <w:t>Public Release Summary on fenpropidin in SEEKER Duo Fungicide</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F0F9" w14:textId="534600A4" w:rsidR="00843899" w:rsidRDefault="001F5D05" w:rsidP="007F6D92">
    <w:pPr>
      <w:pStyle w:val="APVMAEvenHeader"/>
      <w:pBdr>
        <w:bottom w:val="single" w:sz="4" w:space="2" w:color="auto"/>
      </w:pBdr>
    </w:pPr>
    <w:r>
      <w:rPr>
        <w:rStyle w:val="PageNumber"/>
        <w:b w:val="0"/>
        <w:caps/>
        <w:szCs w:val="24"/>
      </w:rPr>
      <w:fldChar w:fldCharType="begin"/>
    </w:r>
    <w:r>
      <w:rPr>
        <w:rStyle w:val="PageNumber"/>
        <w:szCs w:val="24"/>
      </w:rPr>
      <w:instrText xml:space="preserve"> PAGE </w:instrText>
    </w:r>
    <w:r>
      <w:rPr>
        <w:rStyle w:val="PageNumber"/>
        <w:b w:val="0"/>
        <w:caps/>
        <w:szCs w:val="24"/>
      </w:rPr>
      <w:fldChar w:fldCharType="separate"/>
    </w:r>
    <w:r w:rsidR="0076267D">
      <w:rPr>
        <w:rStyle w:val="PageNumber"/>
        <w:noProof/>
        <w:szCs w:val="24"/>
      </w:rPr>
      <w:t>iv</w:t>
    </w:r>
    <w:r>
      <w:rPr>
        <w:rStyle w:val="PageNumber"/>
        <w:b w:val="0"/>
        <w:caps/>
        <w:szCs w:val="24"/>
      </w:rPr>
      <w:fldChar w:fldCharType="end"/>
    </w:r>
    <w:r w:rsidR="00CA5B2B">
      <w:tab/>
    </w:r>
    <w:r w:rsidR="008F53D7">
      <w:t>Public Release Summary on fenpropidin in SEEKER Duo Fungicide</w:t>
    </w: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5030" w14:textId="44727ED5" w:rsidR="00DD03C2" w:rsidRDefault="00DD03C2" w:rsidP="00DD03C2">
    <w:pPr>
      <w:pStyle w:val="APVMAOddHeader"/>
    </w:pPr>
    <w:r>
      <w:tab/>
      <w:t>Spray drift</w:t>
    </w:r>
    <w:r w:rsidRPr="00DD03C2">
      <w:t xml:space="preserve"> assessment</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3403" w14:textId="172E95C0" w:rsidR="00DD03C2" w:rsidRDefault="00DD03C2" w:rsidP="00DD03C2">
    <w:pPr>
      <w:pStyle w:val="APVMAOddHeader"/>
    </w:pPr>
    <w:r>
      <w:tab/>
      <w:t>Labelling requirements</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92115" w14:textId="77777777" w:rsidR="00DD03C2" w:rsidRDefault="00DD03C2" w:rsidP="00DD03C2">
    <w:pPr>
      <w:pStyle w:val="APVMAEvenHeader"/>
      <w:pBdr>
        <w:bottom w:val="single" w:sz="4" w:space="2" w:color="auto"/>
      </w:pBdr>
    </w:pPr>
    <w:r>
      <w:rPr>
        <w:rStyle w:val="PageNumber"/>
        <w:b w:val="0"/>
        <w:caps/>
        <w:szCs w:val="24"/>
      </w:rPr>
      <w:fldChar w:fldCharType="begin"/>
    </w:r>
    <w:r>
      <w:rPr>
        <w:rStyle w:val="PageNumber"/>
        <w:szCs w:val="24"/>
      </w:rPr>
      <w:instrText xml:space="preserve"> PAGE </w:instrText>
    </w:r>
    <w:r>
      <w:rPr>
        <w:rStyle w:val="PageNumber"/>
        <w:b w:val="0"/>
        <w:caps/>
        <w:szCs w:val="24"/>
      </w:rPr>
      <w:fldChar w:fldCharType="separate"/>
    </w:r>
    <w:r>
      <w:rPr>
        <w:rStyle w:val="PageNumber"/>
        <w:b w:val="0"/>
        <w:caps/>
        <w:szCs w:val="24"/>
      </w:rPr>
      <w:t>51</w:t>
    </w:r>
    <w:r>
      <w:rPr>
        <w:rStyle w:val="PageNumber"/>
        <w:b w:val="0"/>
        <w:caps/>
        <w:szCs w:val="24"/>
      </w:rPr>
      <w:fldChar w:fldCharType="end"/>
    </w:r>
    <w:r>
      <w:tab/>
      <w:t>Public Release Summary on fenpropidin in SEEKER Duo Fungicide</w:t>
    </w:r>
    <w: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FE46" w14:textId="1412B716" w:rsidR="00DD03C2" w:rsidRDefault="00DD03C2" w:rsidP="00DD03C2">
    <w:pPr>
      <w:pStyle w:val="APVMAOddHeader"/>
    </w:pPr>
    <w:r>
      <w:tab/>
      <w:t>Acronyms and abbreviations</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299B" w14:textId="77777777" w:rsidR="00DD03C2" w:rsidRDefault="00DD03C2" w:rsidP="00DD03C2">
    <w:pPr>
      <w:pStyle w:val="APVMAEvenHeader"/>
      <w:pBdr>
        <w:bottom w:val="single" w:sz="4" w:space="2" w:color="auto"/>
      </w:pBdr>
    </w:pPr>
    <w:r>
      <w:rPr>
        <w:rStyle w:val="PageNumber"/>
        <w:b w:val="0"/>
        <w:caps/>
        <w:szCs w:val="24"/>
      </w:rPr>
      <w:fldChar w:fldCharType="begin"/>
    </w:r>
    <w:r>
      <w:rPr>
        <w:rStyle w:val="PageNumber"/>
        <w:szCs w:val="24"/>
      </w:rPr>
      <w:instrText xml:space="preserve"> PAGE </w:instrText>
    </w:r>
    <w:r>
      <w:rPr>
        <w:rStyle w:val="PageNumber"/>
        <w:b w:val="0"/>
        <w:caps/>
        <w:szCs w:val="24"/>
      </w:rPr>
      <w:fldChar w:fldCharType="separate"/>
    </w:r>
    <w:r>
      <w:rPr>
        <w:rStyle w:val="PageNumber"/>
        <w:b w:val="0"/>
        <w:caps/>
        <w:szCs w:val="24"/>
      </w:rPr>
      <w:t>55</w:t>
    </w:r>
    <w:r>
      <w:rPr>
        <w:rStyle w:val="PageNumber"/>
        <w:b w:val="0"/>
        <w:caps/>
        <w:szCs w:val="24"/>
      </w:rPr>
      <w:fldChar w:fldCharType="end"/>
    </w:r>
    <w:r>
      <w:tab/>
      <w:t>Public Release Summary on fenpropidin in SEEKER Duo Fungicide</w:t>
    </w:r>
    <w: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AD61" w14:textId="1259B2F8" w:rsidR="00DD03C2" w:rsidRDefault="00DD03C2" w:rsidP="00DD03C2">
    <w:pPr>
      <w:pStyle w:val="APVMAOddHeader"/>
    </w:pPr>
    <w:r>
      <w:tab/>
      <w:t>Glossary</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7A11" w14:textId="3B2231CB" w:rsidR="00CC5161" w:rsidRDefault="00CC5161">
    <w:pPr>
      <w:pStyle w:val="APVMAOddHeader"/>
    </w:pPr>
    <w:r>
      <w:tab/>
    </w:r>
    <w:r w:rsidR="00CA5B2B">
      <w:t>Glossary</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sidR="0076267D">
      <w:rPr>
        <w:rStyle w:val="PageNumber"/>
        <w:rFonts w:cs="Times New Roman"/>
        <w:bCs w:val="0"/>
        <w:noProof/>
        <w:szCs w:val="24"/>
      </w:rPr>
      <w:t>25</w:t>
    </w:r>
    <w:r>
      <w:rPr>
        <w:rStyle w:val="PageNumber"/>
        <w:rFonts w:cs="Times New Roman"/>
        <w:b w:val="0"/>
        <w:bCs w:val="0"/>
        <w:caps/>
        <w:szCs w:val="24"/>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1063C" w14:textId="2D8B1B6E" w:rsidR="00DD03C2" w:rsidRDefault="00DD03C2" w:rsidP="00DD03C2">
    <w:pPr>
      <w:pStyle w:val="APVMAOddHeader"/>
    </w:pPr>
    <w:r>
      <w:tab/>
      <w:t>References</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EE1BF" w14:textId="77777777" w:rsidR="00DD03C2" w:rsidRDefault="00DD03C2" w:rsidP="00DD03C2">
    <w:pPr>
      <w:pStyle w:val="APVMAEvenHeader"/>
      <w:pBdr>
        <w:bottom w:val="single" w:sz="4" w:space="2" w:color="auto"/>
      </w:pBdr>
    </w:pPr>
    <w:r>
      <w:rPr>
        <w:rStyle w:val="PageNumber"/>
        <w:b w:val="0"/>
        <w:caps/>
        <w:szCs w:val="24"/>
      </w:rPr>
      <w:fldChar w:fldCharType="begin"/>
    </w:r>
    <w:r>
      <w:rPr>
        <w:rStyle w:val="PageNumber"/>
        <w:szCs w:val="24"/>
      </w:rPr>
      <w:instrText xml:space="preserve"> PAGE </w:instrText>
    </w:r>
    <w:r>
      <w:rPr>
        <w:rStyle w:val="PageNumber"/>
        <w:b w:val="0"/>
        <w:caps/>
        <w:szCs w:val="24"/>
      </w:rPr>
      <w:fldChar w:fldCharType="separate"/>
    </w:r>
    <w:r>
      <w:rPr>
        <w:rStyle w:val="PageNumber"/>
        <w:b w:val="0"/>
        <w:caps/>
        <w:szCs w:val="24"/>
      </w:rPr>
      <w:t>61</w:t>
    </w:r>
    <w:r>
      <w:rPr>
        <w:rStyle w:val="PageNumber"/>
        <w:b w:val="0"/>
        <w:caps/>
        <w:szCs w:val="24"/>
      </w:rPr>
      <w:fldChar w:fldCharType="end"/>
    </w:r>
    <w:r>
      <w:tab/>
      <w:t>Public Release Summary on fenpropidin in SEEKER Duo Fungicide</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C24D" w14:textId="2C5FDEF2" w:rsidR="00843899" w:rsidRDefault="00CC5161" w:rsidP="007F6D92">
    <w:pPr>
      <w:pStyle w:val="APVMAOddHeader"/>
    </w:pPr>
    <w:r>
      <w:tab/>
      <w:t>C</w:t>
    </w:r>
    <w:r w:rsidR="00CA5B2B">
      <w:t>ontents</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sidR="0076267D">
      <w:rPr>
        <w:rStyle w:val="PageNumber"/>
        <w:rFonts w:cs="Times New Roman"/>
        <w:bCs w:val="0"/>
        <w:noProof/>
        <w:szCs w:val="24"/>
      </w:rPr>
      <w:t>iii</w:t>
    </w:r>
    <w:r>
      <w:rPr>
        <w:rStyle w:val="PageNumber"/>
        <w:rFonts w:cs="Times New Roman"/>
        <w:b w:val="0"/>
        <w:bCs w:val="0"/>
        <w:caps/>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EEF4" w14:textId="534D6B59" w:rsidR="00DD03C2" w:rsidRDefault="00DD03C2" w:rsidP="00DD03C2">
    <w:pPr>
      <w:pStyle w:val="APVMAOddHeader"/>
    </w:pPr>
    <w:r>
      <w:tab/>
      <w:t>Preface</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AC18" w14:textId="77777777" w:rsidR="00DD03C2" w:rsidRDefault="00DD03C2" w:rsidP="00DD03C2">
    <w:pPr>
      <w:pStyle w:val="APVMAEvenHeader"/>
      <w:pBdr>
        <w:bottom w:val="single" w:sz="4" w:space="2" w:color="auto"/>
      </w:pBdr>
    </w:pPr>
    <w:r>
      <w:rPr>
        <w:rStyle w:val="PageNumber"/>
        <w:b w:val="0"/>
        <w:caps/>
        <w:szCs w:val="24"/>
      </w:rPr>
      <w:fldChar w:fldCharType="begin"/>
    </w:r>
    <w:r>
      <w:rPr>
        <w:rStyle w:val="PageNumber"/>
        <w:szCs w:val="24"/>
      </w:rPr>
      <w:instrText xml:space="preserve"> PAGE </w:instrText>
    </w:r>
    <w:r>
      <w:rPr>
        <w:rStyle w:val="PageNumber"/>
        <w:b w:val="0"/>
        <w:caps/>
        <w:szCs w:val="24"/>
      </w:rPr>
      <w:fldChar w:fldCharType="separate"/>
    </w:r>
    <w:r>
      <w:rPr>
        <w:rStyle w:val="PageNumber"/>
        <w:b w:val="0"/>
        <w:caps/>
      </w:rPr>
      <w:t>iv</w:t>
    </w:r>
    <w:r>
      <w:rPr>
        <w:rStyle w:val="PageNumber"/>
        <w:b w:val="0"/>
        <w:caps/>
        <w:szCs w:val="24"/>
      </w:rPr>
      <w:fldChar w:fldCharType="end"/>
    </w:r>
    <w:r>
      <w:tab/>
      <w:t>Public Release Summary on fenpropidin in SEEKER Duo Fungicide</w: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65CA" w14:textId="5829D387" w:rsidR="00DD03C2" w:rsidRDefault="00DD03C2" w:rsidP="00DD03C2">
    <w:pPr>
      <w:pStyle w:val="APVMAOddHeader"/>
    </w:pPr>
    <w:r>
      <w:tab/>
      <w:t>Introduction</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BAF7" w14:textId="77777777" w:rsidR="00DD03C2" w:rsidRDefault="00DD03C2" w:rsidP="00DD03C2">
    <w:pPr>
      <w:pStyle w:val="APVMAEvenHeader"/>
      <w:pBdr>
        <w:bottom w:val="single" w:sz="4" w:space="2" w:color="auto"/>
      </w:pBdr>
    </w:pPr>
    <w:r>
      <w:rPr>
        <w:rStyle w:val="PageNumber"/>
        <w:b w:val="0"/>
        <w:caps/>
        <w:szCs w:val="24"/>
      </w:rPr>
      <w:fldChar w:fldCharType="begin"/>
    </w:r>
    <w:r>
      <w:rPr>
        <w:rStyle w:val="PageNumber"/>
        <w:szCs w:val="24"/>
      </w:rPr>
      <w:instrText xml:space="preserve"> PAGE </w:instrText>
    </w:r>
    <w:r>
      <w:rPr>
        <w:rStyle w:val="PageNumber"/>
        <w:b w:val="0"/>
        <w:caps/>
        <w:szCs w:val="24"/>
      </w:rPr>
      <w:fldChar w:fldCharType="separate"/>
    </w:r>
    <w:r>
      <w:rPr>
        <w:rStyle w:val="PageNumber"/>
        <w:b w:val="0"/>
        <w:caps/>
        <w:szCs w:val="24"/>
      </w:rPr>
      <w:t>1</w:t>
    </w:r>
    <w:r>
      <w:rPr>
        <w:rStyle w:val="PageNumber"/>
        <w:b w:val="0"/>
        <w:caps/>
        <w:szCs w:val="24"/>
      </w:rPr>
      <w:fldChar w:fldCharType="end"/>
    </w:r>
    <w:r>
      <w:tab/>
      <w:t>Public Release Summary on fenpropidin in SEEKER Duo Fungicide</w:t>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DADB" w14:textId="28E4F465" w:rsidR="00DD03C2" w:rsidRDefault="00DD03C2" w:rsidP="00DD03C2">
    <w:pPr>
      <w:pStyle w:val="APVMAOddHeader"/>
    </w:pPr>
    <w:r>
      <w:tab/>
      <w:t>Chemistry and manufacture</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BF64" w14:textId="72866B6C" w:rsidR="00DD03C2" w:rsidRDefault="00DD03C2" w:rsidP="00DD03C2">
    <w:pPr>
      <w:pStyle w:val="APVMAOddHeader"/>
    </w:pPr>
    <w:r>
      <w:tab/>
      <w:t>Toxicological assessment</w:t>
    </w:r>
    <w:r>
      <w:tab/>
    </w:r>
    <w:r>
      <w:rPr>
        <w:rStyle w:val="PageNumber"/>
        <w:rFonts w:cs="Times New Roman"/>
        <w:b w:val="0"/>
        <w:bCs w:val="0"/>
        <w:caps/>
        <w:szCs w:val="24"/>
      </w:rPr>
      <w:fldChar w:fldCharType="begin"/>
    </w:r>
    <w:r>
      <w:rPr>
        <w:rStyle w:val="PageNumber"/>
        <w:rFonts w:cs="Times New Roman"/>
        <w:bCs w:val="0"/>
        <w:szCs w:val="24"/>
      </w:rPr>
      <w:instrText xml:space="preserve"> PAGE </w:instrText>
    </w:r>
    <w:r>
      <w:rPr>
        <w:rStyle w:val="PageNumber"/>
        <w:rFonts w:cs="Times New Roman"/>
        <w:b w:val="0"/>
        <w:bCs w:val="0"/>
        <w:caps/>
        <w:szCs w:val="24"/>
      </w:rPr>
      <w:fldChar w:fldCharType="separate"/>
    </w:r>
    <w:r>
      <w:rPr>
        <w:rStyle w:val="PageNumber"/>
        <w:b w:val="0"/>
        <w:bCs w:val="0"/>
        <w:caps/>
      </w:rPr>
      <w:t>v</w:t>
    </w:r>
    <w:r>
      <w:rPr>
        <w:rStyle w:val="PageNumber"/>
        <w:rFonts w:cs="Times New Roman"/>
        <w:b w:val="0"/>
        <w:bCs w:val="0"/>
        <w:caps/>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CE70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BE850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C4254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F9A721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C6A37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9042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6CEE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267DC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3ED8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C269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FFFFFFFF"/>
    <w:lvl w:ilvl="0">
      <w:numFmt w:val="bullet"/>
      <w:lvlText w:val=""/>
      <w:lvlJc w:val="left"/>
      <w:pPr>
        <w:ind w:left="839" w:hanging="360"/>
      </w:pPr>
      <w:rPr>
        <w:rFonts w:ascii="Symbol" w:hAnsi="Symbol" w:cs="Symbol"/>
        <w:b w:val="0"/>
        <w:bCs w:val="0"/>
        <w:i w:val="0"/>
        <w:iCs w:val="0"/>
        <w:w w:val="100"/>
        <w:sz w:val="18"/>
        <w:szCs w:val="18"/>
      </w:rPr>
    </w:lvl>
    <w:lvl w:ilvl="1">
      <w:numFmt w:val="bullet"/>
      <w:lvlText w:val="•"/>
      <w:lvlJc w:val="left"/>
      <w:pPr>
        <w:ind w:left="1069" w:hanging="360"/>
      </w:pPr>
    </w:lvl>
    <w:lvl w:ilvl="2">
      <w:numFmt w:val="bullet"/>
      <w:lvlText w:val="•"/>
      <w:lvlJc w:val="left"/>
      <w:pPr>
        <w:ind w:left="1298" w:hanging="360"/>
      </w:pPr>
    </w:lvl>
    <w:lvl w:ilvl="3">
      <w:numFmt w:val="bullet"/>
      <w:lvlText w:val="•"/>
      <w:lvlJc w:val="left"/>
      <w:pPr>
        <w:ind w:left="1527" w:hanging="360"/>
      </w:pPr>
    </w:lvl>
    <w:lvl w:ilvl="4">
      <w:numFmt w:val="bullet"/>
      <w:lvlText w:val="•"/>
      <w:lvlJc w:val="left"/>
      <w:pPr>
        <w:ind w:left="1756" w:hanging="360"/>
      </w:pPr>
    </w:lvl>
    <w:lvl w:ilvl="5">
      <w:numFmt w:val="bullet"/>
      <w:lvlText w:val="•"/>
      <w:lvlJc w:val="left"/>
      <w:pPr>
        <w:ind w:left="1986" w:hanging="360"/>
      </w:pPr>
    </w:lvl>
    <w:lvl w:ilvl="6">
      <w:numFmt w:val="bullet"/>
      <w:lvlText w:val="•"/>
      <w:lvlJc w:val="left"/>
      <w:pPr>
        <w:ind w:left="2215" w:hanging="360"/>
      </w:pPr>
    </w:lvl>
    <w:lvl w:ilvl="7">
      <w:numFmt w:val="bullet"/>
      <w:lvlText w:val="•"/>
      <w:lvlJc w:val="left"/>
      <w:pPr>
        <w:ind w:left="2444" w:hanging="360"/>
      </w:pPr>
    </w:lvl>
    <w:lvl w:ilvl="8">
      <w:numFmt w:val="bullet"/>
      <w:lvlText w:val="•"/>
      <w:lvlJc w:val="left"/>
      <w:pPr>
        <w:ind w:left="2673" w:hanging="360"/>
      </w:pPr>
    </w:lvl>
  </w:abstractNum>
  <w:abstractNum w:abstractNumId="11" w15:restartNumberingAfterBreak="0">
    <w:nsid w:val="020931AD"/>
    <w:multiLevelType w:val="hybridMultilevel"/>
    <w:tmpl w:val="EFC2A470"/>
    <w:lvl w:ilvl="0" w:tplc="85082998">
      <w:start w:val="1"/>
      <w:numFmt w:val="lowerLetter"/>
      <w:pStyle w:val="APVMAListAlpha"/>
      <w:lvlText w:val="%1)"/>
      <w:lvlJc w:val="left"/>
      <w:pPr>
        <w:tabs>
          <w:tab w:val="num" w:pos="34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D84301"/>
    <w:multiLevelType w:val="hybridMultilevel"/>
    <w:tmpl w:val="3CD4F4E4"/>
    <w:lvl w:ilvl="0" w:tplc="F84E5A36">
      <w:start w:val="1"/>
      <w:numFmt w:val="bullet"/>
      <w:pStyle w:val="APVMABullet2"/>
      <w:lvlText w:val=""/>
      <w:lvlJc w:val="left"/>
      <w:pPr>
        <w:ind w:left="700" w:hanging="360"/>
      </w:pPr>
      <w:rPr>
        <w:rFonts w:ascii="Symbol" w:hAnsi="Symbol" w:hint="default"/>
        <w:b w:val="0"/>
        <w:bCs w:val="0"/>
        <w:i w:val="0"/>
        <w:iCs w:val="0"/>
        <w:caps w:val="0"/>
        <w:strike w:val="0"/>
        <w:dstrike w:val="0"/>
        <w:outline w:val="0"/>
        <w:emboss w:val="0"/>
        <w:imprint w:val="0"/>
        <w:vanish w:val="0"/>
        <w:color w:val="008080"/>
        <w:spacing w:val="0"/>
        <w:w w:val="100"/>
        <w:kern w:val="0"/>
        <w:position w:val="0"/>
        <w:sz w:val="20"/>
        <w:szCs w:val="18"/>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975E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9D438D8"/>
    <w:multiLevelType w:val="hybridMultilevel"/>
    <w:tmpl w:val="0EE6E7E0"/>
    <w:lvl w:ilvl="0" w:tplc="DA9AF516">
      <w:start w:val="1"/>
      <w:numFmt w:val="decimal"/>
      <w:pStyle w:val="APVMAListNumbered"/>
      <w:lvlText w:val="%1."/>
      <w:lvlJc w:val="left"/>
      <w:pPr>
        <w:tabs>
          <w:tab w:val="num" w:pos="34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A877CE8"/>
    <w:multiLevelType w:val="hybridMultilevel"/>
    <w:tmpl w:val="9A982504"/>
    <w:lvl w:ilvl="0" w:tplc="7DF81F2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4A725F"/>
    <w:multiLevelType w:val="hybridMultilevel"/>
    <w:tmpl w:val="CD549422"/>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118C65DD"/>
    <w:multiLevelType w:val="multilevel"/>
    <w:tmpl w:val="9C642B5A"/>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B1363C9"/>
    <w:multiLevelType w:val="multilevel"/>
    <w:tmpl w:val="36500846"/>
    <w:lvl w:ilvl="0">
      <w:start w:val="1"/>
      <w:numFmt w:val="bullet"/>
      <w:lvlText w:val=""/>
      <w:lvlJc w:val="left"/>
      <w:pPr>
        <w:tabs>
          <w:tab w:val="num" w:pos="644"/>
        </w:tabs>
        <w:ind w:left="644" w:hanging="284"/>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3624E5"/>
    <w:multiLevelType w:val="multilevel"/>
    <w:tmpl w:val="06229AC6"/>
    <w:lvl w:ilvl="0">
      <w:start w:val="1"/>
      <w:numFmt w:val="bullet"/>
      <w:lvlText w:val="-"/>
      <w:lvlJc w:val="left"/>
      <w:pPr>
        <w:tabs>
          <w:tab w:val="num" w:pos="1021"/>
        </w:tabs>
        <w:ind w:left="1021" w:hanging="341"/>
      </w:pPr>
      <w:rPr>
        <w:rFonts w:ascii="Courier New" w:hAnsi="Courier New" w:hint="default"/>
        <w:b/>
        <w:i w:val="0"/>
        <w:color w:val="385860"/>
        <w:sz w:val="20"/>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750699"/>
    <w:multiLevelType w:val="hybridMultilevel"/>
    <w:tmpl w:val="0250307C"/>
    <w:lvl w:ilvl="0" w:tplc="BF16620C">
      <w:start w:val="1"/>
      <w:numFmt w:val="bullet"/>
      <w:pStyle w:val="APVMABullet1"/>
      <w:lvlText w:val=""/>
      <w:lvlJc w:val="left"/>
      <w:pPr>
        <w:ind w:left="360" w:hanging="360"/>
      </w:pPr>
      <w:rPr>
        <w:rFonts w:ascii="Symbol" w:hAnsi="Symbol" w:hint="default"/>
        <w:b w:val="0"/>
        <w:bCs w:val="0"/>
        <w:i w:val="0"/>
        <w:iCs w:val="0"/>
        <w:caps w:val="0"/>
        <w:strike w:val="0"/>
        <w:dstrike w:val="0"/>
        <w:outline w:val="0"/>
        <w:emboss w:val="0"/>
        <w:imprint w:val="0"/>
        <w:vanish w:val="0"/>
        <w:color w:val="008080"/>
        <w:spacing w:val="0"/>
        <w:w w:val="100"/>
        <w:kern w:val="0"/>
        <w:position w:val="0"/>
        <w:sz w:val="20"/>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663576"/>
    <w:multiLevelType w:val="hybridMultilevel"/>
    <w:tmpl w:val="6D4A5164"/>
    <w:lvl w:ilvl="0" w:tplc="1CD20CA4">
      <w:start w:val="1"/>
      <w:numFmt w:val="bullet"/>
      <w:pStyle w:val="APVMABullet3"/>
      <w:lvlText w:val=""/>
      <w:lvlJc w:val="left"/>
      <w:pPr>
        <w:ind w:left="1040" w:hanging="360"/>
      </w:pPr>
      <w:rPr>
        <w:rFonts w:ascii="Symbol" w:hAnsi="Symbol" w:hint="default"/>
        <w:b w:val="0"/>
        <w:bCs w:val="0"/>
        <w:i w:val="0"/>
        <w:iCs w:val="0"/>
        <w:caps w:val="0"/>
        <w:strike w:val="0"/>
        <w:dstrike w:val="0"/>
        <w:outline w:val="0"/>
        <w:emboss w:val="0"/>
        <w:imprint w:val="0"/>
        <w:color w:val="008080"/>
        <w:spacing w:val="0"/>
        <w:w w:val="100"/>
        <w:kern w:val="0"/>
        <w:position w:val="0"/>
        <w:sz w:val="20"/>
        <w:szCs w:val="18"/>
        <w:vertAlign w:val="baseline"/>
      </w:rPr>
    </w:lvl>
    <w:lvl w:ilvl="1" w:tplc="EF26197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EF775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5177D66"/>
    <w:multiLevelType w:val="hybridMultilevel"/>
    <w:tmpl w:val="F3801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5617B0"/>
    <w:multiLevelType w:val="hybridMultilevel"/>
    <w:tmpl w:val="E822ED26"/>
    <w:lvl w:ilvl="0" w:tplc="D2C43C62">
      <w:start w:val="1"/>
      <w:numFmt w:val="bullet"/>
      <w:pStyle w:val="APVMATableBullet"/>
      <w:lvlText w:val=""/>
      <w:lvlJc w:val="left"/>
      <w:pPr>
        <w:tabs>
          <w:tab w:val="num" w:pos="227"/>
        </w:tabs>
        <w:ind w:left="227" w:hanging="227"/>
      </w:pPr>
      <w:rPr>
        <w:rFonts w:ascii="Symbol" w:hAnsi="Symbol" w:hint="default"/>
        <w:b w:val="0"/>
        <w:i w:val="0"/>
        <w:caps w:val="0"/>
        <w:strike w:val="0"/>
        <w:dstrike w:val="0"/>
        <w:vanish w:val="0"/>
        <w:color w:val="365860"/>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6A817C">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8766A2"/>
    <w:multiLevelType w:val="hybridMultilevel"/>
    <w:tmpl w:val="3C04D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6F4E84"/>
    <w:multiLevelType w:val="hybridMultilevel"/>
    <w:tmpl w:val="DEF01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A3682F"/>
    <w:multiLevelType w:val="multilevel"/>
    <w:tmpl w:val="26E8ED76"/>
    <w:lvl w:ilvl="0">
      <w:start w:val="1"/>
      <w:numFmt w:val="decimal"/>
      <w:pStyle w:val="Styl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B12141E"/>
    <w:multiLevelType w:val="multilevel"/>
    <w:tmpl w:val="FB267000"/>
    <w:lvl w:ilvl="0">
      <w:start w:val="1"/>
      <w:numFmt w:val="decimal"/>
      <w:lvlText w:val="%1"/>
      <w:lvlJc w:val="left"/>
      <w:pPr>
        <w:tabs>
          <w:tab w:val="num" w:pos="680"/>
        </w:tabs>
        <w:ind w:left="680" w:hanging="680"/>
      </w:pPr>
      <w:rPr>
        <w:rFonts w:ascii="Trebuchet MS" w:hAnsi="Trebuchet MS" w:hint="default"/>
        <w:b/>
        <w:i w:val="0"/>
        <w:color w:val="00747A" w:themeColor="background2"/>
        <w:sz w:val="32"/>
        <w:szCs w:val="28"/>
      </w:rPr>
    </w:lvl>
    <w:lvl w:ilvl="1">
      <w:start w:val="1"/>
      <w:numFmt w:val="decimal"/>
      <w:lvlText w:val="%1.%2"/>
      <w:lvlJc w:val="left"/>
      <w:pPr>
        <w:tabs>
          <w:tab w:val="num" w:pos="1220"/>
        </w:tabs>
        <w:ind w:left="1220" w:hanging="680"/>
      </w:pPr>
      <w:rPr>
        <w:rFonts w:ascii="Trebuchet MS" w:hAnsi="Trebuchet MS" w:hint="default"/>
        <w:b/>
        <w:i w:val="0"/>
        <w:sz w:val="28"/>
        <w:szCs w:val="22"/>
      </w:rPr>
    </w:lvl>
    <w:lvl w:ilvl="2">
      <w:start w:val="1"/>
      <w:numFmt w:val="none"/>
      <w:lvlText w:val=""/>
      <w:lvlJc w:val="left"/>
      <w:pPr>
        <w:tabs>
          <w:tab w:val="num" w:pos="0"/>
        </w:tabs>
        <w:ind w:left="0" w:firstLine="0"/>
      </w:pPr>
      <w:rPr>
        <w:rFonts w:hint="default"/>
        <w:sz w:val="20"/>
      </w:rPr>
    </w:lvl>
    <w:lvl w:ilvl="3">
      <w:start w:val="1"/>
      <w:numFmt w:val="none"/>
      <w:lvlRestart w:val="0"/>
      <w:lvlText w:val=""/>
      <w:lvlJc w:val="left"/>
      <w:pPr>
        <w:tabs>
          <w:tab w:val="num" w:pos="0"/>
        </w:tabs>
        <w:ind w:left="0" w:firstLine="0"/>
      </w:pPr>
      <w:rPr>
        <w:rFonts w:hint="default"/>
      </w:rPr>
    </w:lvl>
    <w:lvl w:ilvl="4">
      <w:start w:val="1"/>
      <w:numFmt w:val="none"/>
      <w:lvlRestart w:val="0"/>
      <w:lvlText w:val=""/>
      <w:lvlJc w:val="left"/>
      <w:pPr>
        <w:tabs>
          <w:tab w:val="num" w:pos="0"/>
        </w:tabs>
        <w:ind w:left="0" w:firstLine="0"/>
      </w:pPr>
      <w:rPr>
        <w:rFonts w:hint="default"/>
      </w:rPr>
    </w:lvl>
    <w:lvl w:ilvl="5">
      <w:start w:val="1"/>
      <w:numFmt w:val="none"/>
      <w:lvlRestart w:val="0"/>
      <w:lvlText w:val=""/>
      <w:lvlJc w:val="left"/>
      <w:pPr>
        <w:tabs>
          <w:tab w:val="num" w:pos="1984"/>
        </w:tabs>
        <w:ind w:left="1984" w:hanging="425"/>
      </w:pPr>
      <w:rPr>
        <w:rFonts w:hint="default"/>
      </w:rPr>
    </w:lvl>
    <w:lvl w:ilvl="6">
      <w:start w:val="1"/>
      <w:numFmt w:val="none"/>
      <w:lvlText w:val="%7%5"/>
      <w:lvlJc w:val="left"/>
      <w:pPr>
        <w:tabs>
          <w:tab w:val="num" w:pos="1984"/>
        </w:tabs>
        <w:ind w:left="1984" w:hanging="425"/>
      </w:pPr>
      <w:rPr>
        <w:rFonts w:hint="default"/>
      </w:rPr>
    </w:lvl>
    <w:lvl w:ilvl="7">
      <w:start w:val="1"/>
      <w:numFmt w:val="none"/>
      <w:lvlText w:val="%8%5"/>
      <w:lvlJc w:val="left"/>
      <w:pPr>
        <w:tabs>
          <w:tab w:val="num" w:pos="1984"/>
        </w:tabs>
        <w:ind w:left="1984" w:hanging="425"/>
      </w:pPr>
      <w:rPr>
        <w:rFonts w:hint="default"/>
      </w:rPr>
    </w:lvl>
    <w:lvl w:ilvl="8">
      <w:start w:val="1"/>
      <w:numFmt w:val="none"/>
      <w:lvlText w:val="%9%5"/>
      <w:lvlJc w:val="left"/>
      <w:pPr>
        <w:tabs>
          <w:tab w:val="num" w:pos="1984"/>
        </w:tabs>
        <w:ind w:left="1984" w:hanging="425"/>
      </w:pPr>
      <w:rPr>
        <w:rFonts w:hint="default"/>
      </w:rPr>
    </w:lvl>
  </w:abstractNum>
  <w:abstractNum w:abstractNumId="29" w15:restartNumberingAfterBreak="0">
    <w:nsid w:val="6C7F02CF"/>
    <w:multiLevelType w:val="multilevel"/>
    <w:tmpl w:val="9D4C0DC6"/>
    <w:lvl w:ilvl="0">
      <w:start w:val="1"/>
      <w:numFmt w:val="decimal"/>
      <w:lvlText w:val="%1"/>
      <w:lvlJc w:val="left"/>
      <w:pPr>
        <w:tabs>
          <w:tab w:val="num" w:pos="680"/>
        </w:tabs>
        <w:ind w:left="680" w:hanging="680"/>
      </w:pPr>
      <w:rPr>
        <w:rFonts w:ascii="Trebuchet MS" w:hAnsi="Trebuchet MS" w:hint="default"/>
        <w:b/>
        <w:i w:val="0"/>
        <w:color w:val="354677"/>
        <w:sz w:val="32"/>
        <w:szCs w:val="28"/>
      </w:rPr>
    </w:lvl>
    <w:lvl w:ilvl="1">
      <w:start w:val="1"/>
      <w:numFmt w:val="decimal"/>
      <w:lvlText w:val="%1.%2"/>
      <w:lvlJc w:val="left"/>
      <w:pPr>
        <w:tabs>
          <w:tab w:val="num" w:pos="680"/>
        </w:tabs>
        <w:ind w:left="680" w:hanging="680"/>
      </w:pPr>
      <w:rPr>
        <w:rFonts w:ascii="Trebuchet MS" w:hAnsi="Trebuchet MS" w:hint="default"/>
        <w:b/>
        <w:i w:val="0"/>
        <w:sz w:val="28"/>
        <w:szCs w:val="22"/>
      </w:rPr>
    </w:lvl>
    <w:lvl w:ilvl="2">
      <w:start w:val="1"/>
      <w:numFmt w:val="none"/>
      <w:lvlText w:val=""/>
      <w:lvlJc w:val="left"/>
      <w:pPr>
        <w:tabs>
          <w:tab w:val="num" w:pos="0"/>
        </w:tabs>
        <w:ind w:left="0" w:firstLine="0"/>
      </w:pPr>
      <w:rPr>
        <w:rFonts w:hint="default"/>
        <w:sz w:val="20"/>
      </w:rPr>
    </w:lvl>
    <w:lvl w:ilvl="3">
      <w:start w:val="1"/>
      <w:numFmt w:val="none"/>
      <w:lvlRestart w:val="0"/>
      <w:lvlText w:val=""/>
      <w:lvlJc w:val="left"/>
      <w:pPr>
        <w:tabs>
          <w:tab w:val="num" w:pos="0"/>
        </w:tabs>
        <w:ind w:left="0" w:firstLine="0"/>
      </w:pPr>
      <w:rPr>
        <w:rFonts w:hint="default"/>
      </w:rPr>
    </w:lvl>
    <w:lvl w:ilvl="4">
      <w:start w:val="1"/>
      <w:numFmt w:val="none"/>
      <w:lvlRestart w:val="0"/>
      <w:lvlText w:val=""/>
      <w:lvlJc w:val="left"/>
      <w:pPr>
        <w:tabs>
          <w:tab w:val="num" w:pos="0"/>
        </w:tabs>
        <w:ind w:left="0" w:firstLine="0"/>
      </w:pPr>
      <w:rPr>
        <w:rFonts w:hint="default"/>
      </w:rPr>
    </w:lvl>
    <w:lvl w:ilvl="5">
      <w:start w:val="1"/>
      <w:numFmt w:val="none"/>
      <w:lvlRestart w:val="0"/>
      <w:lvlText w:val=""/>
      <w:lvlJc w:val="left"/>
      <w:pPr>
        <w:tabs>
          <w:tab w:val="num" w:pos="1984"/>
        </w:tabs>
        <w:ind w:left="1984" w:hanging="425"/>
      </w:pPr>
      <w:rPr>
        <w:rFonts w:hint="default"/>
      </w:rPr>
    </w:lvl>
    <w:lvl w:ilvl="6">
      <w:start w:val="1"/>
      <w:numFmt w:val="none"/>
      <w:lvlText w:val="%7%5"/>
      <w:lvlJc w:val="left"/>
      <w:pPr>
        <w:tabs>
          <w:tab w:val="num" w:pos="1984"/>
        </w:tabs>
        <w:ind w:left="1984" w:hanging="425"/>
      </w:pPr>
      <w:rPr>
        <w:rFonts w:hint="default"/>
      </w:rPr>
    </w:lvl>
    <w:lvl w:ilvl="7">
      <w:start w:val="1"/>
      <w:numFmt w:val="none"/>
      <w:lvlText w:val="%8%5"/>
      <w:lvlJc w:val="left"/>
      <w:pPr>
        <w:tabs>
          <w:tab w:val="num" w:pos="1984"/>
        </w:tabs>
        <w:ind w:left="1984" w:hanging="425"/>
      </w:pPr>
      <w:rPr>
        <w:rFonts w:hint="default"/>
      </w:rPr>
    </w:lvl>
    <w:lvl w:ilvl="8">
      <w:start w:val="1"/>
      <w:numFmt w:val="none"/>
      <w:lvlText w:val="%9%5"/>
      <w:lvlJc w:val="left"/>
      <w:pPr>
        <w:tabs>
          <w:tab w:val="num" w:pos="1984"/>
        </w:tabs>
        <w:ind w:left="1984" w:hanging="425"/>
      </w:pPr>
      <w:rPr>
        <w:rFonts w:hint="default"/>
      </w:rPr>
    </w:lvl>
  </w:abstractNum>
  <w:abstractNum w:abstractNumId="30" w15:restartNumberingAfterBreak="0">
    <w:nsid w:val="77C91A74"/>
    <w:multiLevelType w:val="hybridMultilevel"/>
    <w:tmpl w:val="313AFEE8"/>
    <w:lvl w:ilvl="0" w:tplc="32789EB4">
      <w:start w:val="1"/>
      <w:numFmt w:val="bullet"/>
      <w:lvlText w:val=""/>
      <w:lvlJc w:val="left"/>
      <w:pPr>
        <w:tabs>
          <w:tab w:val="num" w:pos="340"/>
        </w:tabs>
        <w:ind w:left="340" w:hanging="34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2C202C"/>
    <w:multiLevelType w:val="singleLevel"/>
    <w:tmpl w:val="35D0EE8C"/>
    <w:lvl w:ilvl="0">
      <w:start w:val="1"/>
      <w:numFmt w:val="decimal"/>
      <w:lvlText w:val="%1."/>
      <w:lvlJc w:val="left"/>
      <w:pPr>
        <w:tabs>
          <w:tab w:val="num" w:pos="360"/>
        </w:tabs>
        <w:ind w:left="360" w:hanging="360"/>
      </w:pPr>
      <w:rPr>
        <w:rFonts w:hint="default"/>
      </w:rPr>
    </w:lvl>
  </w:abstractNum>
  <w:num w:numId="1" w16cid:durableId="984502900">
    <w:abstractNumId w:val="24"/>
  </w:num>
  <w:num w:numId="2" w16cid:durableId="177355638">
    <w:abstractNumId w:val="24"/>
  </w:num>
  <w:num w:numId="3" w16cid:durableId="1291859482">
    <w:abstractNumId w:val="20"/>
  </w:num>
  <w:num w:numId="4" w16cid:durableId="767194671">
    <w:abstractNumId w:val="21"/>
  </w:num>
  <w:num w:numId="5" w16cid:durableId="1616405581">
    <w:abstractNumId w:val="20"/>
  </w:num>
  <w:num w:numId="6" w16cid:durableId="1557740065">
    <w:abstractNumId w:val="28"/>
  </w:num>
  <w:num w:numId="7" w16cid:durableId="600341408">
    <w:abstractNumId w:val="22"/>
  </w:num>
  <w:num w:numId="8" w16cid:durableId="1613516673">
    <w:abstractNumId w:val="12"/>
  </w:num>
  <w:num w:numId="9" w16cid:durableId="1506239042">
    <w:abstractNumId w:val="11"/>
  </w:num>
  <w:num w:numId="10" w16cid:durableId="341779487">
    <w:abstractNumId w:val="14"/>
  </w:num>
  <w:num w:numId="11" w16cid:durableId="591626150">
    <w:abstractNumId w:val="19"/>
  </w:num>
  <w:num w:numId="12" w16cid:durableId="671834263">
    <w:abstractNumId w:val="28"/>
  </w:num>
  <w:num w:numId="13" w16cid:durableId="482694761">
    <w:abstractNumId w:val="28"/>
  </w:num>
  <w:num w:numId="14" w16cid:durableId="565141790">
    <w:abstractNumId w:val="20"/>
  </w:num>
  <w:num w:numId="15" w16cid:durableId="2003701943">
    <w:abstractNumId w:val="12"/>
  </w:num>
  <w:num w:numId="16" w16cid:durableId="552736738">
    <w:abstractNumId w:val="21"/>
  </w:num>
  <w:num w:numId="17" w16cid:durableId="1919943531">
    <w:abstractNumId w:val="11"/>
  </w:num>
  <w:num w:numId="18" w16cid:durableId="1243223234">
    <w:abstractNumId w:val="14"/>
  </w:num>
  <w:num w:numId="19" w16cid:durableId="879895772">
    <w:abstractNumId w:val="24"/>
  </w:num>
  <w:num w:numId="20" w16cid:durableId="1003967852">
    <w:abstractNumId w:val="29"/>
  </w:num>
  <w:num w:numId="21" w16cid:durableId="943803248">
    <w:abstractNumId w:val="13"/>
  </w:num>
  <w:num w:numId="22" w16cid:durableId="817501155">
    <w:abstractNumId w:val="30"/>
  </w:num>
  <w:num w:numId="23" w16cid:durableId="1104880620">
    <w:abstractNumId w:val="18"/>
  </w:num>
  <w:num w:numId="24" w16cid:durableId="943414350">
    <w:abstractNumId w:val="9"/>
  </w:num>
  <w:num w:numId="25" w16cid:durableId="680009948">
    <w:abstractNumId w:val="7"/>
  </w:num>
  <w:num w:numId="26" w16cid:durableId="1748306124">
    <w:abstractNumId w:val="6"/>
  </w:num>
  <w:num w:numId="27" w16cid:durableId="1666323679">
    <w:abstractNumId w:val="5"/>
  </w:num>
  <w:num w:numId="28" w16cid:durableId="1086224029">
    <w:abstractNumId w:val="4"/>
  </w:num>
  <w:num w:numId="29" w16cid:durableId="1552762986">
    <w:abstractNumId w:val="8"/>
  </w:num>
  <w:num w:numId="30" w16cid:durableId="163322420">
    <w:abstractNumId w:val="3"/>
  </w:num>
  <w:num w:numId="31" w16cid:durableId="148012828">
    <w:abstractNumId w:val="2"/>
  </w:num>
  <w:num w:numId="32" w16cid:durableId="2075152665">
    <w:abstractNumId w:val="1"/>
  </w:num>
  <w:num w:numId="33" w16cid:durableId="1960333742">
    <w:abstractNumId w:val="0"/>
  </w:num>
  <w:num w:numId="34" w16cid:durableId="2135364986">
    <w:abstractNumId w:val="27"/>
  </w:num>
  <w:num w:numId="35" w16cid:durableId="1709181325">
    <w:abstractNumId w:val="17"/>
  </w:num>
  <w:num w:numId="36" w16cid:durableId="283312898">
    <w:abstractNumId w:val="28"/>
  </w:num>
  <w:num w:numId="37" w16cid:durableId="2083982904">
    <w:abstractNumId w:val="26"/>
  </w:num>
  <w:num w:numId="38" w16cid:durableId="801263695">
    <w:abstractNumId w:val="25"/>
  </w:num>
  <w:num w:numId="39" w16cid:durableId="2057730175">
    <w:abstractNumId w:val="10"/>
  </w:num>
  <w:num w:numId="40" w16cid:durableId="1145898804">
    <w:abstractNumId w:val="31"/>
  </w:num>
  <w:num w:numId="41" w16cid:durableId="1973174833">
    <w:abstractNumId w:val="16"/>
  </w:num>
  <w:num w:numId="42" w16cid:durableId="433593456">
    <w:abstractNumId w:val="23"/>
  </w:num>
  <w:num w:numId="43" w16cid:durableId="8899220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 w:dllVersion="2"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96A"/>
    <w:rsid w:val="00004F9C"/>
    <w:rsid w:val="000124F2"/>
    <w:rsid w:val="00017CE2"/>
    <w:rsid w:val="00030722"/>
    <w:rsid w:val="00032787"/>
    <w:rsid w:val="00032B82"/>
    <w:rsid w:val="00046EBF"/>
    <w:rsid w:val="00047D62"/>
    <w:rsid w:val="00062D4E"/>
    <w:rsid w:val="000642F7"/>
    <w:rsid w:val="00065FCE"/>
    <w:rsid w:val="00067056"/>
    <w:rsid w:val="00067828"/>
    <w:rsid w:val="00076007"/>
    <w:rsid w:val="000765C1"/>
    <w:rsid w:val="0008350E"/>
    <w:rsid w:val="000923F1"/>
    <w:rsid w:val="00096163"/>
    <w:rsid w:val="0009735B"/>
    <w:rsid w:val="000A00BA"/>
    <w:rsid w:val="000A2568"/>
    <w:rsid w:val="000A7EF6"/>
    <w:rsid w:val="000B4CEB"/>
    <w:rsid w:val="000C1518"/>
    <w:rsid w:val="000C2C1B"/>
    <w:rsid w:val="000C5EB1"/>
    <w:rsid w:val="000C7478"/>
    <w:rsid w:val="000D0946"/>
    <w:rsid w:val="000D124E"/>
    <w:rsid w:val="000D49ED"/>
    <w:rsid w:val="000E0D1A"/>
    <w:rsid w:val="000E1916"/>
    <w:rsid w:val="000E299F"/>
    <w:rsid w:val="0011280D"/>
    <w:rsid w:val="0011494B"/>
    <w:rsid w:val="00120E00"/>
    <w:rsid w:val="0013016D"/>
    <w:rsid w:val="001358FB"/>
    <w:rsid w:val="00140E74"/>
    <w:rsid w:val="001413A8"/>
    <w:rsid w:val="00147F78"/>
    <w:rsid w:val="001534D8"/>
    <w:rsid w:val="0016652E"/>
    <w:rsid w:val="00167BB3"/>
    <w:rsid w:val="00174413"/>
    <w:rsid w:val="00174E15"/>
    <w:rsid w:val="00177D1E"/>
    <w:rsid w:val="00184190"/>
    <w:rsid w:val="00193533"/>
    <w:rsid w:val="001B335C"/>
    <w:rsid w:val="001B7360"/>
    <w:rsid w:val="001C6607"/>
    <w:rsid w:val="001D0B2F"/>
    <w:rsid w:val="001D1E8B"/>
    <w:rsid w:val="001D3257"/>
    <w:rsid w:val="001E5408"/>
    <w:rsid w:val="001F38D1"/>
    <w:rsid w:val="001F5D05"/>
    <w:rsid w:val="0021465E"/>
    <w:rsid w:val="00234089"/>
    <w:rsid w:val="0024289A"/>
    <w:rsid w:val="00247913"/>
    <w:rsid w:val="00250F67"/>
    <w:rsid w:val="002549D3"/>
    <w:rsid w:val="00262317"/>
    <w:rsid w:val="0026493F"/>
    <w:rsid w:val="002661B3"/>
    <w:rsid w:val="00273344"/>
    <w:rsid w:val="00280720"/>
    <w:rsid w:val="0028200B"/>
    <w:rsid w:val="00282A32"/>
    <w:rsid w:val="00283AC4"/>
    <w:rsid w:val="002853BD"/>
    <w:rsid w:val="002A47E8"/>
    <w:rsid w:val="002A69DD"/>
    <w:rsid w:val="002B4618"/>
    <w:rsid w:val="002B5703"/>
    <w:rsid w:val="002C559E"/>
    <w:rsid w:val="002D16AA"/>
    <w:rsid w:val="002D2FA6"/>
    <w:rsid w:val="002D7779"/>
    <w:rsid w:val="002E20AC"/>
    <w:rsid w:val="002E49F4"/>
    <w:rsid w:val="002F050F"/>
    <w:rsid w:val="002F4591"/>
    <w:rsid w:val="002F5D1B"/>
    <w:rsid w:val="002F7868"/>
    <w:rsid w:val="00301BE4"/>
    <w:rsid w:val="0030255E"/>
    <w:rsid w:val="00302D38"/>
    <w:rsid w:val="0031487D"/>
    <w:rsid w:val="003207F2"/>
    <w:rsid w:val="00320C36"/>
    <w:rsid w:val="00323CDE"/>
    <w:rsid w:val="003329CF"/>
    <w:rsid w:val="003350F0"/>
    <w:rsid w:val="00342452"/>
    <w:rsid w:val="00347883"/>
    <w:rsid w:val="003506C5"/>
    <w:rsid w:val="0036250D"/>
    <w:rsid w:val="00364192"/>
    <w:rsid w:val="00381544"/>
    <w:rsid w:val="003A1BD7"/>
    <w:rsid w:val="003A21CF"/>
    <w:rsid w:val="003A2363"/>
    <w:rsid w:val="003A558F"/>
    <w:rsid w:val="003B36F6"/>
    <w:rsid w:val="003C0891"/>
    <w:rsid w:val="003C526C"/>
    <w:rsid w:val="003D1B7D"/>
    <w:rsid w:val="003D2122"/>
    <w:rsid w:val="003F67BE"/>
    <w:rsid w:val="00401F04"/>
    <w:rsid w:val="00406A9C"/>
    <w:rsid w:val="004070E1"/>
    <w:rsid w:val="0041228F"/>
    <w:rsid w:val="00416646"/>
    <w:rsid w:val="00424BBE"/>
    <w:rsid w:val="00426EBB"/>
    <w:rsid w:val="00444045"/>
    <w:rsid w:val="004616C8"/>
    <w:rsid w:val="00461D26"/>
    <w:rsid w:val="0046400B"/>
    <w:rsid w:val="00465589"/>
    <w:rsid w:val="00470304"/>
    <w:rsid w:val="00476479"/>
    <w:rsid w:val="00484171"/>
    <w:rsid w:val="00493EEA"/>
    <w:rsid w:val="004C1064"/>
    <w:rsid w:val="004D2C4F"/>
    <w:rsid w:val="004D5D7F"/>
    <w:rsid w:val="004E4CD7"/>
    <w:rsid w:val="004F66B0"/>
    <w:rsid w:val="00500B2B"/>
    <w:rsid w:val="005064D5"/>
    <w:rsid w:val="00511FCF"/>
    <w:rsid w:val="0051454B"/>
    <w:rsid w:val="005148C0"/>
    <w:rsid w:val="00520963"/>
    <w:rsid w:val="00522C4A"/>
    <w:rsid w:val="00522E27"/>
    <w:rsid w:val="005303E5"/>
    <w:rsid w:val="0054297E"/>
    <w:rsid w:val="00545167"/>
    <w:rsid w:val="00545899"/>
    <w:rsid w:val="0055178F"/>
    <w:rsid w:val="005527B9"/>
    <w:rsid w:val="00556804"/>
    <w:rsid w:val="00560E83"/>
    <w:rsid w:val="00563297"/>
    <w:rsid w:val="00566590"/>
    <w:rsid w:val="0057121F"/>
    <w:rsid w:val="005958BC"/>
    <w:rsid w:val="00596F1D"/>
    <w:rsid w:val="0059767D"/>
    <w:rsid w:val="005A2957"/>
    <w:rsid w:val="005C2D40"/>
    <w:rsid w:val="005C33B9"/>
    <w:rsid w:val="005D00D1"/>
    <w:rsid w:val="005D0F83"/>
    <w:rsid w:val="005D1A47"/>
    <w:rsid w:val="005E0A0E"/>
    <w:rsid w:val="006110AE"/>
    <w:rsid w:val="006137FE"/>
    <w:rsid w:val="0062466B"/>
    <w:rsid w:val="006273D2"/>
    <w:rsid w:val="006316A3"/>
    <w:rsid w:val="00643052"/>
    <w:rsid w:val="00643F62"/>
    <w:rsid w:val="0064742C"/>
    <w:rsid w:val="006543E8"/>
    <w:rsid w:val="00656E5A"/>
    <w:rsid w:val="00657A28"/>
    <w:rsid w:val="00665FF2"/>
    <w:rsid w:val="00686318"/>
    <w:rsid w:val="00691619"/>
    <w:rsid w:val="006A20B0"/>
    <w:rsid w:val="006A7B67"/>
    <w:rsid w:val="006B31E5"/>
    <w:rsid w:val="006B3AEF"/>
    <w:rsid w:val="006C08BC"/>
    <w:rsid w:val="006D0FC8"/>
    <w:rsid w:val="006D36C8"/>
    <w:rsid w:val="006D5D6C"/>
    <w:rsid w:val="006E099E"/>
    <w:rsid w:val="006E33F7"/>
    <w:rsid w:val="00700C27"/>
    <w:rsid w:val="00702B7D"/>
    <w:rsid w:val="00703BDD"/>
    <w:rsid w:val="00704C88"/>
    <w:rsid w:val="00705195"/>
    <w:rsid w:val="0071715C"/>
    <w:rsid w:val="007275CF"/>
    <w:rsid w:val="00730C59"/>
    <w:rsid w:val="00731659"/>
    <w:rsid w:val="00734315"/>
    <w:rsid w:val="0074111B"/>
    <w:rsid w:val="00743AFF"/>
    <w:rsid w:val="00745198"/>
    <w:rsid w:val="00747FD0"/>
    <w:rsid w:val="00753ED8"/>
    <w:rsid w:val="00754F66"/>
    <w:rsid w:val="0076267D"/>
    <w:rsid w:val="00770B96"/>
    <w:rsid w:val="00772458"/>
    <w:rsid w:val="00773E27"/>
    <w:rsid w:val="007829B9"/>
    <w:rsid w:val="00783112"/>
    <w:rsid w:val="00792913"/>
    <w:rsid w:val="0079772A"/>
    <w:rsid w:val="007A68D6"/>
    <w:rsid w:val="007B178A"/>
    <w:rsid w:val="007B2CBD"/>
    <w:rsid w:val="007B322A"/>
    <w:rsid w:val="007B74E9"/>
    <w:rsid w:val="007C06E1"/>
    <w:rsid w:val="007C2BC1"/>
    <w:rsid w:val="007C35C9"/>
    <w:rsid w:val="007D5D60"/>
    <w:rsid w:val="007F0146"/>
    <w:rsid w:val="007F6D92"/>
    <w:rsid w:val="00800CE6"/>
    <w:rsid w:val="00806C31"/>
    <w:rsid w:val="00813BA3"/>
    <w:rsid w:val="00820318"/>
    <w:rsid w:val="0082639B"/>
    <w:rsid w:val="00831B5E"/>
    <w:rsid w:val="00832D38"/>
    <w:rsid w:val="008362F6"/>
    <w:rsid w:val="00836556"/>
    <w:rsid w:val="008366A3"/>
    <w:rsid w:val="0084163B"/>
    <w:rsid w:val="00843899"/>
    <w:rsid w:val="00847050"/>
    <w:rsid w:val="008471A3"/>
    <w:rsid w:val="00856E3B"/>
    <w:rsid w:val="00860B66"/>
    <w:rsid w:val="00862C16"/>
    <w:rsid w:val="00862E63"/>
    <w:rsid w:val="0086312E"/>
    <w:rsid w:val="0087590C"/>
    <w:rsid w:val="00892292"/>
    <w:rsid w:val="0089718E"/>
    <w:rsid w:val="008B2E83"/>
    <w:rsid w:val="008B6B6D"/>
    <w:rsid w:val="008C0089"/>
    <w:rsid w:val="008C039E"/>
    <w:rsid w:val="008C1AFE"/>
    <w:rsid w:val="008C5C0D"/>
    <w:rsid w:val="008C6B9D"/>
    <w:rsid w:val="008D68A4"/>
    <w:rsid w:val="008F14C4"/>
    <w:rsid w:val="008F53D7"/>
    <w:rsid w:val="00913600"/>
    <w:rsid w:val="00926803"/>
    <w:rsid w:val="00933908"/>
    <w:rsid w:val="009346C3"/>
    <w:rsid w:val="00943EA1"/>
    <w:rsid w:val="00947ED2"/>
    <w:rsid w:val="00952D4E"/>
    <w:rsid w:val="00952DC5"/>
    <w:rsid w:val="0095647E"/>
    <w:rsid w:val="0096026D"/>
    <w:rsid w:val="00966603"/>
    <w:rsid w:val="00972247"/>
    <w:rsid w:val="00977CAF"/>
    <w:rsid w:val="00982D9A"/>
    <w:rsid w:val="00986907"/>
    <w:rsid w:val="009A33D0"/>
    <w:rsid w:val="009A4448"/>
    <w:rsid w:val="009A5ACE"/>
    <w:rsid w:val="009A7614"/>
    <w:rsid w:val="009A7A8F"/>
    <w:rsid w:val="009B6ACE"/>
    <w:rsid w:val="009C0E87"/>
    <w:rsid w:val="009D0E59"/>
    <w:rsid w:val="009D452E"/>
    <w:rsid w:val="009E360D"/>
    <w:rsid w:val="009F16FF"/>
    <w:rsid w:val="00A03801"/>
    <w:rsid w:val="00A11036"/>
    <w:rsid w:val="00A11221"/>
    <w:rsid w:val="00A23729"/>
    <w:rsid w:val="00A2448D"/>
    <w:rsid w:val="00A25290"/>
    <w:rsid w:val="00A308A3"/>
    <w:rsid w:val="00A31572"/>
    <w:rsid w:val="00A512D1"/>
    <w:rsid w:val="00A5136D"/>
    <w:rsid w:val="00A56EB8"/>
    <w:rsid w:val="00A60905"/>
    <w:rsid w:val="00A6283D"/>
    <w:rsid w:val="00A629BC"/>
    <w:rsid w:val="00A63240"/>
    <w:rsid w:val="00A6683A"/>
    <w:rsid w:val="00A70B8C"/>
    <w:rsid w:val="00A73871"/>
    <w:rsid w:val="00A73926"/>
    <w:rsid w:val="00A77CE7"/>
    <w:rsid w:val="00A81500"/>
    <w:rsid w:val="00A81905"/>
    <w:rsid w:val="00A87101"/>
    <w:rsid w:val="00AA68EC"/>
    <w:rsid w:val="00AB659C"/>
    <w:rsid w:val="00AC096A"/>
    <w:rsid w:val="00AE0E41"/>
    <w:rsid w:val="00AE2547"/>
    <w:rsid w:val="00AF232A"/>
    <w:rsid w:val="00AF5845"/>
    <w:rsid w:val="00B15647"/>
    <w:rsid w:val="00B177D3"/>
    <w:rsid w:val="00B22589"/>
    <w:rsid w:val="00B23286"/>
    <w:rsid w:val="00B27675"/>
    <w:rsid w:val="00B50074"/>
    <w:rsid w:val="00B56F0B"/>
    <w:rsid w:val="00B7726B"/>
    <w:rsid w:val="00B922A7"/>
    <w:rsid w:val="00BA11BE"/>
    <w:rsid w:val="00BA161E"/>
    <w:rsid w:val="00BA67F0"/>
    <w:rsid w:val="00BC0C5D"/>
    <w:rsid w:val="00BC5423"/>
    <w:rsid w:val="00BC5D00"/>
    <w:rsid w:val="00BD021C"/>
    <w:rsid w:val="00BD2289"/>
    <w:rsid w:val="00BD282A"/>
    <w:rsid w:val="00BD2FCF"/>
    <w:rsid w:val="00BD36EC"/>
    <w:rsid w:val="00BD55DB"/>
    <w:rsid w:val="00BD70E8"/>
    <w:rsid w:val="00BD74AF"/>
    <w:rsid w:val="00BF436A"/>
    <w:rsid w:val="00C01FCE"/>
    <w:rsid w:val="00C22447"/>
    <w:rsid w:val="00C3271A"/>
    <w:rsid w:val="00C400AE"/>
    <w:rsid w:val="00C42E51"/>
    <w:rsid w:val="00C4727B"/>
    <w:rsid w:val="00C5294C"/>
    <w:rsid w:val="00C53C96"/>
    <w:rsid w:val="00C563CE"/>
    <w:rsid w:val="00C63757"/>
    <w:rsid w:val="00C67851"/>
    <w:rsid w:val="00C73889"/>
    <w:rsid w:val="00C73D24"/>
    <w:rsid w:val="00C95323"/>
    <w:rsid w:val="00C9656F"/>
    <w:rsid w:val="00CA0A44"/>
    <w:rsid w:val="00CA17DC"/>
    <w:rsid w:val="00CA1DAE"/>
    <w:rsid w:val="00CA5746"/>
    <w:rsid w:val="00CA5B2B"/>
    <w:rsid w:val="00CB310D"/>
    <w:rsid w:val="00CC1D73"/>
    <w:rsid w:val="00CC274A"/>
    <w:rsid w:val="00CC5161"/>
    <w:rsid w:val="00CD6650"/>
    <w:rsid w:val="00CE456A"/>
    <w:rsid w:val="00CE6C51"/>
    <w:rsid w:val="00CF3C3D"/>
    <w:rsid w:val="00CF5DF7"/>
    <w:rsid w:val="00D10F59"/>
    <w:rsid w:val="00D22CCB"/>
    <w:rsid w:val="00D4143D"/>
    <w:rsid w:val="00D505AD"/>
    <w:rsid w:val="00D50D69"/>
    <w:rsid w:val="00D51E24"/>
    <w:rsid w:val="00D53502"/>
    <w:rsid w:val="00D652F5"/>
    <w:rsid w:val="00D67788"/>
    <w:rsid w:val="00D73D2B"/>
    <w:rsid w:val="00D75DA9"/>
    <w:rsid w:val="00D81C23"/>
    <w:rsid w:val="00D874AA"/>
    <w:rsid w:val="00D90D30"/>
    <w:rsid w:val="00D9318E"/>
    <w:rsid w:val="00D942C8"/>
    <w:rsid w:val="00DB3BF5"/>
    <w:rsid w:val="00DB4541"/>
    <w:rsid w:val="00DC0D4C"/>
    <w:rsid w:val="00DD03C2"/>
    <w:rsid w:val="00DE30AB"/>
    <w:rsid w:val="00DE3FBE"/>
    <w:rsid w:val="00DF6AB7"/>
    <w:rsid w:val="00E013E8"/>
    <w:rsid w:val="00E1009B"/>
    <w:rsid w:val="00E1656C"/>
    <w:rsid w:val="00E318E3"/>
    <w:rsid w:val="00E349CA"/>
    <w:rsid w:val="00E35DE7"/>
    <w:rsid w:val="00E37344"/>
    <w:rsid w:val="00E37732"/>
    <w:rsid w:val="00E408D3"/>
    <w:rsid w:val="00E41FED"/>
    <w:rsid w:val="00E55EFC"/>
    <w:rsid w:val="00E70840"/>
    <w:rsid w:val="00E7271B"/>
    <w:rsid w:val="00E80A49"/>
    <w:rsid w:val="00E830F0"/>
    <w:rsid w:val="00E87C3E"/>
    <w:rsid w:val="00E92E3F"/>
    <w:rsid w:val="00E97570"/>
    <w:rsid w:val="00EA7005"/>
    <w:rsid w:val="00EA7EEA"/>
    <w:rsid w:val="00EC32AF"/>
    <w:rsid w:val="00EE0D34"/>
    <w:rsid w:val="00EE1B6A"/>
    <w:rsid w:val="00EE297E"/>
    <w:rsid w:val="00EE5B09"/>
    <w:rsid w:val="00EE6B92"/>
    <w:rsid w:val="00EF2C8D"/>
    <w:rsid w:val="00EF5A6C"/>
    <w:rsid w:val="00F01CB5"/>
    <w:rsid w:val="00F02476"/>
    <w:rsid w:val="00F07CAD"/>
    <w:rsid w:val="00F21108"/>
    <w:rsid w:val="00F22F7B"/>
    <w:rsid w:val="00F2357D"/>
    <w:rsid w:val="00F30BDA"/>
    <w:rsid w:val="00F35643"/>
    <w:rsid w:val="00F469F6"/>
    <w:rsid w:val="00F51AA7"/>
    <w:rsid w:val="00F56C76"/>
    <w:rsid w:val="00F6733A"/>
    <w:rsid w:val="00F75B64"/>
    <w:rsid w:val="00F81727"/>
    <w:rsid w:val="00F836A5"/>
    <w:rsid w:val="00F84654"/>
    <w:rsid w:val="00F90913"/>
    <w:rsid w:val="00F9202B"/>
    <w:rsid w:val="00F920F8"/>
    <w:rsid w:val="00F9551B"/>
    <w:rsid w:val="00FA7A67"/>
    <w:rsid w:val="00FB1455"/>
    <w:rsid w:val="00FC09D2"/>
    <w:rsid w:val="00FC18D6"/>
    <w:rsid w:val="00FC198C"/>
    <w:rsid w:val="00FC580F"/>
    <w:rsid w:val="00FD1609"/>
    <w:rsid w:val="00FD2070"/>
    <w:rsid w:val="00FD344F"/>
    <w:rsid w:val="00FD5811"/>
    <w:rsid w:val="00FE54CA"/>
    <w:rsid w:val="00FE5B79"/>
    <w:rsid w:val="00FE7F63"/>
    <w:rsid w:val="00FF23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2B14D"/>
  <w15:chartTrackingRefBased/>
  <w15:docId w15:val="{44B5DB7F-4C6E-412D-A42B-599988F1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rsid w:val="00DD03C2"/>
    <w:pPr>
      <w:spacing w:line="240" w:lineRule="atLeast"/>
    </w:pPr>
    <w:rPr>
      <w:rFonts w:ascii="Arial" w:hAnsi="Arial"/>
      <w:szCs w:val="24"/>
      <w:lang w:eastAsia="en-US"/>
    </w:rPr>
  </w:style>
  <w:style w:type="paragraph" w:styleId="Heading1">
    <w:name w:val="heading 1"/>
    <w:aliases w:val="APVMA_H1"/>
    <w:basedOn w:val="NormalText"/>
    <w:next w:val="NormalText"/>
    <w:qFormat/>
    <w:rsid w:val="00CA5B2B"/>
    <w:pPr>
      <w:keepNext/>
      <w:keepLines/>
      <w:pageBreakBefore/>
      <w:spacing w:before="0" w:after="80" w:line="360" w:lineRule="exact"/>
      <w:outlineLvl w:val="0"/>
    </w:pPr>
    <w:rPr>
      <w:rFonts w:ascii="Franklin Gothic Medium" w:hAnsi="Franklin Gothic Medium"/>
      <w:color w:val="00747A" w:themeColor="background2"/>
      <w:sz w:val="32"/>
      <w:szCs w:val="32"/>
    </w:rPr>
  </w:style>
  <w:style w:type="paragraph" w:styleId="Heading2">
    <w:name w:val="heading 2"/>
    <w:aliases w:val="APVMA_H2"/>
    <w:basedOn w:val="Heading1"/>
    <w:next w:val="APVMAText"/>
    <w:link w:val="Heading2Char"/>
    <w:qFormat/>
    <w:rsid w:val="00CA5B2B"/>
    <w:pPr>
      <w:pageBreakBefore w:val="0"/>
      <w:numPr>
        <w:ilvl w:val="1"/>
      </w:numPr>
      <w:tabs>
        <w:tab w:val="num" w:pos="907"/>
      </w:tabs>
      <w:spacing w:before="400" w:after="0" w:line="320" w:lineRule="exact"/>
      <w:outlineLvl w:val="1"/>
    </w:pPr>
    <w:rPr>
      <w:kern w:val="0"/>
      <w:sz w:val="28"/>
      <w:szCs w:val="28"/>
    </w:rPr>
  </w:style>
  <w:style w:type="paragraph" w:styleId="Heading3">
    <w:name w:val="heading 3"/>
    <w:aliases w:val="APVMA_H3"/>
    <w:basedOn w:val="Heading2"/>
    <w:next w:val="NormalText"/>
    <w:uiPriority w:val="3"/>
    <w:qFormat/>
    <w:rsid w:val="00067828"/>
    <w:pPr>
      <w:numPr>
        <w:ilvl w:val="2"/>
      </w:numPr>
      <w:tabs>
        <w:tab w:val="num" w:pos="907"/>
      </w:tabs>
      <w:spacing w:before="320" w:line="280" w:lineRule="exact"/>
      <w:outlineLvl w:val="2"/>
    </w:pPr>
    <w:rPr>
      <w:sz w:val="24"/>
      <w:szCs w:val="26"/>
    </w:rPr>
  </w:style>
  <w:style w:type="paragraph" w:styleId="Heading4">
    <w:name w:val="heading 4"/>
    <w:aliases w:val="APVMA_H4"/>
    <w:basedOn w:val="Heading3"/>
    <w:next w:val="NormalText"/>
    <w:uiPriority w:val="4"/>
    <w:pPr>
      <w:numPr>
        <w:ilvl w:val="3"/>
      </w:numPr>
      <w:tabs>
        <w:tab w:val="num" w:pos="907"/>
      </w:tabs>
      <w:spacing w:before="280" w:line="260" w:lineRule="exact"/>
      <w:outlineLvl w:val="3"/>
    </w:pPr>
    <w:rPr>
      <w:i/>
      <w:sz w:val="22"/>
      <w:szCs w:val="28"/>
    </w:rPr>
  </w:style>
  <w:style w:type="paragraph" w:styleId="Heading5">
    <w:name w:val="heading 5"/>
    <w:aliases w:val="APVMA_H5"/>
    <w:basedOn w:val="Heading4"/>
    <w:next w:val="NormalText"/>
    <w:uiPriority w:val="4"/>
    <w:pPr>
      <w:numPr>
        <w:ilvl w:val="4"/>
      </w:numPr>
      <w:tabs>
        <w:tab w:val="num" w:pos="907"/>
      </w:tabs>
      <w:spacing w:before="260"/>
      <w:outlineLvl w:val="4"/>
    </w:pPr>
    <w:rPr>
      <w:i w:val="0"/>
      <w:caps/>
      <w:sz w:val="21"/>
      <w:szCs w:val="26"/>
    </w:rPr>
  </w:style>
  <w:style w:type="paragraph" w:styleId="Heading6">
    <w:name w:val="heading 6"/>
    <w:basedOn w:val="Normal"/>
    <w:next w:val="Normal"/>
    <w:uiPriority w:val="4"/>
    <w:pPr>
      <w:numPr>
        <w:ilvl w:val="5"/>
        <w:numId w:val="35"/>
      </w:numPr>
      <w:spacing w:before="240" w:after="60"/>
      <w:outlineLvl w:val="5"/>
    </w:pPr>
    <w:rPr>
      <w:rFonts w:ascii="Times New Roman" w:hAnsi="Times New Roman"/>
      <w:b/>
      <w:bCs/>
      <w:sz w:val="22"/>
      <w:szCs w:val="22"/>
    </w:rPr>
  </w:style>
  <w:style w:type="paragraph" w:styleId="Heading7">
    <w:name w:val="heading 7"/>
    <w:basedOn w:val="Normal"/>
    <w:next w:val="Normal"/>
    <w:uiPriority w:val="4"/>
    <w:pPr>
      <w:numPr>
        <w:ilvl w:val="6"/>
        <w:numId w:val="35"/>
      </w:numPr>
      <w:spacing w:before="240" w:after="60"/>
      <w:outlineLvl w:val="6"/>
    </w:pPr>
    <w:rPr>
      <w:rFonts w:ascii="Times New Roman" w:hAnsi="Times New Roman"/>
      <w:sz w:val="24"/>
    </w:rPr>
  </w:style>
  <w:style w:type="paragraph" w:styleId="Heading8">
    <w:name w:val="heading 8"/>
    <w:basedOn w:val="Normal"/>
    <w:next w:val="Normal"/>
    <w:uiPriority w:val="4"/>
    <w:pPr>
      <w:numPr>
        <w:ilvl w:val="7"/>
        <w:numId w:val="35"/>
      </w:numPr>
      <w:spacing w:before="240" w:after="60"/>
      <w:outlineLvl w:val="7"/>
    </w:pPr>
    <w:rPr>
      <w:rFonts w:ascii="Times New Roman" w:hAnsi="Times New Roman"/>
      <w:i/>
      <w:iCs/>
      <w:sz w:val="24"/>
    </w:rPr>
  </w:style>
  <w:style w:type="paragraph" w:styleId="Heading9">
    <w:name w:val="heading 9"/>
    <w:basedOn w:val="Normal"/>
    <w:next w:val="Normal"/>
    <w:uiPriority w:val="4"/>
    <w:pPr>
      <w:numPr>
        <w:ilvl w:val="8"/>
        <w:numId w:val="3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basedOn w:val="Normal"/>
    <w:link w:val="NormalTextChar"/>
    <w:qFormat/>
    <w:rsid w:val="00F6733A"/>
    <w:pPr>
      <w:suppressAutoHyphens/>
      <w:spacing w:before="240" w:after="240" w:line="280" w:lineRule="exact"/>
    </w:pPr>
    <w:rPr>
      <w:rFonts w:cs="Arial"/>
      <w:kern w:val="20"/>
      <w:sz w:val="19"/>
      <w:u w:color="000000"/>
    </w:rPr>
  </w:style>
  <w:style w:type="paragraph" w:styleId="CommentText">
    <w:name w:val="annotation text"/>
    <w:link w:val="CommentTextChar"/>
    <w:uiPriority w:val="4"/>
    <w:semiHidden/>
    <w:pPr>
      <w:spacing w:before="60" w:line="260" w:lineRule="atLeast"/>
    </w:pPr>
    <w:rPr>
      <w:rFonts w:ascii="Arial" w:hAnsi="Arial"/>
      <w:lang w:eastAsia="en-US"/>
    </w:rPr>
  </w:style>
  <w:style w:type="paragraph" w:styleId="TOC1">
    <w:name w:val="toc 1"/>
    <w:aliases w:val="APVMA_TOC 1"/>
    <w:basedOn w:val="NormalText"/>
    <w:next w:val="TOC2"/>
    <w:uiPriority w:val="39"/>
    <w:rsid w:val="00CA5B2B"/>
    <w:pPr>
      <w:pBdr>
        <w:top w:val="single" w:sz="4" w:space="1" w:color="auto"/>
      </w:pBdr>
      <w:tabs>
        <w:tab w:val="right" w:pos="9639"/>
      </w:tabs>
      <w:spacing w:before="180" w:after="60"/>
      <w:ind w:left="454" w:hanging="454"/>
    </w:pPr>
    <w:rPr>
      <w:rFonts w:ascii="Franklin Gothic Medium" w:hAnsi="Franklin Gothic Medium"/>
      <w:bCs/>
      <w:noProof/>
      <w:color w:val="00747A" w:themeColor="background2"/>
      <w:sz w:val="20"/>
      <w:szCs w:val="30"/>
    </w:rPr>
  </w:style>
  <w:style w:type="paragraph" w:styleId="FootnoteText">
    <w:name w:val="footnote text"/>
    <w:aliases w:val="APVMA_Footnote"/>
    <w:basedOn w:val="NormalText"/>
    <w:semiHidden/>
    <w:pPr>
      <w:spacing w:after="0" w:line="180" w:lineRule="exact"/>
      <w:ind w:left="227" w:hanging="227"/>
    </w:pPr>
    <w:rPr>
      <w:spacing w:val="6"/>
      <w:sz w:val="16"/>
      <w:szCs w:val="20"/>
    </w:rPr>
  </w:style>
  <w:style w:type="character" w:styleId="Emphasis">
    <w:name w:val="Emphasis"/>
    <w:uiPriority w:val="4"/>
    <w:rPr>
      <w:i/>
      <w:iCs/>
    </w:rPr>
  </w:style>
  <w:style w:type="paragraph" w:styleId="TOC2">
    <w:name w:val="toc 2"/>
    <w:aliases w:val="APVMA_TOC 2"/>
    <w:basedOn w:val="Normal"/>
    <w:uiPriority w:val="39"/>
    <w:pPr>
      <w:tabs>
        <w:tab w:val="right" w:pos="9639"/>
      </w:tabs>
      <w:spacing w:before="60" w:line="280" w:lineRule="exact"/>
      <w:ind w:left="454" w:hanging="454"/>
    </w:pPr>
    <w:rPr>
      <w:b/>
      <w:noProof/>
      <w:color w:val="000000"/>
      <w:sz w:val="18"/>
    </w:rPr>
  </w:style>
  <w:style w:type="paragraph" w:styleId="TOC3">
    <w:name w:val="toc 3"/>
    <w:aliases w:val="APVMA_TOC 3"/>
    <w:basedOn w:val="Normal"/>
    <w:uiPriority w:val="39"/>
    <w:pPr>
      <w:tabs>
        <w:tab w:val="right" w:pos="9639"/>
      </w:tabs>
      <w:spacing w:before="40" w:line="240" w:lineRule="exact"/>
      <w:ind w:left="454"/>
    </w:pPr>
    <w:rPr>
      <w:noProof/>
      <w:sz w:val="18"/>
    </w:rPr>
  </w:style>
  <w:style w:type="paragraph" w:styleId="TOC4">
    <w:name w:val="toc 4"/>
    <w:basedOn w:val="Normal"/>
    <w:next w:val="Normal"/>
    <w:autoRedefine/>
    <w:uiPriority w:val="4"/>
    <w:semiHidden/>
    <w:pPr>
      <w:ind w:left="600"/>
    </w:pPr>
  </w:style>
  <w:style w:type="paragraph" w:styleId="TOC5">
    <w:name w:val="toc 5"/>
    <w:basedOn w:val="Normal"/>
    <w:next w:val="Normal"/>
    <w:autoRedefine/>
    <w:uiPriority w:val="4"/>
    <w:semiHidden/>
    <w:pPr>
      <w:ind w:left="800"/>
    </w:pPr>
  </w:style>
  <w:style w:type="paragraph" w:styleId="TOC6">
    <w:name w:val="toc 6"/>
    <w:basedOn w:val="Normal"/>
    <w:next w:val="Normal"/>
    <w:autoRedefine/>
    <w:uiPriority w:val="4"/>
    <w:semiHidden/>
    <w:pPr>
      <w:ind w:left="1200"/>
    </w:pPr>
  </w:style>
  <w:style w:type="paragraph" w:styleId="TOC7">
    <w:name w:val="toc 7"/>
    <w:basedOn w:val="Normal"/>
    <w:next w:val="Normal"/>
    <w:autoRedefine/>
    <w:uiPriority w:val="4"/>
    <w:semiHidden/>
    <w:pPr>
      <w:ind w:left="1440"/>
    </w:pPr>
  </w:style>
  <w:style w:type="paragraph" w:styleId="TOC8">
    <w:name w:val="toc 8"/>
    <w:basedOn w:val="Normal"/>
    <w:next w:val="Normal"/>
    <w:autoRedefine/>
    <w:uiPriority w:val="4"/>
    <w:semiHidden/>
    <w:pPr>
      <w:ind w:left="1680"/>
    </w:pPr>
  </w:style>
  <w:style w:type="paragraph" w:styleId="TOC9">
    <w:name w:val="toc 9"/>
    <w:basedOn w:val="Normal"/>
    <w:next w:val="Normal"/>
    <w:autoRedefine/>
    <w:uiPriority w:val="4"/>
    <w:semiHidden/>
    <w:pPr>
      <w:ind w:left="1920"/>
    </w:pPr>
  </w:style>
  <w:style w:type="character" w:styleId="Hyperlink">
    <w:name w:val="Hyperlink"/>
    <w:aliases w:val="OECD Hyperlink"/>
    <w:uiPriority w:val="99"/>
    <w:rPr>
      <w:color w:val="0000FF"/>
      <w:u w:val="single"/>
    </w:rPr>
  </w:style>
  <w:style w:type="paragraph" w:customStyle="1" w:styleId="APVMATableBullet">
    <w:name w:val="APVMA_TableBullet"/>
    <w:basedOn w:val="APVMATableText"/>
    <w:uiPriority w:val="4"/>
    <w:rsid w:val="0079772A"/>
    <w:pPr>
      <w:numPr>
        <w:numId w:val="19"/>
      </w:numPr>
      <w:spacing w:after="60"/>
    </w:pPr>
    <w:rPr>
      <w:color w:val="353735" w:themeColor="text1"/>
    </w:rPr>
  </w:style>
  <w:style w:type="paragraph" w:customStyle="1" w:styleId="APVMATableText">
    <w:name w:val="APVMA_TableText"/>
    <w:basedOn w:val="NormalText"/>
    <w:qFormat/>
    <w:pPr>
      <w:spacing w:before="120" w:after="120" w:line="210" w:lineRule="exact"/>
    </w:pPr>
    <w:rPr>
      <w:spacing w:val="6"/>
      <w:sz w:val="17"/>
    </w:rPr>
  </w:style>
  <w:style w:type="paragraph" w:customStyle="1" w:styleId="APVMATableHead">
    <w:name w:val="APVMA_TableHead"/>
    <w:basedOn w:val="APVMATableText"/>
    <w:qFormat/>
    <w:rsid w:val="00C53C96"/>
    <w:pPr>
      <w:keepNext/>
      <w:keepLines/>
      <w:spacing w:before="60" w:after="60" w:line="240" w:lineRule="exact"/>
    </w:pPr>
    <w:rPr>
      <w:rFonts w:ascii="Franklin Gothic Medium" w:hAnsi="Franklin Gothic Medium"/>
      <w:bCs/>
      <w:color w:val="F8F8F8"/>
      <w:sz w:val="18"/>
    </w:rPr>
  </w:style>
  <w:style w:type="paragraph" w:customStyle="1" w:styleId="APVMAListNumbered">
    <w:name w:val="APVMA_List_Numbered"/>
    <w:basedOn w:val="NormalText"/>
    <w:uiPriority w:val="4"/>
    <w:qFormat/>
    <w:pPr>
      <w:numPr>
        <w:numId w:val="18"/>
      </w:numPr>
      <w:spacing w:before="120" w:after="120"/>
    </w:pPr>
  </w:style>
  <w:style w:type="paragraph" w:styleId="Header">
    <w:name w:val="header"/>
    <w:basedOn w:val="Normal"/>
    <w:uiPriority w:val="4"/>
    <w:semiHidden/>
    <w:pPr>
      <w:tabs>
        <w:tab w:val="center" w:pos="4153"/>
        <w:tab w:val="right" w:pos="8306"/>
      </w:tabs>
    </w:pPr>
  </w:style>
  <w:style w:type="character" w:styleId="Strong">
    <w:name w:val="Strong"/>
    <w:uiPriority w:val="4"/>
    <w:rPr>
      <w:b/>
      <w:bCs/>
    </w:rPr>
  </w:style>
  <w:style w:type="paragraph" w:styleId="Footer">
    <w:name w:val="footer"/>
    <w:basedOn w:val="Normal"/>
    <w:uiPriority w:val="4"/>
    <w:semiHidden/>
    <w:pPr>
      <w:tabs>
        <w:tab w:val="center" w:pos="4153"/>
        <w:tab w:val="right" w:pos="8306"/>
      </w:tabs>
    </w:pPr>
  </w:style>
  <w:style w:type="character" w:styleId="PageNumber">
    <w:name w:val="page number"/>
    <w:aliases w:val="APVMA Page Number"/>
    <w:semiHidden/>
    <w:rsid w:val="00731659"/>
    <w:rPr>
      <w:rFonts w:ascii="Arial Bold" w:hAnsi="Arial Bold"/>
      <w:b/>
      <w:dstrike w:val="0"/>
      <w:color w:val="auto"/>
      <w:spacing w:val="0"/>
      <w:w w:val="100"/>
      <w:kern w:val="19"/>
      <w:position w:val="0"/>
      <w:sz w:val="18"/>
      <w:u w:val="none"/>
      <w:vertAlign w:val="baseline"/>
    </w:rPr>
  </w:style>
  <w:style w:type="paragraph" w:customStyle="1" w:styleId="APVMASourceTableNote">
    <w:name w:val="APVMA_Source/TableNote"/>
    <w:basedOn w:val="NormalText"/>
    <w:uiPriority w:val="4"/>
    <w:pPr>
      <w:spacing w:before="0" w:after="0" w:line="280" w:lineRule="atLeast"/>
    </w:pPr>
    <w:rPr>
      <w:i/>
      <w:spacing w:val="6"/>
      <w:sz w:val="16"/>
    </w:rPr>
  </w:style>
  <w:style w:type="character" w:styleId="CommentReference">
    <w:name w:val="annotation reference"/>
    <w:uiPriority w:val="4"/>
    <w:semiHidden/>
    <w:rPr>
      <w:sz w:val="16"/>
      <w:szCs w:val="16"/>
    </w:rPr>
  </w:style>
  <w:style w:type="paragraph" w:customStyle="1" w:styleId="APVMAEvenHeader">
    <w:name w:val="APVMA_Even_Header"/>
    <w:basedOn w:val="APVMAOddHeader"/>
    <w:rsid w:val="00CA5B2B"/>
    <w:pPr>
      <w:tabs>
        <w:tab w:val="clear" w:pos="9072"/>
        <w:tab w:val="left" w:pos="567"/>
      </w:tabs>
      <w:ind w:left="567" w:hanging="567"/>
    </w:pPr>
  </w:style>
  <w:style w:type="paragraph" w:customStyle="1" w:styleId="APVMABullet1">
    <w:name w:val="APVMA_Bullet1"/>
    <w:basedOn w:val="NormalText"/>
    <w:qFormat/>
    <w:rsid w:val="00731659"/>
    <w:pPr>
      <w:numPr>
        <w:numId w:val="14"/>
      </w:numPr>
      <w:spacing w:before="120" w:after="120"/>
    </w:pPr>
  </w:style>
  <w:style w:type="paragraph" w:customStyle="1" w:styleId="APVMATableHeadRight">
    <w:name w:val="APVMA_TableHead_Right"/>
    <w:basedOn w:val="APVMATableHead"/>
    <w:rsid w:val="00C53C96"/>
    <w:pPr>
      <w:jc w:val="right"/>
    </w:pPr>
  </w:style>
  <w:style w:type="paragraph" w:customStyle="1" w:styleId="APVMABullet2">
    <w:name w:val="APVMA_Bullet2"/>
    <w:basedOn w:val="APVMABullet1"/>
    <w:qFormat/>
    <w:rsid w:val="00731659"/>
    <w:pPr>
      <w:numPr>
        <w:numId w:val="8"/>
      </w:numPr>
      <w:spacing w:before="60"/>
    </w:pPr>
  </w:style>
  <w:style w:type="character" w:styleId="FootnoteReference">
    <w:name w:val="footnote reference"/>
    <w:rPr>
      <w:vertAlign w:val="superscript"/>
    </w:rPr>
  </w:style>
  <w:style w:type="paragraph" w:customStyle="1" w:styleId="APVMAQuote">
    <w:name w:val="APVMA_Quote"/>
    <w:basedOn w:val="NormalText"/>
    <w:uiPriority w:val="4"/>
    <w:pPr>
      <w:ind w:left="567" w:right="567"/>
    </w:pPr>
  </w:style>
  <w:style w:type="paragraph" w:customStyle="1" w:styleId="APVMATableTextRight">
    <w:name w:val="APVMA_TableText_Right"/>
    <w:basedOn w:val="APVMATableText"/>
    <w:pPr>
      <w:jc w:val="right"/>
    </w:pPr>
  </w:style>
  <w:style w:type="paragraph" w:styleId="Caption">
    <w:name w:val="caption"/>
    <w:aliases w:val="APVMA_Caption,o,Beschriftung Char,Beschriftung Char1 Char,Beschriftung Char Char Char,Char,Bayer Caption,o + Links,! Q, Char,! Q "/>
    <w:basedOn w:val="Normal"/>
    <w:next w:val="NormalText"/>
    <w:link w:val="CaptionChar"/>
    <w:qFormat/>
    <w:rsid w:val="00731659"/>
    <w:pPr>
      <w:keepNext/>
      <w:keepLines/>
      <w:tabs>
        <w:tab w:val="left" w:pos="907"/>
      </w:tabs>
      <w:spacing w:before="240" w:after="120" w:line="280" w:lineRule="exact"/>
      <w:ind w:left="907" w:hanging="907"/>
    </w:pPr>
    <w:rPr>
      <w:rFonts w:ascii="Franklin Gothic Medium" w:hAnsi="Franklin Gothic Medium"/>
      <w:color w:val="00747A" w:themeColor="background2"/>
    </w:rPr>
  </w:style>
  <w:style w:type="paragraph" w:styleId="TOAHeading">
    <w:name w:val="toa heading"/>
    <w:aliases w:val="APVMA_TOC heading"/>
    <w:basedOn w:val="Heading1"/>
    <w:next w:val="TOC1"/>
    <w:uiPriority w:val="4"/>
    <w:semiHidden/>
    <w:pPr>
      <w:pageBreakBefore w:val="0"/>
      <w:outlineLvl w:val="9"/>
    </w:pPr>
    <w:rPr>
      <w:bCs/>
      <w:szCs w:val="20"/>
    </w:rPr>
  </w:style>
  <w:style w:type="paragraph" w:customStyle="1" w:styleId="APVMATableSubHead">
    <w:name w:val="APVMA_Table_SubHead"/>
    <w:basedOn w:val="APVMATableHead"/>
    <w:uiPriority w:val="4"/>
    <w:rsid w:val="00731659"/>
    <w:rPr>
      <w:color w:val="00747A" w:themeColor="background2"/>
    </w:rPr>
  </w:style>
  <w:style w:type="paragraph" w:styleId="TableofFigures">
    <w:name w:val="table of figures"/>
    <w:aliases w:val="APVMA_ToF"/>
    <w:basedOn w:val="TOC3"/>
    <w:uiPriority w:val="99"/>
    <w:rsid w:val="00F02476"/>
    <w:pPr>
      <w:spacing w:line="280" w:lineRule="exact"/>
      <w:ind w:left="851" w:hanging="851"/>
    </w:pPr>
  </w:style>
  <w:style w:type="paragraph" w:customStyle="1" w:styleId="APVMAOddHeader">
    <w:name w:val="APVMA_Odd_Header"/>
    <w:basedOn w:val="NormalText"/>
    <w:rsid w:val="00F02476"/>
    <w:pPr>
      <w:pBdr>
        <w:bottom w:val="single" w:sz="4" w:space="1" w:color="auto"/>
      </w:pBdr>
      <w:tabs>
        <w:tab w:val="right" w:pos="9072"/>
        <w:tab w:val="right" w:pos="9638"/>
      </w:tabs>
      <w:spacing w:before="0" w:after="0" w:line="200" w:lineRule="exact"/>
    </w:pPr>
    <w:rPr>
      <w:rFonts w:ascii="Franklin Gothic Medium" w:hAnsi="Franklin Gothic Medium"/>
      <w:bCs/>
      <w:color w:val="00747A" w:themeColor="background2"/>
      <w:sz w:val="20"/>
      <w:szCs w:val="18"/>
    </w:rPr>
  </w:style>
  <w:style w:type="paragraph" w:customStyle="1" w:styleId="APVMACoverTitle">
    <w:name w:val="APVMA_Cover_Title"/>
    <w:basedOn w:val="Normal"/>
    <w:uiPriority w:val="4"/>
    <w:qFormat/>
    <w:rsid w:val="00EE5B09"/>
    <w:pPr>
      <w:spacing w:line="440" w:lineRule="exact"/>
      <w:jc w:val="right"/>
    </w:pPr>
    <w:rPr>
      <w:rFonts w:ascii="Franklin Gothic Demi" w:hAnsi="Franklin Gothic Demi" w:cs="Arial"/>
      <w:bCs/>
      <w:color w:val="353735"/>
      <w:kern w:val="28"/>
      <w:sz w:val="36"/>
      <w:szCs w:val="32"/>
    </w:rPr>
  </w:style>
  <w:style w:type="paragraph" w:customStyle="1" w:styleId="APVMACoverSubtitle">
    <w:name w:val="APVMA_Cover_Subtitle"/>
    <w:basedOn w:val="Normal"/>
    <w:uiPriority w:val="4"/>
    <w:qFormat/>
    <w:rsid w:val="00EE5B09"/>
    <w:pPr>
      <w:spacing w:before="120" w:line="340" w:lineRule="exact"/>
      <w:jc w:val="right"/>
    </w:pPr>
    <w:rPr>
      <w:rFonts w:ascii="Franklin Gothic Book" w:hAnsi="Franklin Gothic Book"/>
      <w:color w:val="353735" w:themeColor="text1"/>
      <w:sz w:val="28"/>
    </w:rPr>
  </w:style>
  <w:style w:type="paragraph" w:customStyle="1" w:styleId="APVMATitle3">
    <w:name w:val="APVMA_Title3"/>
    <w:basedOn w:val="Normal"/>
    <w:uiPriority w:val="4"/>
    <w:pPr>
      <w:spacing w:line="340" w:lineRule="exact"/>
      <w:jc w:val="right"/>
    </w:pPr>
    <w:rPr>
      <w:rFonts w:ascii="Trebuchet MS" w:hAnsi="Trebuchet MS"/>
      <w:b/>
      <w:caps/>
      <w:color w:val="365860"/>
      <w:sz w:val="30"/>
    </w:rPr>
  </w:style>
  <w:style w:type="paragraph" w:customStyle="1" w:styleId="APVMATitle2a">
    <w:name w:val="APVMA_Title2a"/>
    <w:basedOn w:val="APVMACoverSubtitle"/>
    <w:uiPriority w:val="4"/>
    <w:pPr>
      <w:spacing w:before="960"/>
    </w:pPr>
    <w:rPr>
      <w:color w:val="666666"/>
    </w:rPr>
  </w:style>
  <w:style w:type="paragraph" w:customStyle="1" w:styleId="APVMAAddress">
    <w:name w:val="APVMA_Address"/>
    <w:basedOn w:val="NormalText"/>
    <w:pPr>
      <w:tabs>
        <w:tab w:val="left" w:pos="1361"/>
      </w:tabs>
      <w:spacing w:before="0" w:after="60"/>
      <w:ind w:left="567"/>
    </w:pPr>
    <w:rPr>
      <w:bCs/>
    </w:rPr>
  </w:style>
  <w:style w:type="paragraph" w:customStyle="1" w:styleId="APVMATextIndented">
    <w:name w:val="APVMA_Text_Indented"/>
    <w:basedOn w:val="NormalText"/>
    <w:uiPriority w:val="4"/>
    <w:pPr>
      <w:ind w:left="340"/>
    </w:pPr>
  </w:style>
  <w:style w:type="paragraph" w:customStyle="1" w:styleId="APVMAImprintText">
    <w:name w:val="APVMA_Imprint_Text"/>
    <w:basedOn w:val="Normal"/>
    <w:pPr>
      <w:spacing w:before="120" w:after="120" w:line="240" w:lineRule="exact"/>
    </w:pPr>
    <w:rPr>
      <w:spacing w:val="6"/>
      <w:sz w:val="16"/>
    </w:rPr>
  </w:style>
  <w:style w:type="paragraph" w:customStyle="1" w:styleId="APVMAAppendixH1">
    <w:name w:val="APVMA_Appendix_H1"/>
    <w:basedOn w:val="APVMAPreliminariesH1"/>
    <w:next w:val="NormalText"/>
    <w:uiPriority w:val="4"/>
    <w:pPr>
      <w:tabs>
        <w:tab w:val="left" w:pos="2058"/>
      </w:tabs>
      <w:ind w:left="2044" w:hanging="2044"/>
    </w:pPr>
  </w:style>
  <w:style w:type="character" w:styleId="FollowedHyperlink">
    <w:name w:val="FollowedHyperlink"/>
    <w:uiPriority w:val="4"/>
    <w:semiHidden/>
    <w:rPr>
      <w:color w:val="800080"/>
      <w:u w:val="single"/>
    </w:rPr>
  </w:style>
  <w:style w:type="paragraph" w:customStyle="1" w:styleId="APVMAPreliminariesH1">
    <w:name w:val="APVMA_Preliminaries_H1"/>
    <w:basedOn w:val="Heading1"/>
    <w:next w:val="NormalText"/>
    <w:uiPriority w:val="4"/>
    <w:rsid w:val="00AB659C"/>
    <w:rPr>
      <w:bCs/>
      <w:szCs w:val="30"/>
    </w:rPr>
  </w:style>
  <w:style w:type="paragraph" w:customStyle="1" w:styleId="APVMAPreliminariesH2">
    <w:name w:val="APVMA_Preliminaries_H2"/>
    <w:basedOn w:val="Heading2"/>
    <w:next w:val="NormalText"/>
    <w:rsid w:val="00731659"/>
    <w:pPr>
      <w:numPr>
        <w:ilvl w:val="0"/>
      </w:numPr>
      <w:tabs>
        <w:tab w:val="num" w:pos="907"/>
      </w:tabs>
    </w:pPr>
  </w:style>
  <w:style w:type="paragraph" w:customStyle="1" w:styleId="APVMAPreliminariesH3">
    <w:name w:val="APVMA_Preliminaries_H3"/>
    <w:basedOn w:val="Heading3"/>
    <w:uiPriority w:val="4"/>
    <w:rsid w:val="00AB659C"/>
  </w:style>
  <w:style w:type="paragraph" w:customStyle="1" w:styleId="APVMAGlossaryRefH1">
    <w:name w:val="APVMA_Glossary/Ref_H1"/>
    <w:basedOn w:val="APVMAPreliminariesH1"/>
    <w:uiPriority w:val="4"/>
    <w:rsid w:val="00770B96"/>
  </w:style>
  <w:style w:type="paragraph" w:customStyle="1" w:styleId="APVMAImage">
    <w:name w:val="APVMA_Image"/>
    <w:basedOn w:val="Normal"/>
    <w:uiPriority w:val="4"/>
    <w:pPr>
      <w:spacing w:before="240" w:after="240"/>
    </w:pPr>
  </w:style>
  <w:style w:type="paragraph" w:customStyle="1" w:styleId="APVMAListAlpha">
    <w:name w:val="APVMA_List_Alpha"/>
    <w:basedOn w:val="NormalText"/>
    <w:uiPriority w:val="4"/>
    <w:qFormat/>
    <w:pPr>
      <w:numPr>
        <w:numId w:val="17"/>
      </w:numPr>
      <w:spacing w:before="120" w:after="120"/>
    </w:pPr>
  </w:style>
  <w:style w:type="paragraph" w:customStyle="1" w:styleId="APVMAAppendixH2">
    <w:name w:val="APVMA_Appendix_H2"/>
    <w:basedOn w:val="APVMAPreliminariesH2"/>
    <w:next w:val="NormalText"/>
    <w:uiPriority w:val="4"/>
    <w:rPr>
      <w:bCs/>
    </w:rPr>
  </w:style>
  <w:style w:type="paragraph" w:customStyle="1" w:styleId="APVMAAppendixH3">
    <w:name w:val="APVMA_Appendix_H3"/>
    <w:basedOn w:val="APVMAPreliminariesH3"/>
    <w:next w:val="NormalText"/>
    <w:uiPriority w:val="4"/>
  </w:style>
  <w:style w:type="paragraph" w:customStyle="1" w:styleId="APVMABullet3">
    <w:name w:val="APVMA_Bullet3"/>
    <w:basedOn w:val="APVMABullet2"/>
    <w:uiPriority w:val="4"/>
    <w:rsid w:val="00731659"/>
    <w:pPr>
      <w:numPr>
        <w:numId w:val="16"/>
      </w:numPr>
      <w:spacing w:before="120"/>
    </w:pPr>
  </w:style>
  <w:style w:type="paragraph" w:customStyle="1" w:styleId="APVMASectionTitle">
    <w:name w:val="APVMA_Section_Title"/>
    <w:basedOn w:val="Normal"/>
    <w:uiPriority w:val="4"/>
    <w:rsid w:val="00731659"/>
    <w:pPr>
      <w:spacing w:before="840"/>
      <w:jc w:val="right"/>
    </w:pPr>
    <w:rPr>
      <w:rFonts w:ascii="Trebuchet MS" w:hAnsi="Trebuchet MS"/>
      <w:caps/>
      <w:color w:val="00747A" w:themeColor="background2"/>
      <w:sz w:val="48"/>
    </w:rPr>
  </w:style>
  <w:style w:type="paragraph" w:customStyle="1" w:styleId="APVMACoverDate">
    <w:name w:val="APVMA_Cover_Date"/>
    <w:basedOn w:val="Normal"/>
    <w:uiPriority w:val="4"/>
    <w:rsid w:val="001C6607"/>
    <w:rPr>
      <w:rFonts w:ascii="Orator Std" w:hAnsi="Orator Std"/>
      <w:caps/>
      <w:color w:val="F8F8F8"/>
      <w:sz w:val="24"/>
    </w:rPr>
  </w:style>
  <w:style w:type="paragraph" w:styleId="BalloonText">
    <w:name w:val="Balloon Text"/>
    <w:basedOn w:val="Normal"/>
    <w:link w:val="BalloonTextChar"/>
    <w:uiPriority w:val="99"/>
    <w:semiHidden/>
    <w:unhideWhenUsed/>
    <w:rsid w:val="00BD0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21C"/>
    <w:rPr>
      <w:rFonts w:ascii="Segoe UI" w:hAnsi="Segoe UI" w:cs="Segoe UI"/>
      <w:sz w:val="18"/>
      <w:szCs w:val="18"/>
      <w:lang w:eastAsia="en-US"/>
    </w:rPr>
  </w:style>
  <w:style w:type="character" w:styleId="PlaceholderText">
    <w:name w:val="Placeholder Text"/>
    <w:basedOn w:val="DefaultParagraphFont"/>
    <w:uiPriority w:val="99"/>
    <w:semiHidden/>
    <w:rsid w:val="00566590"/>
    <w:rPr>
      <w:color w:val="808080"/>
    </w:rPr>
  </w:style>
  <w:style w:type="paragraph" w:customStyle="1" w:styleId="APVMAText">
    <w:name w:val="APVMA_Text"/>
    <w:basedOn w:val="Normal"/>
    <w:link w:val="APVMATextChar"/>
    <w:rsid w:val="006D36C8"/>
    <w:pPr>
      <w:suppressAutoHyphens/>
      <w:spacing w:before="240" w:after="240" w:line="280" w:lineRule="exact"/>
    </w:pPr>
    <w:rPr>
      <w:rFonts w:cs="Arial"/>
      <w:u w:color="000000"/>
    </w:rPr>
  </w:style>
  <w:style w:type="paragraph" w:customStyle="1" w:styleId="Style2">
    <w:name w:val="Style2"/>
    <w:basedOn w:val="Heading1"/>
    <w:rsid w:val="006D36C8"/>
    <w:pPr>
      <w:pageBreakBefore w:val="0"/>
      <w:numPr>
        <w:numId w:val="34"/>
      </w:numPr>
      <w:tabs>
        <w:tab w:val="num" w:pos="907"/>
      </w:tabs>
      <w:ind w:left="907" w:hanging="907"/>
    </w:pPr>
    <w:rPr>
      <w:rFonts w:ascii="Trebuchet MS" w:hAnsi="Trebuchet MS"/>
      <w:b/>
      <w:color w:val="365860"/>
      <w:kern w:val="0"/>
    </w:rPr>
  </w:style>
  <w:style w:type="paragraph" w:customStyle="1" w:styleId="MRLActiveName">
    <w:name w:val="MRL Active Name"/>
    <w:basedOn w:val="Normal"/>
    <w:rsid w:val="00731659"/>
    <w:pPr>
      <w:spacing w:before="120" w:after="120" w:line="240" w:lineRule="auto"/>
    </w:pPr>
    <w:rPr>
      <w:rFonts w:ascii="Trebuchet MS" w:hAnsi="Trebuchet MS"/>
      <w:bCs/>
      <w:caps/>
      <w:color w:val="00747A" w:themeColor="background2"/>
      <w:sz w:val="18"/>
    </w:rPr>
  </w:style>
  <w:style w:type="character" w:customStyle="1" w:styleId="CommentTextChar">
    <w:name w:val="Comment Text Char"/>
    <w:basedOn w:val="DefaultParagraphFont"/>
    <w:link w:val="CommentText"/>
    <w:uiPriority w:val="4"/>
    <w:semiHidden/>
    <w:rsid w:val="006D36C8"/>
    <w:rPr>
      <w:rFonts w:ascii="Arial" w:hAnsi="Arial"/>
      <w:lang w:eastAsia="en-US"/>
    </w:rPr>
  </w:style>
  <w:style w:type="paragraph" w:customStyle="1" w:styleId="MRLTableText">
    <w:name w:val="MRL Table Text"/>
    <w:basedOn w:val="Normal"/>
    <w:rsid w:val="006D36C8"/>
    <w:pPr>
      <w:spacing w:before="60" w:after="60" w:line="280" w:lineRule="exact"/>
    </w:pPr>
    <w:rPr>
      <w:sz w:val="16"/>
    </w:rPr>
  </w:style>
  <w:style w:type="paragraph" w:customStyle="1" w:styleId="MRLCompound">
    <w:name w:val="MRL Compound"/>
    <w:basedOn w:val="MRLTableText"/>
    <w:rsid w:val="006D36C8"/>
    <w:pPr>
      <w:tabs>
        <w:tab w:val="left" w:pos="972"/>
      </w:tabs>
      <w:ind w:left="432"/>
    </w:pPr>
  </w:style>
  <w:style w:type="paragraph" w:customStyle="1" w:styleId="MRLValue">
    <w:name w:val="MRL Value"/>
    <w:basedOn w:val="MRLTableText"/>
    <w:rsid w:val="006D36C8"/>
    <w:pPr>
      <w:tabs>
        <w:tab w:val="decimal" w:pos="612"/>
      </w:tabs>
    </w:pPr>
  </w:style>
  <w:style w:type="character" w:customStyle="1" w:styleId="APVMASuperscript">
    <w:name w:val="APVMA_Superscript"/>
    <w:basedOn w:val="DefaultParagraphFont"/>
    <w:uiPriority w:val="1"/>
    <w:qFormat/>
    <w:rsid w:val="000C5EB1"/>
    <w:rPr>
      <w:vertAlign w:val="superscript"/>
    </w:rPr>
  </w:style>
  <w:style w:type="paragraph" w:customStyle="1" w:styleId="InstructionalText">
    <w:name w:val="Instructional Text"/>
    <w:basedOn w:val="Normal"/>
    <w:rsid w:val="005A2957"/>
    <w:pPr>
      <w:spacing w:before="240" w:after="240" w:line="280" w:lineRule="exact"/>
    </w:pPr>
    <w:rPr>
      <w:color w:val="3366FF"/>
      <w:sz w:val="18"/>
    </w:rPr>
  </w:style>
  <w:style w:type="paragraph" w:customStyle="1" w:styleId="APVMAAppendices">
    <w:name w:val="APVMA_Appendices"/>
    <w:basedOn w:val="Heading1"/>
    <w:next w:val="APVMAText"/>
    <w:rsid w:val="009346C3"/>
    <w:pPr>
      <w:tabs>
        <w:tab w:val="left" w:pos="1361"/>
      </w:tabs>
    </w:pPr>
    <w:rPr>
      <w:kern w:val="0"/>
    </w:rPr>
  </w:style>
  <w:style w:type="paragraph" w:styleId="TOCHeading">
    <w:name w:val="TOC Heading"/>
    <w:basedOn w:val="Heading1"/>
    <w:next w:val="Normal"/>
    <w:uiPriority w:val="39"/>
    <w:unhideWhenUsed/>
    <w:qFormat/>
    <w:rsid w:val="00783112"/>
    <w:pPr>
      <w:pageBreakBefore w:val="0"/>
      <w:suppressAutoHyphens w:val="0"/>
      <w:spacing w:before="240" w:after="0" w:line="259" w:lineRule="auto"/>
      <w:outlineLvl w:val="9"/>
    </w:pPr>
    <w:rPr>
      <w:rFonts w:asciiTheme="majorHAnsi" w:eastAsiaTheme="majorEastAsia" w:hAnsiTheme="majorHAnsi" w:cstheme="majorBidi"/>
      <w:caps/>
      <w:color w:val="7E9BA8" w:themeColor="accent1" w:themeShade="BF"/>
      <w:kern w:val="0"/>
      <w:lang w:val="en-US"/>
    </w:rPr>
  </w:style>
  <w:style w:type="character" w:customStyle="1" w:styleId="APVMASubscript">
    <w:name w:val="APVMA_Subscript"/>
    <w:basedOn w:val="DefaultParagraphFont"/>
    <w:uiPriority w:val="1"/>
    <w:rsid w:val="00017CE2"/>
    <w:rPr>
      <w:vertAlign w:val="subscript"/>
    </w:rPr>
  </w:style>
  <w:style w:type="paragraph" w:styleId="CommentSubject">
    <w:name w:val="annotation subject"/>
    <w:basedOn w:val="CommentText"/>
    <w:next w:val="CommentText"/>
    <w:link w:val="CommentSubjectChar"/>
    <w:uiPriority w:val="99"/>
    <w:semiHidden/>
    <w:unhideWhenUsed/>
    <w:rsid w:val="00C22447"/>
    <w:pPr>
      <w:spacing w:before="0" w:line="240" w:lineRule="auto"/>
    </w:pPr>
    <w:rPr>
      <w:b/>
      <w:bCs/>
    </w:rPr>
  </w:style>
  <w:style w:type="character" w:customStyle="1" w:styleId="CommentSubjectChar">
    <w:name w:val="Comment Subject Char"/>
    <w:basedOn w:val="CommentTextChar"/>
    <w:link w:val="CommentSubject"/>
    <w:uiPriority w:val="99"/>
    <w:semiHidden/>
    <w:rsid w:val="00C22447"/>
    <w:rPr>
      <w:rFonts w:ascii="Arial" w:hAnsi="Arial"/>
      <w:b/>
      <w:bCs/>
      <w:lang w:eastAsia="en-US"/>
    </w:rPr>
  </w:style>
  <w:style w:type="paragraph" w:customStyle="1" w:styleId="Copyrightpage">
    <w:name w:val="Copyright page"/>
    <w:basedOn w:val="Normal"/>
    <w:uiPriority w:val="4"/>
    <w:rsid w:val="00CA5B2B"/>
    <w:pPr>
      <w:autoSpaceDE w:val="0"/>
      <w:autoSpaceDN w:val="0"/>
      <w:adjustRightInd w:val="0"/>
      <w:spacing w:after="120" w:line="240" w:lineRule="exact"/>
    </w:pPr>
    <w:rPr>
      <w:rFonts w:cs="Arial"/>
      <w:sz w:val="16"/>
      <w:szCs w:val="16"/>
      <w:lang w:eastAsia="en-AU"/>
    </w:rPr>
  </w:style>
  <w:style w:type="paragraph" w:customStyle="1" w:styleId="ToCH1">
    <w:name w:val="ToC H1"/>
    <w:basedOn w:val="TOAHeading"/>
    <w:uiPriority w:val="4"/>
    <w:rsid w:val="00CA5B2B"/>
  </w:style>
  <w:style w:type="paragraph" w:customStyle="1" w:styleId="TOCH10">
    <w:name w:val="TOC H1"/>
    <w:basedOn w:val="TOAHeading"/>
    <w:uiPriority w:val="4"/>
    <w:rsid w:val="00F02476"/>
    <w:pPr>
      <w:spacing w:after="240"/>
    </w:pPr>
    <w:rPr>
      <w:color w:val="5C2946"/>
    </w:rPr>
  </w:style>
  <w:style w:type="character" w:customStyle="1" w:styleId="NormalTextChar">
    <w:name w:val="Normal Text Char"/>
    <w:basedOn w:val="DefaultParagraphFont"/>
    <w:link w:val="NormalText"/>
    <w:rsid w:val="00705195"/>
    <w:rPr>
      <w:rFonts w:ascii="Arial" w:hAnsi="Arial" w:cs="Arial"/>
      <w:kern w:val="20"/>
      <w:sz w:val="19"/>
      <w:szCs w:val="24"/>
      <w:u w:color="000000"/>
      <w:lang w:eastAsia="en-US"/>
    </w:rPr>
  </w:style>
  <w:style w:type="paragraph" w:customStyle="1" w:styleId="BODYTEXT">
    <w:name w:val="BODYTEXT"/>
    <w:link w:val="BODYTEXTChar"/>
    <w:rsid w:val="00705195"/>
    <w:rPr>
      <w:sz w:val="24"/>
      <w:lang w:eastAsia="en-US"/>
    </w:rPr>
  </w:style>
  <w:style w:type="paragraph" w:customStyle="1" w:styleId="Default">
    <w:name w:val="Default"/>
    <w:rsid w:val="00705195"/>
    <w:pPr>
      <w:autoSpaceDE w:val="0"/>
      <w:autoSpaceDN w:val="0"/>
      <w:adjustRightInd w:val="0"/>
    </w:pPr>
    <w:rPr>
      <w:rFonts w:ascii="Calibri" w:eastAsiaTheme="minorEastAsia" w:hAnsi="Calibri" w:cs="Calibri"/>
      <w:color w:val="000000"/>
      <w:sz w:val="24"/>
      <w:szCs w:val="24"/>
      <w:lang w:eastAsia="en-US"/>
    </w:rPr>
  </w:style>
  <w:style w:type="paragraph" w:styleId="Revision">
    <w:name w:val="Revision"/>
    <w:hidden/>
    <w:uiPriority w:val="99"/>
    <w:semiHidden/>
    <w:rsid w:val="00424BBE"/>
    <w:rPr>
      <w:rFonts w:ascii="Arial" w:hAnsi="Arial"/>
      <w:szCs w:val="24"/>
      <w:lang w:eastAsia="en-US"/>
    </w:rPr>
  </w:style>
  <w:style w:type="character" w:customStyle="1" w:styleId="UnresolvedMention1">
    <w:name w:val="Unresolved Mention1"/>
    <w:basedOn w:val="DefaultParagraphFont"/>
    <w:uiPriority w:val="99"/>
    <w:semiHidden/>
    <w:unhideWhenUsed/>
    <w:rsid w:val="00772458"/>
    <w:rPr>
      <w:color w:val="605E5C"/>
      <w:shd w:val="clear" w:color="auto" w:fill="E1DFDD"/>
    </w:rPr>
  </w:style>
  <w:style w:type="character" w:styleId="UnresolvedMention">
    <w:name w:val="Unresolved Mention"/>
    <w:basedOn w:val="DefaultParagraphFont"/>
    <w:uiPriority w:val="99"/>
    <w:semiHidden/>
    <w:unhideWhenUsed/>
    <w:rsid w:val="00FD5811"/>
    <w:rPr>
      <w:color w:val="605E5C"/>
      <w:shd w:val="clear" w:color="auto" w:fill="E1DFDD"/>
    </w:rPr>
  </w:style>
  <w:style w:type="table" w:styleId="TableGrid">
    <w:name w:val="Table Grid"/>
    <w:basedOn w:val="TableNormal"/>
    <w:uiPriority w:val="59"/>
    <w:rsid w:val="00FD5811"/>
    <w:pPr>
      <w:spacing w:after="160" w:line="252" w:lineRule="auto"/>
      <w:jc w:val="both"/>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APVMA_Caption Char,o Char,Beschriftung Char Char,Beschriftung Char1 Char Char,Beschriftung Char Char Char Char,Char Char,Bayer Caption Char,o + Links Char,! Q Char, Char Char,! Q  Char"/>
    <w:basedOn w:val="DefaultParagraphFont"/>
    <w:link w:val="Caption"/>
    <w:locked/>
    <w:rsid w:val="00FD5811"/>
    <w:rPr>
      <w:rFonts w:ascii="Franklin Gothic Medium" w:hAnsi="Franklin Gothic Medium"/>
      <w:color w:val="00747A" w:themeColor="background2"/>
      <w:szCs w:val="24"/>
      <w:lang w:eastAsia="en-US"/>
    </w:rPr>
  </w:style>
  <w:style w:type="paragraph" w:styleId="ListParagraph">
    <w:name w:val="List Paragraph"/>
    <w:basedOn w:val="Normal"/>
    <w:uiPriority w:val="34"/>
    <w:qFormat/>
    <w:rsid w:val="000E0D1A"/>
    <w:pPr>
      <w:spacing w:after="160" w:line="252" w:lineRule="auto"/>
      <w:ind w:left="720"/>
      <w:contextualSpacing/>
    </w:pPr>
    <w:rPr>
      <w:rFonts w:ascii="Times New Roman" w:eastAsiaTheme="minorEastAsia" w:hAnsi="Times New Roman" w:cstheme="minorBidi"/>
      <w:sz w:val="24"/>
      <w:szCs w:val="22"/>
      <w:lang w:eastAsia="en-AU"/>
    </w:rPr>
  </w:style>
  <w:style w:type="paragraph" w:customStyle="1" w:styleId="TableParagraph">
    <w:name w:val="Table Paragraph"/>
    <w:basedOn w:val="Normal"/>
    <w:uiPriority w:val="1"/>
    <w:qFormat/>
    <w:rsid w:val="00F21108"/>
    <w:pPr>
      <w:autoSpaceDE w:val="0"/>
      <w:autoSpaceDN w:val="0"/>
      <w:adjustRightInd w:val="0"/>
      <w:spacing w:before="39" w:line="240" w:lineRule="auto"/>
      <w:ind w:left="119"/>
    </w:pPr>
    <w:rPr>
      <w:rFonts w:cs="Arial"/>
      <w:sz w:val="24"/>
      <w:lang w:eastAsia="en-AU"/>
    </w:rPr>
  </w:style>
  <w:style w:type="paragraph" w:customStyle="1" w:styleId="APVMAnormal">
    <w:name w:val="APVMA normal"/>
    <w:basedOn w:val="Normal"/>
    <w:qFormat/>
    <w:rsid w:val="00262317"/>
    <w:pPr>
      <w:spacing w:before="240" w:after="240" w:line="280" w:lineRule="exact"/>
    </w:pPr>
  </w:style>
  <w:style w:type="paragraph" w:customStyle="1" w:styleId="APVMATabletext0">
    <w:name w:val="APVMA Table text"/>
    <w:basedOn w:val="Normal"/>
    <w:qFormat/>
    <w:rsid w:val="00262317"/>
    <w:pPr>
      <w:spacing w:before="120" w:after="120" w:line="240" w:lineRule="exact"/>
    </w:pPr>
    <w:rPr>
      <w:lang w:val="en-US"/>
    </w:rPr>
  </w:style>
  <w:style w:type="paragraph" w:customStyle="1" w:styleId="APVMAheading1">
    <w:name w:val="APVMA heading 1"/>
    <w:basedOn w:val="Heading1"/>
    <w:qFormat/>
    <w:rsid w:val="00262317"/>
    <w:pPr>
      <w:keepLines w:val="0"/>
      <w:pageBreakBefore w:val="0"/>
      <w:suppressAutoHyphens w:val="0"/>
      <w:spacing w:after="320" w:line="320" w:lineRule="exact"/>
    </w:pPr>
    <w:rPr>
      <w:rFonts w:cs="Times New Roman"/>
      <w:color w:val="auto"/>
      <w:kern w:val="0"/>
      <w:szCs w:val="20"/>
    </w:rPr>
  </w:style>
  <w:style w:type="character" w:customStyle="1" w:styleId="APVMATextChar">
    <w:name w:val="APVMA_Text Char"/>
    <w:basedOn w:val="DefaultParagraphFont"/>
    <w:link w:val="APVMAText"/>
    <w:rsid w:val="00DE30AB"/>
    <w:rPr>
      <w:rFonts w:ascii="Arial" w:hAnsi="Arial" w:cs="Arial"/>
      <w:szCs w:val="24"/>
      <w:u w:color="000000"/>
      <w:lang w:eastAsia="en-US"/>
    </w:rPr>
  </w:style>
  <w:style w:type="character" w:customStyle="1" w:styleId="Heading2Char">
    <w:name w:val="Heading 2 Char"/>
    <w:aliases w:val="APVMA_H2 Char"/>
    <w:basedOn w:val="DefaultParagraphFont"/>
    <w:link w:val="Heading2"/>
    <w:rsid w:val="00743AFF"/>
    <w:rPr>
      <w:rFonts w:ascii="Franklin Gothic Medium" w:hAnsi="Franklin Gothic Medium" w:cs="Arial"/>
      <w:color w:val="00747A" w:themeColor="background2"/>
      <w:sz w:val="28"/>
      <w:szCs w:val="28"/>
      <w:u w:color="000000"/>
      <w:lang w:eastAsia="en-US"/>
    </w:rPr>
  </w:style>
  <w:style w:type="character" w:customStyle="1" w:styleId="Response">
    <w:name w:val="Response"/>
    <w:basedOn w:val="DefaultParagraphFont"/>
    <w:uiPriority w:val="1"/>
    <w:qFormat/>
    <w:rsid w:val="00743AFF"/>
    <w:rPr>
      <w:rFonts w:ascii="Arial" w:hAnsi="Arial"/>
      <w:color w:val="004953" w:themeColor="text2"/>
    </w:rPr>
  </w:style>
  <w:style w:type="character" w:customStyle="1" w:styleId="BODYTEXTChar">
    <w:name w:val="BODYTEXT Char"/>
    <w:basedOn w:val="DefaultParagraphFont"/>
    <w:link w:val="BODYTEXT"/>
    <w:rsid w:val="00BD2FCF"/>
    <w:rPr>
      <w:sz w:val="24"/>
      <w:lang w:eastAsia="en-US"/>
    </w:rPr>
  </w:style>
  <w:style w:type="paragraph" w:styleId="BodyText0">
    <w:name w:val="Body Text"/>
    <w:basedOn w:val="Normal"/>
    <w:link w:val="BodyTextChar0"/>
    <w:uiPriority w:val="99"/>
    <w:unhideWhenUsed/>
    <w:rsid w:val="0013016D"/>
    <w:pPr>
      <w:spacing w:after="120"/>
    </w:pPr>
  </w:style>
  <w:style w:type="character" w:customStyle="1" w:styleId="BodyTextChar0">
    <w:name w:val="Body Text Char"/>
    <w:basedOn w:val="DefaultParagraphFont"/>
    <w:link w:val="BodyText0"/>
    <w:uiPriority w:val="99"/>
    <w:rsid w:val="0013016D"/>
    <w:rPr>
      <w:rFonts w:ascii="Arial" w:hAnsi="Arial"/>
      <w:szCs w:val="24"/>
      <w:lang w:eastAsia="en-US"/>
    </w:rPr>
  </w:style>
  <w:style w:type="table" w:customStyle="1" w:styleId="TableGrid1">
    <w:name w:val="Table Grid1"/>
    <w:basedOn w:val="TableNormal"/>
    <w:next w:val="TableGrid"/>
    <w:uiPriority w:val="59"/>
    <w:rsid w:val="00130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tyle">
    <w:name w:val="Figure style"/>
    <w:basedOn w:val="Caption"/>
    <w:uiPriority w:val="4"/>
    <w:rsid w:val="00DD0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52100">
      <w:bodyDiv w:val="1"/>
      <w:marLeft w:val="0"/>
      <w:marRight w:val="0"/>
      <w:marTop w:val="0"/>
      <w:marBottom w:val="0"/>
      <w:divBdr>
        <w:top w:val="none" w:sz="0" w:space="0" w:color="auto"/>
        <w:left w:val="none" w:sz="0" w:space="0" w:color="auto"/>
        <w:bottom w:val="none" w:sz="0" w:space="0" w:color="auto"/>
        <w:right w:val="none" w:sz="0" w:space="0" w:color="auto"/>
      </w:divBdr>
    </w:div>
    <w:div w:id="1199319215">
      <w:bodyDiv w:val="1"/>
      <w:marLeft w:val="0"/>
      <w:marRight w:val="0"/>
      <w:marTop w:val="0"/>
      <w:marBottom w:val="0"/>
      <w:divBdr>
        <w:top w:val="none" w:sz="0" w:space="0" w:color="auto"/>
        <w:left w:val="none" w:sz="0" w:space="0" w:color="auto"/>
        <w:bottom w:val="none" w:sz="0" w:space="0" w:color="auto"/>
        <w:right w:val="none" w:sz="0" w:space="0" w:color="auto"/>
      </w:divBdr>
    </w:div>
    <w:div w:id="1351252795">
      <w:bodyDiv w:val="1"/>
      <w:marLeft w:val="0"/>
      <w:marRight w:val="0"/>
      <w:marTop w:val="0"/>
      <w:marBottom w:val="0"/>
      <w:divBdr>
        <w:top w:val="none" w:sz="0" w:space="0" w:color="auto"/>
        <w:left w:val="none" w:sz="0" w:space="0" w:color="auto"/>
        <w:bottom w:val="none" w:sz="0" w:space="0" w:color="auto"/>
        <w:right w:val="none" w:sz="0" w:space="0" w:color="auto"/>
      </w:divBdr>
    </w:div>
    <w:div w:id="191103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4.xml" Id="rId26" /><Relationship Type="http://schemas.openxmlformats.org/officeDocument/2006/relationships/header" Target="header3.xml" Id="rId21" /><Relationship Type="http://schemas.openxmlformats.org/officeDocument/2006/relationships/image" Target="media/image11.emf" Id="rId42" /><Relationship Type="http://schemas.openxmlformats.org/officeDocument/2006/relationships/image" Target="media/image15.emf" Id="rId47" /><Relationship Type="http://schemas.openxmlformats.org/officeDocument/2006/relationships/header" Target="header22.xml" Id="rId63" /><Relationship Type="http://schemas.openxmlformats.org/officeDocument/2006/relationships/hyperlink" Target="https://www.legislation.gov.au/Details/C2022C00347" TargetMode="External" Id="rId68" /><Relationship Type="http://schemas.openxmlformats.org/officeDocument/2006/relationships/header" Target="header27.xml" Id="rId84" /><Relationship Type="http://schemas.openxmlformats.org/officeDocument/2006/relationships/hyperlink" Target="https://creativecommons.org/licenses/by/4.0/legalcode" TargetMode="External" Id="rId16" /><Relationship Type="http://schemas.openxmlformats.org/officeDocument/2006/relationships/header" Target="header1.xml" Id="rId11" /><Relationship Type="http://schemas.openxmlformats.org/officeDocument/2006/relationships/image" Target="media/image5.png" Id="rId32" /><Relationship Type="http://schemas.openxmlformats.org/officeDocument/2006/relationships/image" Target="media/image7.png" Id="rId37" /><Relationship Type="http://schemas.openxmlformats.org/officeDocument/2006/relationships/image" Target="media/image17.png" Id="rId53" /><Relationship Type="http://schemas.openxmlformats.org/officeDocument/2006/relationships/header" Target="header19.xml" Id="rId58" /><Relationship Type="http://schemas.openxmlformats.org/officeDocument/2006/relationships/hyperlink" Target="https://www.ecetoc.org/wp-content/uploads/2014/08/ECETOC-TR-086.pdf" TargetMode="External" Id="rId74" /><Relationship Type="http://schemas.openxmlformats.org/officeDocument/2006/relationships/hyperlink" Target="https://www.agpath.com.au/wp/wp-content/uploads/2021/11/dr-mary-retallack-natural-predators-of-vineyard-insect-pests.pdf" TargetMode="External" Id="rId79" /><Relationship Type="http://schemas.openxmlformats.org/officeDocument/2006/relationships/settings" Target="settings.xml" Id="rId5" /><Relationship Type="http://schemas.openxmlformats.org/officeDocument/2006/relationships/hyperlink" Target="http://www.apvma.gov.au" TargetMode="External" Id="rId19" /><Relationship Type="http://schemas.openxmlformats.org/officeDocument/2006/relationships/image" Target="media/image4.png" Id="rId14" /><Relationship Type="http://schemas.openxmlformats.org/officeDocument/2006/relationships/hyperlink" Target="https://apvma.gov.au/" TargetMode="External" Id="rId22" /><Relationship Type="http://schemas.openxmlformats.org/officeDocument/2006/relationships/header" Target="header5.xml" Id="rId27" /><Relationship Type="http://schemas.openxmlformats.org/officeDocument/2006/relationships/header" Target="header6.xml" Id="rId30" /><Relationship Type="http://schemas.openxmlformats.org/officeDocument/2006/relationships/header" Target="header9.xml" Id="rId35" /><Relationship Type="http://schemas.openxmlformats.org/officeDocument/2006/relationships/image" Target="media/image12.emf" Id="rId43" /><Relationship Type="http://schemas.openxmlformats.org/officeDocument/2006/relationships/header" Target="header11.xml" Id="rId48" /><Relationship Type="http://schemas.openxmlformats.org/officeDocument/2006/relationships/header" Target="header17.xml" Id="rId56" /><Relationship Type="http://schemas.openxmlformats.org/officeDocument/2006/relationships/header" Target="header23.xml" Id="rId64" /><Relationship Type="http://schemas.openxmlformats.org/officeDocument/2006/relationships/hyperlink" Target="https://apvma.gov.au/node/28086" TargetMode="External" Id="rId69" /><Relationship Type="http://schemas.openxmlformats.org/officeDocument/2006/relationships/hyperlink" Target="http://www.efsa.europa.eu/en/efsajournal" TargetMode="External" Id="rId77" /><Relationship Type="http://schemas.openxmlformats.org/officeDocument/2006/relationships/endnotes" Target="endnotes.xml" Id="rId8" /><Relationship Type="http://schemas.openxmlformats.org/officeDocument/2006/relationships/header" Target="header14.xml" Id="rId51" /><Relationship Type="http://schemas.openxmlformats.org/officeDocument/2006/relationships/hyperlink" Target="https://apvma.gov.au/node/26586" TargetMode="External" Id="rId72" /><Relationship Type="http://schemas.openxmlformats.org/officeDocument/2006/relationships/hyperlink" Target="https://www.legislation.gov.au/Details/F2023L00617" TargetMode="External" Id="rId80" /><Relationship Type="http://schemas.openxmlformats.org/officeDocument/2006/relationships/header" Target="header2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hyperlink" Target="https://www.pmc.gov.au/honours-and-symbols/commonwealth-coat-arms" TargetMode="External" Id="rId17" /><Relationship Type="http://schemas.openxmlformats.org/officeDocument/2006/relationships/hyperlink" Target="mailto:casemanagement@apvma.gov.au" TargetMode="External" Id="rId25" /><Relationship Type="http://schemas.openxmlformats.org/officeDocument/2006/relationships/header" Target="header8.xml" Id="rId33" /><Relationship Type="http://schemas.openxmlformats.org/officeDocument/2006/relationships/image" Target="media/image8.png" Id="rId38" /><Relationship Type="http://schemas.openxmlformats.org/officeDocument/2006/relationships/hyperlink" Target="https://www.efsa.europa.eu/en/consultations/call/public-consultation-active-substance-fenpropidin" TargetMode="External" Id="rId46" /><Relationship Type="http://schemas.openxmlformats.org/officeDocument/2006/relationships/header" Target="header20.xml" Id="rId59" /><Relationship Type="http://schemas.openxmlformats.org/officeDocument/2006/relationships/header" Target="header26.xml" Id="rId67" /><Relationship Type="http://schemas.openxmlformats.org/officeDocument/2006/relationships/header" Target="header2.xml" Id="rId20" /><Relationship Type="http://schemas.openxmlformats.org/officeDocument/2006/relationships/hyperlink" Target="https://www.efsa.europa.eu/en/consultations/call/public-consultation-active-substance-fenpropidin" TargetMode="External" Id="rId41" /><Relationship Type="http://schemas.openxmlformats.org/officeDocument/2006/relationships/header" Target="header15.xml" Id="rId54" /><Relationship Type="http://schemas.openxmlformats.org/officeDocument/2006/relationships/header" Target="header21.xml" Id="rId62" /><Relationship Type="http://schemas.openxmlformats.org/officeDocument/2006/relationships/hyperlink" Target="https://apvma.gov.au/node/26596" TargetMode="External" Id="rId70" /><Relationship Type="http://schemas.openxmlformats.org/officeDocument/2006/relationships/hyperlink" Target="http://www.efsa.europa.eu/en/efsajournal" TargetMode="External" Id="rId75" /><Relationship Type="http://schemas.openxmlformats.org/officeDocument/2006/relationships/hyperlink" Target="https://www.epa.gov/sites/production/files/2021-03/hed_exposac_policy_3_occupational_pesticide_re-entry_exposure_calculator_march2021_0.xlsx" TargetMode="External" Id="rId83"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creativecommons.org/licenses/by/4.0/" TargetMode="External" Id="rId15" /><Relationship Type="http://schemas.openxmlformats.org/officeDocument/2006/relationships/hyperlink" Target="https://apvma.gov.au/node/72856" TargetMode="External" Id="rId23" /><Relationship Type="http://schemas.openxmlformats.org/officeDocument/2006/relationships/hyperlink" Target="https://apvma.gov.au/" TargetMode="External" Id="rId28" /><Relationship Type="http://schemas.openxmlformats.org/officeDocument/2006/relationships/header" Target="header10.xml" Id="rId36" /><Relationship Type="http://schemas.openxmlformats.org/officeDocument/2006/relationships/header" Target="header12.xml" Id="rId49" /><Relationship Type="http://schemas.openxmlformats.org/officeDocument/2006/relationships/header" Target="header18.xml" Id="rId57" /><Relationship Type="http://schemas.openxmlformats.org/officeDocument/2006/relationships/image" Target="media/image2.png" Id="rId10" /><Relationship Type="http://schemas.openxmlformats.org/officeDocument/2006/relationships/header" Target="header7.xml" Id="rId31" /><Relationship Type="http://schemas.openxmlformats.org/officeDocument/2006/relationships/image" Target="media/image13.png" Id="rId44" /><Relationship Type="http://schemas.openxmlformats.org/officeDocument/2006/relationships/image" Target="media/image16.png" Id="rId52" /><Relationship Type="http://schemas.openxmlformats.org/officeDocument/2006/relationships/image" Target="media/image18.jpeg" Id="rId60" /><Relationship Type="http://schemas.openxmlformats.org/officeDocument/2006/relationships/header" Target="header24.xml" Id="rId65" /><Relationship Type="http://schemas.openxmlformats.org/officeDocument/2006/relationships/hyperlink" Target="https://www.awri.com.au/wp-content/uploads/3_phenology_flowering_and_pollination.pdf" TargetMode="External" Id="rId73" /><Relationship Type="http://schemas.openxmlformats.org/officeDocument/2006/relationships/hyperlink" Target="https://doi.org/10.1787/9789264304741-en" TargetMode="External" Id="rId78" /><Relationship Type="http://schemas.openxmlformats.org/officeDocument/2006/relationships/hyperlink" Target="https://www.usda.gov/sites/default/files/documents/Attractiveness-of-Agriculture-Crops-to-Pollinating-Bees-Report-FINAL-Web-Version-Jan-3-2018.pdf" TargetMode="External" Id="rId81" /><Relationship Type="http://schemas.openxmlformats.org/officeDocument/2006/relationships/fontTable" Target="fontTable.xml" Id="rId86"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3.png" Id="rId13" /><Relationship Type="http://schemas.openxmlformats.org/officeDocument/2006/relationships/hyperlink" Target="mailto:communications@apvma.gov.au" TargetMode="External" Id="rId18" /><Relationship Type="http://schemas.openxmlformats.org/officeDocument/2006/relationships/image" Target="media/image9.png" Id="rId39" /><Relationship Type="http://schemas.openxmlformats.org/officeDocument/2006/relationships/image" Target="media/image6.emf" Id="rId34" /><Relationship Type="http://schemas.openxmlformats.org/officeDocument/2006/relationships/header" Target="header13.xml" Id="rId50" /><Relationship Type="http://schemas.openxmlformats.org/officeDocument/2006/relationships/header" Target="header16.xml" Id="rId55" /><Relationship Type="http://schemas.openxmlformats.org/officeDocument/2006/relationships/hyperlink" Target="http://www.efsa.europa.eu/en/efsajournal" TargetMode="External" Id="rId76" /><Relationship Type="http://schemas.openxmlformats.org/officeDocument/2006/relationships/footnotes" Target="footnotes.xml" Id="rId7" /><Relationship Type="http://schemas.openxmlformats.org/officeDocument/2006/relationships/hyperlink" Target="https://apvma.gov.au/node/26591" TargetMode="External" Id="rId71" /><Relationship Type="http://schemas.openxmlformats.org/officeDocument/2006/relationships/hyperlink" Target="http://portal/Client/Sites/Site/8379" TargetMode="External" Id="rId29" /><Relationship Type="http://schemas.openxmlformats.org/officeDocument/2006/relationships/hyperlink" Target="https://apvma.gov.au/node/72856" TargetMode="External" Id="rId24" /><Relationship Type="http://schemas.openxmlformats.org/officeDocument/2006/relationships/image" Target="media/image10.emf" Id="rId40" /><Relationship Type="http://schemas.openxmlformats.org/officeDocument/2006/relationships/image" Target="media/image14.emf" Id="rId45" /><Relationship Type="http://schemas.openxmlformats.org/officeDocument/2006/relationships/header" Target="header25.xml" Id="rId66" /><Relationship Type="http://schemas.openxmlformats.org/officeDocument/2006/relationships/theme" Target="theme/theme1.xml" Id="rId87" /><Relationship Type="http://schemas.openxmlformats.org/officeDocument/2006/relationships/hyperlink" Target="http://www.syngenta.com.au" TargetMode="External" Id="rId61" /><Relationship Type="http://schemas.openxmlformats.org/officeDocument/2006/relationships/hyperlink" Target="https://www.epa.gov/sites/production/files/2021-05/opp-hed-occupational-handler-exposure-may-2021.xlsx" TargetMode="External" Id="rId82" /><Relationship Type="http://schemas.openxmlformats.org/officeDocument/2006/relationships/customXml" Target="/customXML/item3.xml" Id="Re1b4a84ec64643c7" /></Relationships>
</file>

<file path=word/_rels/footnotes.xml.rels><?xml version="1.0" encoding="UTF-8" standalone="yes"?>
<Relationships xmlns="http://schemas.openxmlformats.org/package/2006/relationships"><Relationship Id="rId3" Type="http://schemas.openxmlformats.org/officeDocument/2006/relationships/hyperlink" Target="https://ec.europa.eu/food/plant/pesticides/eu-pesticides-database/start/screen/mrls/details?lg_code=EN&amp;pest_res_id_list=300&amp;product_id_list=" TargetMode="External"/><Relationship Id="rId2" Type="http://schemas.openxmlformats.org/officeDocument/2006/relationships/hyperlink" Target="https://www.agriculture.gov.au/abares/research-topics/agricultural-outlook/data" TargetMode="External"/><Relationship Id="rId1" Type="http://schemas.openxmlformats.org/officeDocument/2006/relationships/hyperlink" Target="https://www.oecd.org/chemicalsafety/pesticides-biocides/publicationsonpesticideresidues.htm" TargetMode="External"/><Relationship Id="rId4" Type="http://schemas.openxmlformats.org/officeDocument/2006/relationships/hyperlink" Target="https://www.ecfr.gov/current/title-40/chapter-I/subchapter-E/part-180/subpart-C/section-180.67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dams\Objects\Template_%20Public%20Release%20Summary%20(A1243174).dotx" TargetMode="External"/></Relationships>
</file>

<file path=word/theme/theme1.xml><?xml version="1.0" encoding="utf-8"?>
<a:theme xmlns:a="http://schemas.openxmlformats.org/drawingml/2006/main" name="Office Theme">
  <a:themeElements>
    <a:clrScheme name="APVMA">
      <a:dk1>
        <a:srgbClr val="353735"/>
      </a:dk1>
      <a:lt1>
        <a:srgbClr val="EAAB00"/>
      </a:lt1>
      <a:dk2>
        <a:srgbClr val="004953"/>
      </a:dk2>
      <a:lt2>
        <a:srgbClr val="00747A"/>
      </a:lt2>
      <a:accent1>
        <a:srgbClr val="B9C9D0"/>
      </a:accent1>
      <a:accent2>
        <a:srgbClr val="53682B"/>
      </a:accent2>
      <a:accent3>
        <a:srgbClr val="739600"/>
      </a:accent3>
      <a:accent4>
        <a:srgbClr val="A2AD00"/>
      </a:accent4>
      <a:accent5>
        <a:srgbClr val="53284F"/>
      </a:accent5>
      <a:accent6>
        <a:srgbClr val="BD3632"/>
      </a:accent6>
      <a:hlink>
        <a:srgbClr val="4472C4"/>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00782AAB515E47F68D0ED650F5E2ABDE" version="1.0.0">
  <systemFields>
    <field name="Objective-Id">
      <value order="0">A2952857</value>
    </field>
    <field name="Objective-Title">
      <value order="0">Public Release Summary on the evaluation of the new active constituent fenpropidin in the product SEEKER Duo Fungicide</value>
    </field>
    <field name="Objective-Description">
      <value order="0"/>
    </field>
    <field name="Objective-CreationStamp">
      <value order="0">2023-01-15T04:26:09Z</value>
    </field>
    <field name="Objective-IsApproved">
      <value order="0">false</value>
    </field>
    <field name="Objective-IsPublished">
      <value order="0">false</value>
    </field>
    <field name="Objective-DatePublished">
      <value order="0"/>
    </field>
    <field name="Objective-ModificationStamp">
      <value order="0">2023-06-09T00:25:12Z</value>
    </field>
    <field name="Objective-Owner">
      <value order="0">Janine Knight</value>
    </field>
    <field name="Objective-Path">
      <value order="0">APVMA:REGISTRATION:Registration - Product, Permit and Active Files:Product, Permit and Active Files 90000 - 92499:91885 - SEEKER Duo Fungicide:91885 - 133783 - SEEKER Duo Fungicide :06-Evaluation and Determination:Evaluation and Determination - Public Consultation</value>
    </field>
    <field name="Objective-Parent">
      <value order="0">Evaluation and Determination - Public Consultation</value>
    </field>
    <field name="Objective-State">
      <value order="0">Being Drafted</value>
    </field>
    <field name="Objective-VersionId">
      <value order="0">vA4515896</value>
    </field>
    <field name="Objective-Version">
      <value order="0">9.32</value>
    </field>
    <field name="Objective-VersionNumber">
      <value order="0">41</value>
    </field>
    <field name="Objective-VersionComment">
      <value order="0"/>
    </field>
    <field name="Objective-FileNumber">
      <value order="0">qA262652</value>
    </field>
    <field name="Objective-Classification">
      <value order="0">OFFICIAL:Sensitive, Legislative-Secrecy</value>
    </field>
    <field name="Objective-Caveats">
      <value order="0"/>
    </field>
  </systemFields>
  <catalogues>
    <catalogue name="Document Type Catalogue" type="type" ori="id:cA101">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00782AAB515E47F68D0ED650F5E2ABDE"/>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23D27-0D7B-4C09-AF30-FADBDD3B4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 Public Release Summary (A1243174).dotx</Template>
  <TotalTime>958</TotalTime>
  <Pages>70</Pages>
  <Words>20404</Words>
  <Characters>114472</Characters>
  <Application>Microsoft Office Word</Application>
  <DocSecurity>0</DocSecurity>
  <Lines>2244</Lines>
  <Paragraphs>1376</Paragraphs>
  <ScaleCrop>false</ScaleCrop>
  <HeadingPairs>
    <vt:vector size="2" baseType="variant">
      <vt:variant>
        <vt:lpstr>Title</vt:lpstr>
      </vt:variant>
      <vt:variant>
        <vt:i4>1</vt:i4>
      </vt:variant>
    </vt:vector>
  </HeadingPairs>
  <TitlesOfParts>
    <vt:vector size="1" baseType="lpstr">
      <vt:lpstr>APVMA PRS template</vt:lpstr>
    </vt:vector>
  </TitlesOfParts>
  <Manager/>
  <Company>Australian Pesticides and Veterinary Medicines Authority</Company>
  <LinksUpToDate>false</LinksUpToDate>
  <CharactersWithSpaces>133500</CharactersWithSpaces>
  <SharedDoc>false</SharedDoc>
  <HyperlinkBase/>
  <HLinks>
    <vt:vector size="102" baseType="variant">
      <vt:variant>
        <vt:i4>1376309</vt:i4>
      </vt:variant>
      <vt:variant>
        <vt:i4>102</vt:i4>
      </vt:variant>
      <vt:variant>
        <vt:i4>0</vt:i4>
      </vt:variant>
      <vt:variant>
        <vt:i4>5</vt:i4>
      </vt:variant>
      <vt:variant>
        <vt:lpwstr/>
      </vt:variant>
      <vt:variant>
        <vt:lpwstr>_Toc237417123</vt:lpwstr>
      </vt:variant>
      <vt:variant>
        <vt:i4>1376309</vt:i4>
      </vt:variant>
      <vt:variant>
        <vt:i4>96</vt:i4>
      </vt:variant>
      <vt:variant>
        <vt:i4>0</vt:i4>
      </vt:variant>
      <vt:variant>
        <vt:i4>5</vt:i4>
      </vt:variant>
      <vt:variant>
        <vt:lpwstr/>
      </vt:variant>
      <vt:variant>
        <vt:lpwstr>_Toc237417122</vt:lpwstr>
      </vt:variant>
      <vt:variant>
        <vt:i4>1376309</vt:i4>
      </vt:variant>
      <vt:variant>
        <vt:i4>90</vt:i4>
      </vt:variant>
      <vt:variant>
        <vt:i4>0</vt:i4>
      </vt:variant>
      <vt:variant>
        <vt:i4>5</vt:i4>
      </vt:variant>
      <vt:variant>
        <vt:lpwstr/>
      </vt:variant>
      <vt:variant>
        <vt:lpwstr>_Toc237417121</vt:lpwstr>
      </vt:variant>
      <vt:variant>
        <vt:i4>1376309</vt:i4>
      </vt:variant>
      <vt:variant>
        <vt:i4>84</vt:i4>
      </vt:variant>
      <vt:variant>
        <vt:i4>0</vt:i4>
      </vt:variant>
      <vt:variant>
        <vt:i4>5</vt:i4>
      </vt:variant>
      <vt:variant>
        <vt:lpwstr/>
      </vt:variant>
      <vt:variant>
        <vt:lpwstr>_Toc237417120</vt:lpwstr>
      </vt:variant>
      <vt:variant>
        <vt:i4>1441845</vt:i4>
      </vt:variant>
      <vt:variant>
        <vt:i4>78</vt:i4>
      </vt:variant>
      <vt:variant>
        <vt:i4>0</vt:i4>
      </vt:variant>
      <vt:variant>
        <vt:i4>5</vt:i4>
      </vt:variant>
      <vt:variant>
        <vt:lpwstr/>
      </vt:variant>
      <vt:variant>
        <vt:lpwstr>_Toc237417119</vt:lpwstr>
      </vt:variant>
      <vt:variant>
        <vt:i4>1441845</vt:i4>
      </vt:variant>
      <vt:variant>
        <vt:i4>72</vt:i4>
      </vt:variant>
      <vt:variant>
        <vt:i4>0</vt:i4>
      </vt:variant>
      <vt:variant>
        <vt:i4>5</vt:i4>
      </vt:variant>
      <vt:variant>
        <vt:lpwstr/>
      </vt:variant>
      <vt:variant>
        <vt:lpwstr>_Toc237417118</vt:lpwstr>
      </vt:variant>
      <vt:variant>
        <vt:i4>1441845</vt:i4>
      </vt:variant>
      <vt:variant>
        <vt:i4>66</vt:i4>
      </vt:variant>
      <vt:variant>
        <vt:i4>0</vt:i4>
      </vt:variant>
      <vt:variant>
        <vt:i4>5</vt:i4>
      </vt:variant>
      <vt:variant>
        <vt:lpwstr/>
      </vt:variant>
      <vt:variant>
        <vt:lpwstr>_Toc237417117</vt:lpwstr>
      </vt:variant>
      <vt:variant>
        <vt:i4>1441845</vt:i4>
      </vt:variant>
      <vt:variant>
        <vt:i4>60</vt:i4>
      </vt:variant>
      <vt:variant>
        <vt:i4>0</vt:i4>
      </vt:variant>
      <vt:variant>
        <vt:i4>5</vt:i4>
      </vt:variant>
      <vt:variant>
        <vt:lpwstr/>
      </vt:variant>
      <vt:variant>
        <vt:lpwstr>_Toc237417116</vt:lpwstr>
      </vt:variant>
      <vt:variant>
        <vt:i4>1441845</vt:i4>
      </vt:variant>
      <vt:variant>
        <vt:i4>54</vt:i4>
      </vt:variant>
      <vt:variant>
        <vt:i4>0</vt:i4>
      </vt:variant>
      <vt:variant>
        <vt:i4>5</vt:i4>
      </vt:variant>
      <vt:variant>
        <vt:lpwstr/>
      </vt:variant>
      <vt:variant>
        <vt:lpwstr>_Toc237417115</vt:lpwstr>
      </vt:variant>
      <vt:variant>
        <vt:i4>1441845</vt:i4>
      </vt:variant>
      <vt:variant>
        <vt:i4>48</vt:i4>
      </vt:variant>
      <vt:variant>
        <vt:i4>0</vt:i4>
      </vt:variant>
      <vt:variant>
        <vt:i4>5</vt:i4>
      </vt:variant>
      <vt:variant>
        <vt:lpwstr/>
      </vt:variant>
      <vt:variant>
        <vt:lpwstr>_Toc237417114</vt:lpwstr>
      </vt:variant>
      <vt:variant>
        <vt:i4>1441845</vt:i4>
      </vt:variant>
      <vt:variant>
        <vt:i4>42</vt:i4>
      </vt:variant>
      <vt:variant>
        <vt:i4>0</vt:i4>
      </vt:variant>
      <vt:variant>
        <vt:i4>5</vt:i4>
      </vt:variant>
      <vt:variant>
        <vt:lpwstr/>
      </vt:variant>
      <vt:variant>
        <vt:lpwstr>_Toc237417113</vt:lpwstr>
      </vt:variant>
      <vt:variant>
        <vt:i4>1441845</vt:i4>
      </vt:variant>
      <vt:variant>
        <vt:i4>36</vt:i4>
      </vt:variant>
      <vt:variant>
        <vt:i4>0</vt:i4>
      </vt:variant>
      <vt:variant>
        <vt:i4>5</vt:i4>
      </vt:variant>
      <vt:variant>
        <vt:lpwstr/>
      </vt:variant>
      <vt:variant>
        <vt:lpwstr>_Toc237417112</vt:lpwstr>
      </vt:variant>
      <vt:variant>
        <vt:i4>1441845</vt:i4>
      </vt:variant>
      <vt:variant>
        <vt:i4>30</vt:i4>
      </vt:variant>
      <vt:variant>
        <vt:i4>0</vt:i4>
      </vt:variant>
      <vt:variant>
        <vt:i4>5</vt:i4>
      </vt:variant>
      <vt:variant>
        <vt:lpwstr/>
      </vt:variant>
      <vt:variant>
        <vt:lpwstr>_Toc237417111</vt:lpwstr>
      </vt:variant>
      <vt:variant>
        <vt:i4>1441845</vt:i4>
      </vt:variant>
      <vt:variant>
        <vt:i4>24</vt:i4>
      </vt:variant>
      <vt:variant>
        <vt:i4>0</vt:i4>
      </vt:variant>
      <vt:variant>
        <vt:i4>5</vt:i4>
      </vt:variant>
      <vt:variant>
        <vt:lpwstr/>
      </vt:variant>
      <vt:variant>
        <vt:lpwstr>_Toc237417110</vt:lpwstr>
      </vt:variant>
      <vt:variant>
        <vt:i4>1507381</vt:i4>
      </vt:variant>
      <vt:variant>
        <vt:i4>18</vt:i4>
      </vt:variant>
      <vt:variant>
        <vt:i4>0</vt:i4>
      </vt:variant>
      <vt:variant>
        <vt:i4>5</vt:i4>
      </vt:variant>
      <vt:variant>
        <vt:lpwstr/>
      </vt:variant>
      <vt:variant>
        <vt:lpwstr>_Toc237417109</vt:lpwstr>
      </vt:variant>
      <vt:variant>
        <vt:i4>131159</vt:i4>
      </vt:variant>
      <vt:variant>
        <vt:i4>7</vt:i4>
      </vt:variant>
      <vt:variant>
        <vt:i4>0</vt:i4>
      </vt:variant>
      <vt:variant>
        <vt:i4>5</vt:i4>
      </vt:variant>
      <vt:variant>
        <vt:lpwstr>http://www.apvma.gov.au/</vt:lpwstr>
      </vt:variant>
      <vt:variant>
        <vt:lpwstr/>
      </vt:variant>
      <vt:variant>
        <vt:i4>5308459</vt:i4>
      </vt:variant>
      <vt:variant>
        <vt:i4>2</vt:i4>
      </vt:variant>
      <vt:variant>
        <vt:i4>0</vt:i4>
      </vt:variant>
      <vt:variant>
        <vt:i4>5</vt:i4>
      </vt:variant>
      <vt:variant>
        <vt:lpwstr>mailto:communications@apvma.gov.au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Release Summary on the evaluation of the new active constituent fenpropidin in the product SEEKER Duo Fungicide</dc:title>
  <dc:subject/>
  <dc:creator>APVMA</dc:creator>
  <cp:keywords/>
  <dc:description/>
  <cp:lastModifiedBy>ELLIOTT, Amy</cp:lastModifiedBy>
  <cp:revision>73</cp:revision>
  <cp:lastPrinted>2019-04-25T12:55:00Z</cp:lastPrinted>
  <dcterms:created xsi:type="dcterms:W3CDTF">2023-05-25T00:45:00Z</dcterms:created>
  <dcterms:modified xsi:type="dcterms:W3CDTF">2023-06-09T00:15:00Z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A2952857</vt:lpwstr>
  </property>
  <property fmtid="{D5CDD505-2E9C-101B-9397-08002B2CF9AE}" pid="4" name="Objective-Title">
    <vt:lpwstr>Public Release Summary on the evaluation of the new active constituent fenpropidin in the product SEEKER Duo Fungicide</vt:lpwstr>
  </property>
  <property fmtid="{D5CDD505-2E9C-101B-9397-08002B2CF9AE}" pid="5" name="Objective-Comment">
    <vt:lpwstr/>
  </property>
  <property fmtid="{D5CDD505-2E9C-101B-9397-08002B2CF9AE}" pid="6" name="Objective-CreationStamp">
    <vt:filetime>2023-01-15T04:26:30Z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2023-06-09T00:25:12Z</vt:filetime>
  </property>
  <property fmtid="{D5CDD505-2E9C-101B-9397-08002B2CF9AE}" pid="11" name="Objective-Owner">
    <vt:lpwstr>Janine Knight</vt:lpwstr>
  </property>
  <property fmtid="{D5CDD505-2E9C-101B-9397-08002B2CF9AE}" pid="12" name="Objective-Path">
    <vt:lpwstr>APVMA:REGISTRATION:Registration - Product, Permit and Active Files:Product, Permit and Active Files 90000 - 92499:91885 - SEEKER Duo Fungicide:91885 - 133783 - SEEKER Duo Fungicide :06-Evaluation and Determination:Evaluation and Determination - Public Consultation:</vt:lpwstr>
  </property>
  <property fmtid="{D5CDD505-2E9C-101B-9397-08002B2CF9AE}" pid="13" name="Objective-Parent">
    <vt:lpwstr>Evaluation and Determination - Public Consultation</vt:lpwstr>
  </property>
  <property fmtid="{D5CDD505-2E9C-101B-9397-08002B2CF9AE}" pid="14" name="Objective-State">
    <vt:lpwstr>Being Drafted</vt:lpwstr>
  </property>
  <property fmtid="{D5CDD505-2E9C-101B-9397-08002B2CF9AE}" pid="15" name="Objective-Version">
    <vt:lpwstr>9.32</vt:lpwstr>
  </property>
  <property fmtid="{D5CDD505-2E9C-101B-9397-08002B2CF9AE}" pid="16" name="Objective-VersionNumber">
    <vt:r8>41</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OFFICIAL:Sensitive, Legislative-Secrecy]</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vA4515896</vt:lpwstr>
  </property>
  <property fmtid="{D5CDD505-2E9C-101B-9397-08002B2CF9AE}" pid="23" name="Objective-Connect Creator">
    <vt:lpwstr/>
  </property>
  <property fmtid="{D5CDD505-2E9C-101B-9397-08002B2CF9AE}" pid="24" name="Objective-Connect Creator [system]">
    <vt:lpwstr/>
  </property>
  <property fmtid="{D5CDD505-2E9C-101B-9397-08002B2CF9AE}" pid="25" name="PM_ProtectiveMarkingImage_Header">
    <vt:lpwstr>C:\Program Files (x86)\Common Files\janusNET Shared\janusSEAL\Images\DocumentSlashBlue.png</vt:lpwstr>
  </property>
  <property fmtid="{D5CDD505-2E9C-101B-9397-08002B2CF9AE}" pid="26" name="PM_Caveats_Count">
    <vt:lpwstr>0</vt:lpwstr>
  </property>
  <property fmtid="{D5CDD505-2E9C-101B-9397-08002B2CF9AE}" pid="27" name="PM_DisplayValueSecClassificationWithQualifier">
    <vt:lpwstr>OFFICIAL</vt:lpwstr>
  </property>
  <property fmtid="{D5CDD505-2E9C-101B-9397-08002B2CF9AE}" pid="28" name="PM_Qualifier">
    <vt:lpwstr/>
  </property>
  <property fmtid="{D5CDD505-2E9C-101B-9397-08002B2CF9AE}" pid="29" name="PM_SecurityClassification">
    <vt:lpwstr>OFFICIAL</vt:lpwstr>
  </property>
  <property fmtid="{D5CDD505-2E9C-101B-9397-08002B2CF9AE}" pid="30" name="PM_InsertionValue">
    <vt:lpwstr>OFFICIAL</vt:lpwstr>
  </property>
  <property fmtid="{D5CDD505-2E9C-101B-9397-08002B2CF9AE}" pid="31" name="PM_Originating_FileId">
    <vt:lpwstr>9C54D7357A5A4F5094BC0AD84F561952</vt:lpwstr>
  </property>
  <property fmtid="{D5CDD505-2E9C-101B-9397-08002B2CF9AE}" pid="32" name="PM_ProtectiveMarkingValue_Footer">
    <vt:lpwstr>OFFICIAL</vt:lpwstr>
  </property>
  <property fmtid="{D5CDD505-2E9C-101B-9397-08002B2CF9AE}" pid="33" name="PM_Originator_Hash_SHA1">
    <vt:lpwstr>842817C49940877CDD4FF1262DE666F4154E976A</vt:lpwstr>
  </property>
  <property fmtid="{D5CDD505-2E9C-101B-9397-08002B2CF9AE}" pid="34" name="PM_OriginationTimeStamp">
    <vt:lpwstr>2020-07-24T01:38:38Z</vt:lpwstr>
  </property>
  <property fmtid="{D5CDD505-2E9C-101B-9397-08002B2CF9AE}" pid="35" name="PM_ProtectiveMarkingValue_Header">
    <vt:lpwstr>OFFICIAL</vt:lpwstr>
  </property>
  <property fmtid="{D5CDD505-2E9C-101B-9397-08002B2CF9AE}" pid="36" name="PM_ProtectiveMarkingImage_Footer">
    <vt:lpwstr>C:\Program Files (x86)\Common Files\janusNET Shared\janusSEAL\Images\DocumentSlashBlue.png</vt:lpwstr>
  </property>
  <property fmtid="{D5CDD505-2E9C-101B-9397-08002B2CF9AE}" pid="37" name="PM_Namespace">
    <vt:lpwstr>gov.au</vt:lpwstr>
  </property>
  <property fmtid="{D5CDD505-2E9C-101B-9397-08002B2CF9AE}" pid="38" name="PM_Version">
    <vt:lpwstr>2018.3</vt:lpwstr>
  </property>
  <property fmtid="{D5CDD505-2E9C-101B-9397-08002B2CF9AE}" pid="39" name="PM_Note">
    <vt:lpwstr/>
  </property>
  <property fmtid="{D5CDD505-2E9C-101B-9397-08002B2CF9AE}" pid="40" name="PM_Markers">
    <vt:lpwstr/>
  </property>
  <property fmtid="{D5CDD505-2E9C-101B-9397-08002B2CF9AE}" pid="41" name="PM_Hash_Version">
    <vt:lpwstr>2018.0</vt:lpwstr>
  </property>
  <property fmtid="{D5CDD505-2E9C-101B-9397-08002B2CF9AE}" pid="42" name="PM_Hash_Salt_Prev">
    <vt:lpwstr>2E5A5EEDF797D48DFB86D7B4F5CA2A56</vt:lpwstr>
  </property>
  <property fmtid="{D5CDD505-2E9C-101B-9397-08002B2CF9AE}" pid="43" name="PM_Hash_Salt">
    <vt:lpwstr>93237E2E4BB268A532B7AB829EEB2D2C</vt:lpwstr>
  </property>
  <property fmtid="{D5CDD505-2E9C-101B-9397-08002B2CF9AE}" pid="44" name="PM_Hash_SHA1">
    <vt:lpwstr>B7FEBF08863A1B5BBA5981E2A3639443423DDEB4</vt:lpwstr>
  </property>
  <property fmtid="{D5CDD505-2E9C-101B-9397-08002B2CF9AE}" pid="45" name="PM_SecurityClassification_Prev">
    <vt:lpwstr>OFFICIAL</vt:lpwstr>
  </property>
  <property fmtid="{D5CDD505-2E9C-101B-9397-08002B2CF9AE}" pid="46" name="PM_Qualifier_Prev">
    <vt:lpwstr/>
  </property>
</Properties>
</file>