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20A3603D" w:rsidR="00193533" w:rsidRPr="00193533" w:rsidRDefault="00FB2FDE" w:rsidP="002F4591">
      <w:pPr>
        <w:pStyle w:val="CoverTitle"/>
        <w:spacing w:before="2640"/>
        <w:jc w:val="center"/>
      </w:pPr>
      <w:r>
        <w:t>APVMA Engagement and Communications Strategy</w:t>
      </w:r>
    </w:p>
    <w:p w14:paraId="4E4C9BC9" w14:textId="4CC387BC" w:rsidR="00193533" w:rsidRPr="00E41FED" w:rsidRDefault="00D35EEB" w:rsidP="001C5832">
      <w:pPr>
        <w:pStyle w:val="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 xml:space="preserve">For the period </w:t>
      </w:r>
      <w:r w:rsidR="00FB2FDE">
        <w:t>2023</w:t>
      </w:r>
      <w:r>
        <w:t>–</w:t>
      </w:r>
      <w:r w:rsidR="00FB2FDE">
        <w:t>25</w:t>
      </w:r>
    </w:p>
    <w:p w14:paraId="6C014289" w14:textId="5D80CB2F" w:rsidR="00862E63" w:rsidRPr="005C0ACC" w:rsidRDefault="00862E63" w:rsidP="008B550C">
      <w:pPr>
        <w:rPr>
          <w:lang w:eastAsia="en-AU"/>
        </w:rPr>
      </w:pPr>
      <w:r w:rsidRPr="005C0ACC">
        <w:rPr>
          <w:lang w:eastAsia="en-AU"/>
        </w:rPr>
        <w:lastRenderedPageBreak/>
        <w:t>© Australian Pesticides and Veterinary Medicines Authority</w:t>
      </w:r>
      <w:r w:rsidR="00D35EEB">
        <w:rPr>
          <w:lang w:eastAsia="en-AU"/>
        </w:rPr>
        <w:t xml:space="preserve"> 2023</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r w:rsidRPr="005C0ACC">
        <w:rPr>
          <w:rFonts w:cs="Arial"/>
          <w:bCs/>
          <w:szCs w:val="16"/>
          <w:lang w:eastAsia="en-AU"/>
        </w:rPr>
        <w:t xml:space="preserve">iStockphoto images are not covered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77777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3FAE4D6C" w14:textId="7DAA69EB" w:rsidR="00DF3373" w:rsidRDefault="005064D5">
      <w:pPr>
        <w:pStyle w:val="TOC1"/>
        <w:rPr>
          <w:rFonts w:asciiTheme="minorHAnsi" w:eastAsiaTheme="minorEastAsia" w:hAnsiTheme="minorHAnsi" w:cstheme="minorBidi"/>
          <w:bCs w:val="0"/>
          <w:color w:val="auto"/>
          <w:kern w:val="2"/>
          <w:sz w:val="22"/>
          <w:szCs w:val="22"/>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38235046" w:history="1">
        <w:r w:rsidR="00DF3373" w:rsidRPr="00593D50">
          <w:rPr>
            <w:rStyle w:val="Hyperlink"/>
          </w:rPr>
          <w:t>Engagement and communications in the APVMA</w:t>
        </w:r>
        <w:r w:rsidR="00DF3373">
          <w:rPr>
            <w:webHidden/>
          </w:rPr>
          <w:tab/>
        </w:r>
        <w:r w:rsidR="00DF3373">
          <w:rPr>
            <w:webHidden/>
          </w:rPr>
          <w:fldChar w:fldCharType="begin"/>
        </w:r>
        <w:r w:rsidR="00DF3373">
          <w:rPr>
            <w:webHidden/>
          </w:rPr>
          <w:instrText xml:space="preserve"> PAGEREF _Toc138235046 \h </w:instrText>
        </w:r>
        <w:r w:rsidR="00DF3373">
          <w:rPr>
            <w:webHidden/>
          </w:rPr>
        </w:r>
        <w:r w:rsidR="00DF3373">
          <w:rPr>
            <w:webHidden/>
          </w:rPr>
          <w:fldChar w:fldCharType="separate"/>
        </w:r>
        <w:r w:rsidR="00DF3373">
          <w:rPr>
            <w:webHidden/>
          </w:rPr>
          <w:t>1</w:t>
        </w:r>
        <w:r w:rsidR="00DF3373">
          <w:rPr>
            <w:webHidden/>
          </w:rPr>
          <w:fldChar w:fldCharType="end"/>
        </w:r>
      </w:hyperlink>
    </w:p>
    <w:p w14:paraId="1CDCFB8F" w14:textId="1B8EB129" w:rsidR="00DF3373"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235047" w:history="1">
        <w:r w:rsidR="00DF3373" w:rsidRPr="00593D50">
          <w:rPr>
            <w:rStyle w:val="Hyperlink"/>
          </w:rPr>
          <w:t>Purpose of the Strategy</w:t>
        </w:r>
        <w:r w:rsidR="00DF3373">
          <w:rPr>
            <w:webHidden/>
          </w:rPr>
          <w:tab/>
        </w:r>
        <w:r w:rsidR="00DF3373">
          <w:rPr>
            <w:webHidden/>
          </w:rPr>
          <w:fldChar w:fldCharType="begin"/>
        </w:r>
        <w:r w:rsidR="00DF3373">
          <w:rPr>
            <w:webHidden/>
          </w:rPr>
          <w:instrText xml:space="preserve"> PAGEREF _Toc138235047 \h </w:instrText>
        </w:r>
        <w:r w:rsidR="00DF3373">
          <w:rPr>
            <w:webHidden/>
          </w:rPr>
        </w:r>
        <w:r w:rsidR="00DF3373">
          <w:rPr>
            <w:webHidden/>
          </w:rPr>
          <w:fldChar w:fldCharType="separate"/>
        </w:r>
        <w:r w:rsidR="00DF3373">
          <w:rPr>
            <w:webHidden/>
          </w:rPr>
          <w:t>2</w:t>
        </w:r>
        <w:r w:rsidR="00DF3373">
          <w:rPr>
            <w:webHidden/>
          </w:rPr>
          <w:fldChar w:fldCharType="end"/>
        </w:r>
      </w:hyperlink>
    </w:p>
    <w:p w14:paraId="64AB4FD3" w14:textId="02B9D439" w:rsidR="00DF3373"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235048" w:history="1">
        <w:r w:rsidR="00DF3373" w:rsidRPr="00593D50">
          <w:rPr>
            <w:rStyle w:val="Hyperlink"/>
          </w:rPr>
          <w:t>Principles for engagement and participation</w:t>
        </w:r>
        <w:r w:rsidR="00DF3373">
          <w:rPr>
            <w:webHidden/>
          </w:rPr>
          <w:tab/>
        </w:r>
        <w:r w:rsidR="00DF3373">
          <w:rPr>
            <w:webHidden/>
          </w:rPr>
          <w:fldChar w:fldCharType="begin"/>
        </w:r>
        <w:r w:rsidR="00DF3373">
          <w:rPr>
            <w:webHidden/>
          </w:rPr>
          <w:instrText xml:space="preserve"> PAGEREF _Toc138235048 \h </w:instrText>
        </w:r>
        <w:r w:rsidR="00DF3373">
          <w:rPr>
            <w:webHidden/>
          </w:rPr>
        </w:r>
        <w:r w:rsidR="00DF3373">
          <w:rPr>
            <w:webHidden/>
          </w:rPr>
          <w:fldChar w:fldCharType="separate"/>
        </w:r>
        <w:r w:rsidR="00DF3373">
          <w:rPr>
            <w:webHidden/>
          </w:rPr>
          <w:t>3</w:t>
        </w:r>
        <w:r w:rsidR="00DF3373">
          <w:rPr>
            <w:webHidden/>
          </w:rPr>
          <w:fldChar w:fldCharType="end"/>
        </w:r>
      </w:hyperlink>
    </w:p>
    <w:p w14:paraId="1B22384F" w14:textId="5053687D" w:rsidR="00DF3373"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235049" w:history="1">
        <w:r w:rsidR="00DF3373" w:rsidRPr="00593D50">
          <w:rPr>
            <w:rStyle w:val="Hyperlink"/>
          </w:rPr>
          <w:t>Process for engagement and communications</w:t>
        </w:r>
        <w:r w:rsidR="00DF3373">
          <w:rPr>
            <w:webHidden/>
          </w:rPr>
          <w:tab/>
        </w:r>
        <w:r w:rsidR="00DF3373">
          <w:rPr>
            <w:webHidden/>
          </w:rPr>
          <w:fldChar w:fldCharType="begin"/>
        </w:r>
        <w:r w:rsidR="00DF3373">
          <w:rPr>
            <w:webHidden/>
          </w:rPr>
          <w:instrText xml:space="preserve"> PAGEREF _Toc138235049 \h </w:instrText>
        </w:r>
        <w:r w:rsidR="00DF3373">
          <w:rPr>
            <w:webHidden/>
          </w:rPr>
        </w:r>
        <w:r w:rsidR="00DF3373">
          <w:rPr>
            <w:webHidden/>
          </w:rPr>
          <w:fldChar w:fldCharType="separate"/>
        </w:r>
        <w:r w:rsidR="00DF3373">
          <w:rPr>
            <w:webHidden/>
          </w:rPr>
          <w:t>4</w:t>
        </w:r>
        <w:r w:rsidR="00DF3373">
          <w:rPr>
            <w:webHidden/>
          </w:rPr>
          <w:fldChar w:fldCharType="end"/>
        </w:r>
      </w:hyperlink>
    </w:p>
    <w:p w14:paraId="0AD6DC56" w14:textId="52A297D6" w:rsidR="00DF3373"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235050" w:history="1">
        <w:r w:rsidR="00DF3373" w:rsidRPr="00593D50">
          <w:rPr>
            <w:rStyle w:val="Hyperlink"/>
          </w:rPr>
          <w:t>Levels of engagement and communications</w:t>
        </w:r>
        <w:r w:rsidR="00DF3373">
          <w:rPr>
            <w:webHidden/>
          </w:rPr>
          <w:tab/>
        </w:r>
        <w:r w:rsidR="00DF3373">
          <w:rPr>
            <w:webHidden/>
          </w:rPr>
          <w:fldChar w:fldCharType="begin"/>
        </w:r>
        <w:r w:rsidR="00DF3373">
          <w:rPr>
            <w:webHidden/>
          </w:rPr>
          <w:instrText xml:space="preserve"> PAGEREF _Toc138235050 \h </w:instrText>
        </w:r>
        <w:r w:rsidR="00DF3373">
          <w:rPr>
            <w:webHidden/>
          </w:rPr>
        </w:r>
        <w:r w:rsidR="00DF3373">
          <w:rPr>
            <w:webHidden/>
          </w:rPr>
          <w:fldChar w:fldCharType="separate"/>
        </w:r>
        <w:r w:rsidR="00DF3373">
          <w:rPr>
            <w:webHidden/>
          </w:rPr>
          <w:t>5</w:t>
        </w:r>
        <w:r w:rsidR="00DF3373">
          <w:rPr>
            <w:webHidden/>
          </w:rPr>
          <w:fldChar w:fldCharType="end"/>
        </w:r>
      </w:hyperlink>
    </w:p>
    <w:p w14:paraId="6FCF741B" w14:textId="57FFAE56" w:rsidR="00DF3373"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235051" w:history="1">
        <w:r w:rsidR="00DF3373" w:rsidRPr="00593D50">
          <w:rPr>
            <w:rStyle w:val="Hyperlink"/>
          </w:rPr>
          <w:t>Challenges for effective engagement and communications</w:t>
        </w:r>
        <w:r w:rsidR="00DF3373">
          <w:rPr>
            <w:webHidden/>
          </w:rPr>
          <w:tab/>
        </w:r>
        <w:r w:rsidR="00DF3373">
          <w:rPr>
            <w:webHidden/>
          </w:rPr>
          <w:fldChar w:fldCharType="begin"/>
        </w:r>
        <w:r w:rsidR="00DF3373">
          <w:rPr>
            <w:webHidden/>
          </w:rPr>
          <w:instrText xml:space="preserve"> PAGEREF _Toc138235051 \h </w:instrText>
        </w:r>
        <w:r w:rsidR="00DF3373">
          <w:rPr>
            <w:webHidden/>
          </w:rPr>
        </w:r>
        <w:r w:rsidR="00DF3373">
          <w:rPr>
            <w:webHidden/>
          </w:rPr>
          <w:fldChar w:fldCharType="separate"/>
        </w:r>
        <w:r w:rsidR="00DF3373">
          <w:rPr>
            <w:webHidden/>
          </w:rPr>
          <w:t>6</w:t>
        </w:r>
        <w:r w:rsidR="00DF3373">
          <w:rPr>
            <w:webHidden/>
          </w:rPr>
          <w:fldChar w:fldCharType="end"/>
        </w:r>
      </w:hyperlink>
    </w:p>
    <w:p w14:paraId="04A617BD" w14:textId="59140FAC" w:rsidR="00DF3373"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235052" w:history="1">
        <w:r w:rsidR="00DF3373" w:rsidRPr="00593D50">
          <w:rPr>
            <w:rStyle w:val="Hyperlink"/>
          </w:rPr>
          <w:t>Strategies for success</w:t>
        </w:r>
        <w:r w:rsidR="00DF3373">
          <w:rPr>
            <w:webHidden/>
          </w:rPr>
          <w:tab/>
        </w:r>
        <w:r w:rsidR="00DF3373">
          <w:rPr>
            <w:webHidden/>
          </w:rPr>
          <w:fldChar w:fldCharType="begin"/>
        </w:r>
        <w:r w:rsidR="00DF3373">
          <w:rPr>
            <w:webHidden/>
          </w:rPr>
          <w:instrText xml:space="preserve"> PAGEREF _Toc138235052 \h </w:instrText>
        </w:r>
        <w:r w:rsidR="00DF3373">
          <w:rPr>
            <w:webHidden/>
          </w:rPr>
        </w:r>
        <w:r w:rsidR="00DF3373">
          <w:rPr>
            <w:webHidden/>
          </w:rPr>
          <w:fldChar w:fldCharType="separate"/>
        </w:r>
        <w:r w:rsidR="00DF3373">
          <w:rPr>
            <w:webHidden/>
          </w:rPr>
          <w:t>7</w:t>
        </w:r>
        <w:r w:rsidR="00DF3373">
          <w:rPr>
            <w:webHidden/>
          </w:rPr>
          <w:fldChar w:fldCharType="end"/>
        </w:r>
      </w:hyperlink>
    </w:p>
    <w:p w14:paraId="72E95EBC" w14:textId="18AA4AA3" w:rsidR="00DF3373"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235053" w:history="1">
        <w:r w:rsidR="00DF3373" w:rsidRPr="00593D50">
          <w:rPr>
            <w:rStyle w:val="Hyperlink"/>
          </w:rPr>
          <w:t>References and resources</w:t>
        </w:r>
        <w:r w:rsidR="00DF3373">
          <w:rPr>
            <w:webHidden/>
          </w:rPr>
          <w:tab/>
        </w:r>
        <w:r w:rsidR="00DF3373">
          <w:rPr>
            <w:webHidden/>
          </w:rPr>
          <w:fldChar w:fldCharType="begin"/>
        </w:r>
        <w:r w:rsidR="00DF3373">
          <w:rPr>
            <w:webHidden/>
          </w:rPr>
          <w:instrText xml:space="preserve"> PAGEREF _Toc138235053 \h </w:instrText>
        </w:r>
        <w:r w:rsidR="00DF3373">
          <w:rPr>
            <w:webHidden/>
          </w:rPr>
        </w:r>
        <w:r w:rsidR="00DF3373">
          <w:rPr>
            <w:webHidden/>
          </w:rPr>
          <w:fldChar w:fldCharType="separate"/>
        </w:r>
        <w:r w:rsidR="00DF3373">
          <w:rPr>
            <w:webHidden/>
          </w:rPr>
          <w:t>8</w:t>
        </w:r>
        <w:r w:rsidR="00DF3373">
          <w:rPr>
            <w:webHidden/>
          </w:rPr>
          <w:fldChar w:fldCharType="end"/>
        </w:r>
      </w:hyperlink>
    </w:p>
    <w:p w14:paraId="7DE45186" w14:textId="4B8BD5A6" w:rsidR="00DF3373"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235054" w:history="1">
        <w:r w:rsidR="00DF3373" w:rsidRPr="00593D50">
          <w:rPr>
            <w:rStyle w:val="Hyperlink"/>
          </w:rPr>
          <w:t>Appendix A – Key Stakeholder Groups</w:t>
        </w:r>
        <w:r w:rsidR="00DF3373">
          <w:rPr>
            <w:webHidden/>
          </w:rPr>
          <w:tab/>
        </w:r>
        <w:r w:rsidR="00DF3373">
          <w:rPr>
            <w:webHidden/>
          </w:rPr>
          <w:fldChar w:fldCharType="begin"/>
        </w:r>
        <w:r w:rsidR="00DF3373">
          <w:rPr>
            <w:webHidden/>
          </w:rPr>
          <w:instrText xml:space="preserve"> PAGEREF _Toc138235054 \h </w:instrText>
        </w:r>
        <w:r w:rsidR="00DF3373">
          <w:rPr>
            <w:webHidden/>
          </w:rPr>
        </w:r>
        <w:r w:rsidR="00DF3373">
          <w:rPr>
            <w:webHidden/>
          </w:rPr>
          <w:fldChar w:fldCharType="separate"/>
        </w:r>
        <w:r w:rsidR="00DF3373">
          <w:rPr>
            <w:webHidden/>
          </w:rPr>
          <w:t>10</w:t>
        </w:r>
        <w:r w:rsidR="00DF3373">
          <w:rPr>
            <w:webHidden/>
          </w:rPr>
          <w:fldChar w:fldCharType="end"/>
        </w:r>
      </w:hyperlink>
    </w:p>
    <w:p w14:paraId="642BE59F" w14:textId="3B186C01" w:rsidR="00D35EEB" w:rsidRDefault="005064D5" w:rsidP="00D35EEB">
      <w:pPr>
        <w:pStyle w:val="NormalText"/>
        <w:rPr>
          <w:noProof/>
        </w:rPr>
        <w:sectPr w:rsidR="00D35EEB">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rFonts w:ascii="Trebuchet MS" w:hAnsi="Trebuchet MS"/>
          <w:b/>
          <w:noProof/>
          <w:color w:val="00747A" w:themeColor="background2"/>
          <w:szCs w:val="30"/>
        </w:rPr>
        <w:fldChar w:fldCharType="end"/>
      </w:r>
    </w:p>
    <w:p w14:paraId="6A1014FE" w14:textId="76BD41A6" w:rsidR="002E20AC" w:rsidRDefault="00FB2FDE" w:rsidP="0018216D">
      <w:pPr>
        <w:pStyle w:val="Heading1"/>
        <w:spacing w:after="300"/>
      </w:pPr>
      <w:bookmarkStart w:id="1" w:name="_Toc138235046"/>
      <w:r>
        <w:lastRenderedPageBreak/>
        <w:t xml:space="preserve">Engagement and </w:t>
      </w:r>
      <w:r w:rsidR="00D35EEB">
        <w:t>c</w:t>
      </w:r>
      <w:r>
        <w:t>ommunications in the APVMA</w:t>
      </w:r>
      <w:bookmarkEnd w:id="1"/>
    </w:p>
    <w:p w14:paraId="5D1F8B18" w14:textId="076E01F9" w:rsidR="002E20AC" w:rsidRDefault="00D35EEB" w:rsidP="001C5832">
      <w:pPr>
        <w:pStyle w:val="NormalText"/>
      </w:pPr>
      <w:r>
        <w:t>In the Australian Pesticides and Veterinary Medicines Authority (</w:t>
      </w:r>
      <w:r w:rsidR="001E1C10">
        <w:t>APVMA</w:t>
      </w:r>
      <w:r>
        <w:t>)</w:t>
      </w:r>
      <w:r w:rsidR="001E1C10">
        <w:t xml:space="preserve">, staff at every level engage with people and organisations who have an interest in </w:t>
      </w:r>
      <w:r>
        <w:t>our regulatory role and responsibilities</w:t>
      </w:r>
      <w:r w:rsidR="00586757">
        <w:t>,</w:t>
      </w:r>
      <w:r w:rsidR="001E1C10">
        <w:t xml:space="preserve"> and </w:t>
      </w:r>
      <w:r>
        <w:t xml:space="preserve">who </w:t>
      </w:r>
      <w:r w:rsidR="001E1C10">
        <w:t>are connected to our purpose.</w:t>
      </w:r>
    </w:p>
    <w:p w14:paraId="72F63999" w14:textId="2C334C06" w:rsidR="00D35EEB" w:rsidRDefault="001E1C10" w:rsidP="001C5832">
      <w:pPr>
        <w:pStyle w:val="NormalText"/>
        <w:sectPr w:rsidR="00D35EEB" w:rsidSect="00D35EEB">
          <w:headerReference w:type="default" r:id="rId21"/>
          <w:pgSz w:w="11906" w:h="16838" w:code="9"/>
          <w:pgMar w:top="2835" w:right="1134" w:bottom="1134" w:left="1134" w:header="1701" w:footer="680" w:gutter="0"/>
          <w:pgNumType w:start="1"/>
          <w:cols w:space="708"/>
          <w:docGrid w:linePitch="360"/>
        </w:sectPr>
      </w:pPr>
      <w:r>
        <w:t xml:space="preserve">The quality of </w:t>
      </w:r>
      <w:r w:rsidR="00D35EEB">
        <w:t>our relationship</w:t>
      </w:r>
      <w:r w:rsidR="00BA05A9">
        <w:t>s</w:t>
      </w:r>
      <w:r w:rsidR="00D35EEB">
        <w:t xml:space="preserve"> with these stakeholders</w:t>
      </w:r>
      <w:r>
        <w:t xml:space="preserve"> will impact on </w:t>
      </w:r>
      <w:r w:rsidR="00D35EEB">
        <w:t>our ability to</w:t>
      </w:r>
      <w:r>
        <w:t xml:space="preserve"> deliver on our vision to be </w:t>
      </w:r>
      <w:r w:rsidRPr="001E1C10">
        <w:t>a global leader in agricultur</w:t>
      </w:r>
      <w:r w:rsidR="00586757">
        <w:t>al</w:t>
      </w:r>
      <w:r w:rsidRPr="001E1C10">
        <w:t xml:space="preserve"> and veterinary chemicals regulation for the benefit of Australia.</w:t>
      </w:r>
    </w:p>
    <w:p w14:paraId="01CEBA0F" w14:textId="3A3B4AE6" w:rsidR="002E20AC" w:rsidRDefault="00FB2FDE" w:rsidP="00D23D6A">
      <w:pPr>
        <w:pStyle w:val="Heading1"/>
      </w:pPr>
      <w:bookmarkStart w:id="2" w:name="_Toc138235047"/>
      <w:r>
        <w:lastRenderedPageBreak/>
        <w:t>Purpose of the Strategy</w:t>
      </w:r>
      <w:bookmarkEnd w:id="2"/>
    </w:p>
    <w:p w14:paraId="645C936B" w14:textId="31D56665" w:rsidR="001E1C10" w:rsidRDefault="001E1C10" w:rsidP="001E1C10">
      <w:pPr>
        <w:pStyle w:val="NormalText"/>
      </w:pPr>
      <w:r>
        <w:t xml:space="preserve">The Engagement and Communications Strategy (the Strategy) outlines the principles for engagement and communication </w:t>
      </w:r>
      <w:r w:rsidR="00D35EEB">
        <w:t xml:space="preserve">to be embedded </w:t>
      </w:r>
      <w:r>
        <w:t xml:space="preserve">across the APVMA to </w:t>
      </w:r>
      <w:r w:rsidR="00D35EEB">
        <w:t>facilitate the establishment of</w:t>
      </w:r>
      <w:r>
        <w:t xml:space="preserve"> </w:t>
      </w:r>
      <w:r w:rsidR="00D35EEB">
        <w:t xml:space="preserve">consistent, </w:t>
      </w:r>
      <w:r w:rsidRPr="001E1C10">
        <w:t>open and respectful relationships with stakeholders.</w:t>
      </w:r>
    </w:p>
    <w:p w14:paraId="49079473" w14:textId="3079B954" w:rsidR="00FB2FDE" w:rsidRDefault="001E1C10" w:rsidP="00FB2FDE">
      <w:pPr>
        <w:pStyle w:val="NormalText"/>
        <w:sectPr w:rsidR="00FB2FDE">
          <w:headerReference w:type="even" r:id="rId22"/>
          <w:pgSz w:w="11906" w:h="16838" w:code="9"/>
          <w:pgMar w:top="2835" w:right="1134" w:bottom="1134" w:left="1134" w:header="1701" w:footer="680" w:gutter="0"/>
          <w:cols w:space="708"/>
          <w:docGrid w:linePitch="360"/>
        </w:sectPr>
      </w:pPr>
      <w:r>
        <w:t xml:space="preserve">The Strategy and guiding principles will </w:t>
      </w:r>
      <w:r w:rsidRPr="001E1C10">
        <w:t>allow the APVMA to articulate the standards that underpin effective engagement and communications and will consolidate and improve existing practice.</w:t>
      </w:r>
    </w:p>
    <w:p w14:paraId="22154831" w14:textId="50A79F5B" w:rsidR="00FB2FDE" w:rsidRDefault="00FB2FDE" w:rsidP="00FB2FDE">
      <w:pPr>
        <w:pStyle w:val="Heading1"/>
      </w:pPr>
      <w:bookmarkStart w:id="3" w:name="_Toc138235048"/>
      <w:r>
        <w:lastRenderedPageBreak/>
        <w:t xml:space="preserve">Principles for </w:t>
      </w:r>
      <w:r w:rsidR="00D35EEB">
        <w:t>e</w:t>
      </w:r>
      <w:r>
        <w:t xml:space="preserve">ngagement and </w:t>
      </w:r>
      <w:r w:rsidR="00D35EEB">
        <w:t>p</w:t>
      </w:r>
      <w:r>
        <w:t>articipation</w:t>
      </w:r>
      <w:bookmarkEnd w:id="3"/>
    </w:p>
    <w:p w14:paraId="257F4616" w14:textId="232566EF" w:rsidR="00FB2FDE" w:rsidRDefault="001E1C10" w:rsidP="00FB2FDE">
      <w:pPr>
        <w:pStyle w:val="NormalText"/>
      </w:pPr>
      <w:r>
        <w:t>The APVMA has adopted the 3 principles outline</w:t>
      </w:r>
      <w:r w:rsidR="00EF39B1">
        <w:t>d</w:t>
      </w:r>
      <w:r>
        <w:t xml:space="preserve"> in the </w:t>
      </w:r>
      <w:hyperlink r:id="rId23" w:history="1">
        <w:r w:rsidRPr="00980BA8">
          <w:rPr>
            <w:rStyle w:val="Hyperlink"/>
          </w:rPr>
          <w:t>APS Framework for Engagement and Participation</w:t>
        </w:r>
      </w:hyperlink>
      <w:r>
        <w:t>. The principles will set the standard for the APVMA to build consistent, open and respectful relationships with stakeholders to achieve our purpose.</w:t>
      </w:r>
    </w:p>
    <w:tbl>
      <w:tblPr>
        <w:tblW w:w="5000" w:type="pct"/>
        <w:tblBorders>
          <w:bottom w:val="dotted" w:sz="2" w:space="0" w:color="auto"/>
          <w:insideH w:val="dotted" w:sz="2" w:space="0" w:color="auto"/>
        </w:tblBorders>
        <w:tblLook w:val="01E0" w:firstRow="1" w:lastRow="1" w:firstColumn="1" w:lastColumn="1" w:noHBand="0" w:noVBand="0"/>
      </w:tblPr>
      <w:tblGrid>
        <w:gridCol w:w="3071"/>
        <w:gridCol w:w="3080"/>
        <w:gridCol w:w="3487"/>
      </w:tblGrid>
      <w:tr w:rsidR="00FB2FDE" w14:paraId="7787BA2C" w14:textId="77777777" w:rsidTr="001C5832">
        <w:trPr>
          <w:cantSplit/>
          <w:tblHeader/>
        </w:trPr>
        <w:tc>
          <w:tcPr>
            <w:tcW w:w="1593" w:type="pct"/>
            <w:tcBorders>
              <w:top w:val="single" w:sz="4" w:space="0" w:color="auto"/>
              <w:bottom w:val="single" w:sz="4" w:space="0" w:color="auto"/>
            </w:tcBorders>
            <w:shd w:val="clear" w:color="auto" w:fill="5C2946"/>
            <w:vAlign w:val="bottom"/>
          </w:tcPr>
          <w:p w14:paraId="25F605B6" w14:textId="68C9E82C" w:rsidR="00FB2FDE" w:rsidRPr="00FB0015" w:rsidRDefault="007C30B1" w:rsidP="00595DDF">
            <w:pPr>
              <w:pStyle w:val="TableHead"/>
            </w:pPr>
            <w:r>
              <w:t>Listen</w:t>
            </w:r>
          </w:p>
        </w:tc>
        <w:tc>
          <w:tcPr>
            <w:tcW w:w="1598" w:type="pct"/>
            <w:tcBorders>
              <w:top w:val="single" w:sz="4" w:space="0" w:color="auto"/>
              <w:bottom w:val="single" w:sz="4" w:space="0" w:color="auto"/>
            </w:tcBorders>
            <w:shd w:val="clear" w:color="auto" w:fill="5C2946"/>
            <w:vAlign w:val="bottom"/>
          </w:tcPr>
          <w:p w14:paraId="6A45EE42" w14:textId="4EEC8C6A" w:rsidR="00FB2FDE" w:rsidRPr="00FB0015" w:rsidRDefault="007C30B1" w:rsidP="00595DDF">
            <w:pPr>
              <w:pStyle w:val="TableHead"/>
            </w:pPr>
            <w:r>
              <w:t>Be genuine</w:t>
            </w:r>
          </w:p>
        </w:tc>
        <w:tc>
          <w:tcPr>
            <w:tcW w:w="1809" w:type="pct"/>
            <w:tcBorders>
              <w:top w:val="single" w:sz="4" w:space="0" w:color="auto"/>
              <w:bottom w:val="single" w:sz="4" w:space="0" w:color="auto"/>
            </w:tcBorders>
            <w:shd w:val="clear" w:color="auto" w:fill="5C2946"/>
            <w:vAlign w:val="bottom"/>
          </w:tcPr>
          <w:p w14:paraId="17D23D56" w14:textId="655B0F86" w:rsidR="00FB2FDE" w:rsidRPr="00FB0015" w:rsidRDefault="007C30B1" w:rsidP="00595DDF">
            <w:pPr>
              <w:pStyle w:val="TableHead"/>
            </w:pPr>
            <w:r>
              <w:t>Be open</w:t>
            </w:r>
          </w:p>
        </w:tc>
      </w:tr>
      <w:tr w:rsidR="00FB2FDE" w14:paraId="7CCC9A9C" w14:textId="77777777" w:rsidTr="001C5832">
        <w:trPr>
          <w:cantSplit/>
        </w:trPr>
        <w:tc>
          <w:tcPr>
            <w:tcW w:w="1593" w:type="pct"/>
            <w:tcBorders>
              <w:top w:val="single" w:sz="4" w:space="0" w:color="auto"/>
              <w:bottom w:val="single" w:sz="4" w:space="0" w:color="auto"/>
            </w:tcBorders>
          </w:tcPr>
          <w:p w14:paraId="539AD3BC" w14:textId="22605AC6" w:rsidR="007C30B1" w:rsidRDefault="007C30B1" w:rsidP="007C30B1">
            <w:pPr>
              <w:pStyle w:val="TableBullet"/>
            </w:pPr>
            <w:r>
              <w:t>We understand there is expertise in the public that can help design and deliver outcomes and we are committed to listening more than telling.</w:t>
            </w:r>
          </w:p>
          <w:p w14:paraId="75B9BFF1" w14:textId="77777777" w:rsidR="007C30B1" w:rsidRDefault="007C30B1" w:rsidP="007C30B1">
            <w:pPr>
              <w:pStyle w:val="TableBullet"/>
            </w:pPr>
            <w:r>
              <w:t>We will engage the right people as early in our processes as we can.</w:t>
            </w:r>
          </w:p>
          <w:p w14:paraId="09B05E75" w14:textId="1BC20A9C" w:rsidR="007C30B1" w:rsidRDefault="007C30B1" w:rsidP="007C30B1">
            <w:pPr>
              <w:pStyle w:val="TableBullet"/>
            </w:pPr>
            <w:r>
              <w:t>We will try to remember what has gone before and not keep asking the same questions – relevant data from engagements will be shared and re-used</w:t>
            </w:r>
            <w:r w:rsidR="00D35EEB">
              <w:t xml:space="preserve"> appropriately</w:t>
            </w:r>
            <w:r>
              <w:t>.</w:t>
            </w:r>
          </w:p>
          <w:p w14:paraId="2CFE1116" w14:textId="7E1DC98D" w:rsidR="00FB2FDE" w:rsidRDefault="007C30B1" w:rsidP="007C30B1">
            <w:pPr>
              <w:pStyle w:val="TableBullet"/>
            </w:pPr>
            <w:r>
              <w:t>In the act of listening, we will strive to ensure diversity will be represented and the voices of hard-to-reach or marginalised people will be sought.</w:t>
            </w:r>
          </w:p>
        </w:tc>
        <w:tc>
          <w:tcPr>
            <w:tcW w:w="1598" w:type="pct"/>
            <w:tcBorders>
              <w:top w:val="single" w:sz="4" w:space="0" w:color="auto"/>
              <w:bottom w:val="single" w:sz="4" w:space="0" w:color="auto"/>
            </w:tcBorders>
          </w:tcPr>
          <w:p w14:paraId="0B0B5BD5" w14:textId="77777777" w:rsidR="007C30B1" w:rsidRDefault="007C30B1" w:rsidP="007C30B1">
            <w:pPr>
              <w:pStyle w:val="TableBullet"/>
            </w:pPr>
            <w:r>
              <w:t>We will be clear on our objectives and choose ways to engage that are fit for purpose.</w:t>
            </w:r>
          </w:p>
          <w:p w14:paraId="4DCEB87E" w14:textId="77777777" w:rsidR="007C30B1" w:rsidRDefault="007C30B1" w:rsidP="007C30B1">
            <w:pPr>
              <w:pStyle w:val="TableBullet"/>
            </w:pPr>
            <w:r>
              <w:t>We will value people’s time.</w:t>
            </w:r>
          </w:p>
          <w:p w14:paraId="0E88A9DF" w14:textId="77C23143" w:rsidR="007C30B1" w:rsidRDefault="007C30B1" w:rsidP="007C30B1">
            <w:pPr>
              <w:pStyle w:val="TableBullet"/>
            </w:pPr>
            <w:r>
              <w:t xml:space="preserve">We will be accessible, creating the time and space for people to engage, and when </w:t>
            </w:r>
            <w:r w:rsidR="00D35EEB">
              <w:t>possible,</w:t>
            </w:r>
            <w:r>
              <w:t xml:space="preserve"> we will engage in real time.</w:t>
            </w:r>
          </w:p>
          <w:p w14:paraId="2BE9794C" w14:textId="77777777" w:rsidR="007C30B1" w:rsidRDefault="007C30B1" w:rsidP="007C30B1">
            <w:pPr>
              <w:pStyle w:val="TableBullet"/>
            </w:pPr>
            <w:r>
              <w:t>We will articulate the value we see in working together.</w:t>
            </w:r>
          </w:p>
          <w:p w14:paraId="29E2506F" w14:textId="18FCD3A4" w:rsidR="00FB2FDE" w:rsidRDefault="007C30B1" w:rsidP="007C30B1">
            <w:pPr>
              <w:pStyle w:val="TableBullet"/>
            </w:pPr>
            <w:r>
              <w:t xml:space="preserve">When we engage </w:t>
            </w:r>
            <w:r w:rsidR="00D35EEB">
              <w:t>people,</w:t>
            </w:r>
            <w:r>
              <w:t xml:space="preserve"> we will provide feedback that closes the loop.</w:t>
            </w:r>
          </w:p>
        </w:tc>
        <w:tc>
          <w:tcPr>
            <w:tcW w:w="1809" w:type="pct"/>
            <w:tcBorders>
              <w:top w:val="single" w:sz="4" w:space="0" w:color="auto"/>
              <w:bottom w:val="single" w:sz="4" w:space="0" w:color="auto"/>
            </w:tcBorders>
          </w:tcPr>
          <w:p w14:paraId="067EC76E" w14:textId="77777777" w:rsidR="007C30B1" w:rsidRDefault="007C30B1" w:rsidP="007C30B1">
            <w:pPr>
              <w:pStyle w:val="TableBullet"/>
            </w:pPr>
            <w:r>
              <w:t>We will be clear about what we are trying to achieve, the scope of our challenge and the potential for people to influence outcomes.</w:t>
            </w:r>
          </w:p>
          <w:p w14:paraId="48B58454" w14:textId="77777777" w:rsidR="007C30B1" w:rsidRDefault="007C30B1" w:rsidP="007C30B1">
            <w:pPr>
              <w:pStyle w:val="TableBullet"/>
            </w:pPr>
            <w:r>
              <w:t>We will use simple language.</w:t>
            </w:r>
          </w:p>
          <w:p w14:paraId="76A25B49" w14:textId="77777777" w:rsidR="007C30B1" w:rsidRDefault="007C30B1" w:rsidP="007C30B1">
            <w:pPr>
              <w:pStyle w:val="TableBullet"/>
            </w:pPr>
            <w:r>
              <w:t>We will be open about our limitations and constraints.</w:t>
            </w:r>
          </w:p>
          <w:p w14:paraId="4D94F861" w14:textId="77777777" w:rsidR="007C30B1" w:rsidRDefault="007C30B1" w:rsidP="007C30B1">
            <w:pPr>
              <w:pStyle w:val="TableBullet"/>
            </w:pPr>
            <w:r>
              <w:t>We will tell people what we are doing, the context in which it is occurring, and where their input and information is going.</w:t>
            </w:r>
          </w:p>
          <w:p w14:paraId="6A348B30" w14:textId="6C42D358" w:rsidR="00FB2FDE" w:rsidRDefault="007C30B1" w:rsidP="007C30B1">
            <w:pPr>
              <w:pStyle w:val="TableBullet"/>
            </w:pPr>
            <w:r>
              <w:t xml:space="preserve">We will ensure we use a range of modes to communicate with the public (e.g., face to face, phone, </w:t>
            </w:r>
            <w:r w:rsidR="00D35EEB">
              <w:t>website</w:t>
            </w:r>
            <w:r>
              <w:t>, etc.).</w:t>
            </w:r>
          </w:p>
        </w:tc>
      </w:tr>
    </w:tbl>
    <w:p w14:paraId="188BA12A" w14:textId="3E61A46B" w:rsidR="00FB2FDE" w:rsidRDefault="00FB2FDE" w:rsidP="00FB2FDE">
      <w:pPr>
        <w:pStyle w:val="NormalText"/>
        <w:sectPr w:rsidR="00FB2FDE">
          <w:pgSz w:w="11906" w:h="16838" w:code="9"/>
          <w:pgMar w:top="2835" w:right="1134" w:bottom="1134" w:left="1134" w:header="1701" w:footer="680" w:gutter="0"/>
          <w:cols w:space="708"/>
          <w:docGrid w:linePitch="360"/>
        </w:sectPr>
      </w:pPr>
    </w:p>
    <w:p w14:paraId="77F78C15" w14:textId="72D553A4" w:rsidR="00FB2FDE" w:rsidRDefault="00FB2FDE" w:rsidP="00FB2FDE">
      <w:pPr>
        <w:pStyle w:val="Heading1"/>
      </w:pPr>
      <w:bookmarkStart w:id="4" w:name="_Toc138235049"/>
      <w:r>
        <w:lastRenderedPageBreak/>
        <w:t xml:space="preserve">Process for </w:t>
      </w:r>
      <w:r w:rsidR="00D35EEB">
        <w:t>e</w:t>
      </w:r>
      <w:r>
        <w:t xml:space="preserve">ngagement and </w:t>
      </w:r>
      <w:r w:rsidR="00D35EEB">
        <w:t>c</w:t>
      </w:r>
      <w:r>
        <w:t>ommunications</w:t>
      </w:r>
      <w:bookmarkEnd w:id="4"/>
    </w:p>
    <w:p w14:paraId="7FFE4106" w14:textId="06E211BB" w:rsidR="001E1C10" w:rsidRDefault="001E1C10" w:rsidP="00FB2FDE">
      <w:pPr>
        <w:pStyle w:val="NormalText"/>
      </w:pPr>
      <w:r>
        <w:t xml:space="preserve">Effective engagement and communication </w:t>
      </w:r>
      <w:r w:rsidR="00D35EEB">
        <w:t>depend</w:t>
      </w:r>
      <w:r>
        <w:t xml:space="preserve"> on</w:t>
      </w:r>
      <w:r w:rsidR="00980BA8">
        <w:t xml:space="preserve"> </w:t>
      </w:r>
      <w:r w:rsidR="00D35EEB">
        <w:t>an</w:t>
      </w:r>
      <w:r>
        <w:t xml:space="preserve"> understanding </w:t>
      </w:r>
      <w:r w:rsidR="00980BA8">
        <w:t xml:space="preserve">of </w:t>
      </w:r>
      <w:r>
        <w:t xml:space="preserve">why </w:t>
      </w:r>
      <w:r w:rsidR="00980BA8">
        <w:t xml:space="preserve">we </w:t>
      </w:r>
      <w:r w:rsidR="00D35EEB">
        <w:t>engage</w:t>
      </w:r>
      <w:r>
        <w:t xml:space="preserve"> with particular stakeholders. A systematic approach to engagements and communications will enable staff to engage with the right people to achieve </w:t>
      </w:r>
      <w:r w:rsidR="00D35EEB">
        <w:t>our</w:t>
      </w:r>
      <w:r>
        <w:t xml:space="preserve"> objectives and demonstrate the benefits</w:t>
      </w:r>
      <w:r w:rsidR="00980BA8">
        <w:t xml:space="preserve"> of the work </w:t>
      </w:r>
      <w:r w:rsidR="00D35EEB">
        <w:t>we</w:t>
      </w:r>
      <w:r w:rsidR="00980BA8">
        <w:t xml:space="preserve"> are </w:t>
      </w:r>
      <w:r w:rsidR="00D35EEB">
        <w:t>undertaking</w:t>
      </w:r>
      <w:r>
        <w:t>.</w:t>
      </w:r>
    </w:p>
    <w:tbl>
      <w:tblPr>
        <w:tblStyle w:val="TableGrid"/>
        <w:tblW w:w="14454" w:type="dxa"/>
        <w:tblLook w:val="04A0" w:firstRow="1" w:lastRow="0" w:firstColumn="1" w:lastColumn="0" w:noHBand="0" w:noVBand="1"/>
      </w:tblPr>
      <w:tblGrid>
        <w:gridCol w:w="582"/>
        <w:gridCol w:w="2773"/>
        <w:gridCol w:w="2774"/>
        <w:gridCol w:w="2776"/>
        <w:gridCol w:w="2774"/>
        <w:gridCol w:w="2775"/>
      </w:tblGrid>
      <w:tr w:rsidR="001E1C10" w14:paraId="720A551A" w14:textId="77777777" w:rsidTr="001C5832">
        <w:trPr>
          <w:cantSplit/>
          <w:trHeight w:val="985"/>
        </w:trPr>
        <w:tc>
          <w:tcPr>
            <w:tcW w:w="562" w:type="dxa"/>
            <w:tcBorders>
              <w:top w:val="single" w:sz="4" w:space="0" w:color="auto"/>
              <w:left w:val="nil"/>
              <w:bottom w:val="single" w:sz="4" w:space="0" w:color="auto"/>
              <w:right w:val="nil"/>
            </w:tcBorders>
            <w:shd w:val="clear" w:color="auto" w:fill="5C2946"/>
            <w:textDirection w:val="btLr"/>
            <w:vAlign w:val="center"/>
          </w:tcPr>
          <w:p w14:paraId="4EA868C9" w14:textId="2AA5CFDC" w:rsidR="001E1C10" w:rsidRDefault="001E1C10" w:rsidP="00D35EEB">
            <w:pPr>
              <w:pStyle w:val="TableHead"/>
              <w:jc w:val="center"/>
            </w:pPr>
            <w:r>
              <w:t>Phase</w:t>
            </w:r>
          </w:p>
        </w:tc>
        <w:tc>
          <w:tcPr>
            <w:tcW w:w="2778" w:type="dxa"/>
            <w:tcBorders>
              <w:top w:val="single" w:sz="4" w:space="0" w:color="auto"/>
              <w:left w:val="nil"/>
              <w:bottom w:val="single" w:sz="4" w:space="0" w:color="auto"/>
              <w:right w:val="nil"/>
            </w:tcBorders>
            <w:shd w:val="clear" w:color="auto" w:fill="5C2946"/>
            <w:vAlign w:val="center"/>
          </w:tcPr>
          <w:p w14:paraId="3C74F2EB" w14:textId="20ACAE19" w:rsidR="001E1C10" w:rsidRDefault="001E1C10" w:rsidP="00D35EEB">
            <w:pPr>
              <w:pStyle w:val="TableHead"/>
            </w:pPr>
            <w:r>
              <w:t xml:space="preserve">Analysis and </w:t>
            </w:r>
            <w:r w:rsidR="00B74318">
              <w:t>d</w:t>
            </w:r>
            <w:r w:rsidR="00B74318">
              <w:t>esign</w:t>
            </w:r>
          </w:p>
        </w:tc>
        <w:tc>
          <w:tcPr>
            <w:tcW w:w="2778" w:type="dxa"/>
            <w:tcBorders>
              <w:top w:val="single" w:sz="4" w:space="0" w:color="auto"/>
              <w:left w:val="nil"/>
              <w:bottom w:val="single" w:sz="4" w:space="0" w:color="auto"/>
              <w:right w:val="nil"/>
            </w:tcBorders>
            <w:shd w:val="clear" w:color="auto" w:fill="5C2946"/>
            <w:vAlign w:val="center"/>
          </w:tcPr>
          <w:p w14:paraId="6D97F8E3" w14:textId="5A973C7D" w:rsidR="001E1C10" w:rsidRDefault="001E1C10" w:rsidP="00D35EEB">
            <w:pPr>
              <w:pStyle w:val="TableHead"/>
            </w:pPr>
            <w:r>
              <w:t>Planning and development</w:t>
            </w:r>
          </w:p>
        </w:tc>
        <w:tc>
          <w:tcPr>
            <w:tcW w:w="2779" w:type="dxa"/>
            <w:tcBorders>
              <w:top w:val="single" w:sz="4" w:space="0" w:color="auto"/>
              <w:left w:val="nil"/>
              <w:bottom w:val="single" w:sz="4" w:space="0" w:color="auto"/>
              <w:right w:val="nil"/>
            </w:tcBorders>
            <w:shd w:val="clear" w:color="auto" w:fill="5C2946"/>
            <w:vAlign w:val="center"/>
          </w:tcPr>
          <w:p w14:paraId="7A33FC4B" w14:textId="2E2EEAE4" w:rsidR="001E1C10" w:rsidRDefault="001E1C10" w:rsidP="00D35EEB">
            <w:pPr>
              <w:pStyle w:val="TableHead"/>
            </w:pPr>
            <w:r>
              <w:t>Testing and implementation</w:t>
            </w:r>
          </w:p>
        </w:tc>
        <w:tc>
          <w:tcPr>
            <w:tcW w:w="2778" w:type="dxa"/>
            <w:tcBorders>
              <w:top w:val="single" w:sz="4" w:space="0" w:color="auto"/>
              <w:left w:val="nil"/>
              <w:bottom w:val="single" w:sz="4" w:space="0" w:color="auto"/>
              <w:right w:val="nil"/>
            </w:tcBorders>
            <w:shd w:val="clear" w:color="auto" w:fill="5C2946"/>
            <w:vAlign w:val="center"/>
          </w:tcPr>
          <w:p w14:paraId="3762D5BD" w14:textId="4811A860" w:rsidR="001E1C10" w:rsidRDefault="001E1C10" w:rsidP="00D35EEB">
            <w:pPr>
              <w:pStyle w:val="TableHead"/>
            </w:pPr>
            <w:r>
              <w:t>Closure and handover</w:t>
            </w:r>
          </w:p>
        </w:tc>
        <w:tc>
          <w:tcPr>
            <w:tcW w:w="2779" w:type="dxa"/>
            <w:tcBorders>
              <w:top w:val="single" w:sz="4" w:space="0" w:color="auto"/>
              <w:left w:val="nil"/>
              <w:bottom w:val="single" w:sz="4" w:space="0" w:color="auto"/>
              <w:right w:val="nil"/>
            </w:tcBorders>
            <w:shd w:val="clear" w:color="auto" w:fill="5C2946"/>
            <w:vAlign w:val="center"/>
          </w:tcPr>
          <w:p w14:paraId="65AE7D50" w14:textId="6EA2C99C" w:rsidR="001E1C10" w:rsidRDefault="001E1C10" w:rsidP="00D35EEB">
            <w:pPr>
              <w:pStyle w:val="TableHead"/>
            </w:pPr>
            <w:r>
              <w:t>Support and maintenance</w:t>
            </w:r>
          </w:p>
        </w:tc>
      </w:tr>
      <w:tr w:rsidR="001E1C10" w14:paraId="005338E4" w14:textId="77777777" w:rsidTr="001C5832">
        <w:trPr>
          <w:cantSplit/>
          <w:trHeight w:val="1431"/>
        </w:trPr>
        <w:tc>
          <w:tcPr>
            <w:tcW w:w="562" w:type="dxa"/>
            <w:tcBorders>
              <w:top w:val="single" w:sz="4" w:space="0" w:color="auto"/>
              <w:left w:val="nil"/>
              <w:bottom w:val="single" w:sz="4" w:space="0" w:color="auto"/>
              <w:right w:val="nil"/>
            </w:tcBorders>
            <w:shd w:val="clear" w:color="auto" w:fill="5C2946"/>
            <w:textDirection w:val="btLr"/>
            <w:vAlign w:val="center"/>
          </w:tcPr>
          <w:p w14:paraId="0950CCF6" w14:textId="09BF1246" w:rsidR="001E1C10" w:rsidRDefault="001E1C10" w:rsidP="00D35EEB">
            <w:pPr>
              <w:pStyle w:val="TableHead"/>
              <w:jc w:val="center"/>
            </w:pPr>
            <w:r>
              <w:t>Description</w:t>
            </w:r>
          </w:p>
        </w:tc>
        <w:tc>
          <w:tcPr>
            <w:tcW w:w="2778" w:type="dxa"/>
            <w:tcBorders>
              <w:top w:val="single" w:sz="4" w:space="0" w:color="auto"/>
              <w:left w:val="nil"/>
              <w:bottom w:val="single" w:sz="4" w:space="0" w:color="auto"/>
              <w:right w:val="nil"/>
            </w:tcBorders>
          </w:tcPr>
          <w:p w14:paraId="116FCDFE" w14:textId="2DC8BEE9" w:rsidR="001E1C10" w:rsidRDefault="001E1C10" w:rsidP="00D35EEB">
            <w:pPr>
              <w:pStyle w:val="TableText"/>
            </w:pPr>
            <w:r>
              <w:t>Define the fundamentals: what is the problem that needs solving? Who will be involved? What will be done?</w:t>
            </w:r>
          </w:p>
        </w:tc>
        <w:tc>
          <w:tcPr>
            <w:tcW w:w="2778" w:type="dxa"/>
            <w:tcBorders>
              <w:top w:val="single" w:sz="4" w:space="0" w:color="auto"/>
              <w:left w:val="nil"/>
              <w:bottom w:val="single" w:sz="4" w:space="0" w:color="auto"/>
              <w:right w:val="nil"/>
            </w:tcBorders>
          </w:tcPr>
          <w:p w14:paraId="093E5362" w14:textId="42A03CC7" w:rsidR="001E1C10" w:rsidRDefault="001E1C10" w:rsidP="00D35EEB">
            <w:pPr>
              <w:pStyle w:val="TableText"/>
            </w:pPr>
            <w:r>
              <w:t>Define the scope of the activity and develop a detailed plan to ensure the objectives of the activity are achieved</w:t>
            </w:r>
          </w:p>
        </w:tc>
        <w:tc>
          <w:tcPr>
            <w:tcW w:w="2779" w:type="dxa"/>
            <w:tcBorders>
              <w:top w:val="single" w:sz="4" w:space="0" w:color="auto"/>
              <w:left w:val="nil"/>
              <w:bottom w:val="single" w:sz="4" w:space="0" w:color="auto"/>
              <w:right w:val="nil"/>
            </w:tcBorders>
          </w:tcPr>
          <w:p w14:paraId="37117C5E" w14:textId="58296E4F" w:rsidR="001E1C10" w:rsidRDefault="001E1C10" w:rsidP="00D35EEB">
            <w:pPr>
              <w:pStyle w:val="TableText"/>
            </w:pPr>
            <w:r>
              <w:t>Coordinate resources to carry out the required tasks to achieve the purpose and objectives of the activity</w:t>
            </w:r>
          </w:p>
        </w:tc>
        <w:tc>
          <w:tcPr>
            <w:tcW w:w="2778" w:type="dxa"/>
            <w:tcBorders>
              <w:top w:val="single" w:sz="4" w:space="0" w:color="auto"/>
              <w:left w:val="nil"/>
              <w:bottom w:val="single" w:sz="4" w:space="0" w:color="auto"/>
              <w:right w:val="nil"/>
            </w:tcBorders>
          </w:tcPr>
          <w:p w14:paraId="34DCEA9B" w14:textId="01B40122" w:rsidR="001E1C10" w:rsidRDefault="001E1C10" w:rsidP="00D35EEB">
            <w:pPr>
              <w:pStyle w:val="TableText"/>
            </w:pPr>
            <w:r>
              <w:t>Compare progress against the purpose, scope, objectives and evaluate the success</w:t>
            </w:r>
          </w:p>
        </w:tc>
        <w:tc>
          <w:tcPr>
            <w:tcW w:w="2779" w:type="dxa"/>
            <w:tcBorders>
              <w:top w:val="single" w:sz="4" w:space="0" w:color="auto"/>
              <w:left w:val="nil"/>
              <w:bottom w:val="single" w:sz="4" w:space="0" w:color="auto"/>
              <w:right w:val="nil"/>
            </w:tcBorders>
          </w:tcPr>
          <w:p w14:paraId="1A210897" w14:textId="7392E55E" w:rsidR="001E1C10" w:rsidRDefault="001E1C10" w:rsidP="00D35EEB">
            <w:pPr>
              <w:pStyle w:val="TableText"/>
            </w:pPr>
            <w:r>
              <w:t>Support staff post-implementation and/or adjust the deliverables if issues are identified.</w:t>
            </w:r>
          </w:p>
        </w:tc>
      </w:tr>
      <w:tr w:rsidR="001E1C10" w14:paraId="3F67E289" w14:textId="77777777" w:rsidTr="00D35EEB">
        <w:trPr>
          <w:cantSplit/>
          <w:trHeight w:val="3231"/>
        </w:trPr>
        <w:tc>
          <w:tcPr>
            <w:tcW w:w="562" w:type="dxa"/>
            <w:tcBorders>
              <w:top w:val="single" w:sz="4" w:space="0" w:color="auto"/>
              <w:left w:val="nil"/>
              <w:bottom w:val="single" w:sz="4" w:space="0" w:color="auto"/>
              <w:right w:val="nil"/>
            </w:tcBorders>
            <w:shd w:val="clear" w:color="auto" w:fill="5C2946"/>
            <w:textDirection w:val="btLr"/>
            <w:vAlign w:val="center"/>
          </w:tcPr>
          <w:p w14:paraId="0158BAA1" w14:textId="0A531582" w:rsidR="001E1C10" w:rsidRDefault="001E1C10" w:rsidP="00D35EEB">
            <w:pPr>
              <w:pStyle w:val="TableHead"/>
              <w:jc w:val="center"/>
            </w:pPr>
            <w:r>
              <w:t>Examples of tasks</w:t>
            </w:r>
          </w:p>
        </w:tc>
        <w:tc>
          <w:tcPr>
            <w:tcW w:w="2778" w:type="dxa"/>
            <w:tcBorders>
              <w:top w:val="single" w:sz="4" w:space="0" w:color="auto"/>
              <w:left w:val="nil"/>
              <w:bottom w:val="single" w:sz="4" w:space="0" w:color="auto"/>
              <w:right w:val="nil"/>
            </w:tcBorders>
          </w:tcPr>
          <w:p w14:paraId="2D0A80A4" w14:textId="089084D7" w:rsidR="001E1C10" w:rsidRPr="00D35EEB" w:rsidRDefault="001E1C10" w:rsidP="00D35EEB">
            <w:pPr>
              <w:pStyle w:val="TableBullet"/>
            </w:pPr>
            <w:r w:rsidRPr="00D35EEB">
              <w:t>Plan who will be impacted by the outcomes – internal and external</w:t>
            </w:r>
          </w:p>
          <w:p w14:paraId="24EE6729" w14:textId="1B49EBAE" w:rsidR="001E1C10" w:rsidRPr="00D35EEB" w:rsidRDefault="001E1C10" w:rsidP="00D35EEB">
            <w:pPr>
              <w:pStyle w:val="TableBullet"/>
            </w:pPr>
            <w:r w:rsidRPr="00D35EEB">
              <w:t>Examine the benefits and objectives and define what expertise is needed to achieve each</w:t>
            </w:r>
          </w:p>
          <w:p w14:paraId="7B3152BE" w14:textId="2A26C96F" w:rsidR="001E1C10" w:rsidRPr="00D35EEB" w:rsidRDefault="001E1C10" w:rsidP="00D35EEB">
            <w:pPr>
              <w:pStyle w:val="TableBullet"/>
            </w:pPr>
            <w:r w:rsidRPr="00D35EEB">
              <w:t>Develop methodology for selecting and categorising stakeholders</w:t>
            </w:r>
          </w:p>
          <w:p w14:paraId="13BA2081" w14:textId="53D953CF" w:rsidR="001E1C10" w:rsidRPr="001E1C10" w:rsidRDefault="001E1C10" w:rsidP="00D35EEB">
            <w:pPr>
              <w:pStyle w:val="TableBullet"/>
            </w:pPr>
            <w:r w:rsidRPr="00D35EEB">
              <w:t>Create initial view of the stakeholder list</w:t>
            </w:r>
          </w:p>
        </w:tc>
        <w:tc>
          <w:tcPr>
            <w:tcW w:w="2778" w:type="dxa"/>
            <w:tcBorders>
              <w:top w:val="single" w:sz="4" w:space="0" w:color="auto"/>
              <w:left w:val="nil"/>
              <w:bottom w:val="single" w:sz="4" w:space="0" w:color="auto"/>
              <w:right w:val="nil"/>
            </w:tcBorders>
          </w:tcPr>
          <w:p w14:paraId="14242813" w14:textId="2B44F2EA" w:rsidR="001E1C10" w:rsidRPr="00D35EEB" w:rsidRDefault="001E1C10" w:rsidP="00D35EEB">
            <w:pPr>
              <w:pStyle w:val="TableBullet"/>
            </w:pPr>
            <w:r w:rsidRPr="00D35EEB">
              <w:t>Map stakeholders into levels of interest and involvement</w:t>
            </w:r>
          </w:p>
          <w:p w14:paraId="4702C11C" w14:textId="301E77C9" w:rsidR="001E1C10" w:rsidRPr="00D35EEB" w:rsidRDefault="001E1C10" w:rsidP="00D35EEB">
            <w:pPr>
              <w:pStyle w:val="TableBullet"/>
            </w:pPr>
            <w:r w:rsidRPr="00D35EEB">
              <w:t>Plan milestones and deliverables</w:t>
            </w:r>
          </w:p>
          <w:p w14:paraId="2813D274" w14:textId="56D605E0" w:rsidR="001E1C10" w:rsidRPr="00D35EEB" w:rsidRDefault="001E1C10" w:rsidP="00D35EEB">
            <w:pPr>
              <w:pStyle w:val="TableBullet"/>
            </w:pPr>
            <w:r w:rsidRPr="00D35EEB">
              <w:t>Develop a plan for receiving and actioning feedback</w:t>
            </w:r>
          </w:p>
          <w:p w14:paraId="43080D06" w14:textId="77777777" w:rsidR="001E1C10" w:rsidRPr="00D35EEB" w:rsidRDefault="001E1C10" w:rsidP="00D35EEB">
            <w:pPr>
              <w:pStyle w:val="TableBullet"/>
            </w:pPr>
            <w:r w:rsidRPr="00D35EEB">
              <w:t>Establish governance structure</w:t>
            </w:r>
          </w:p>
          <w:p w14:paraId="667DA5A4" w14:textId="3F02840F" w:rsidR="001E1C10" w:rsidRPr="001E1C10" w:rsidRDefault="001E1C10" w:rsidP="00D35EEB">
            <w:pPr>
              <w:pStyle w:val="TableBullet"/>
            </w:pPr>
            <w:r w:rsidRPr="00D35EEB">
              <w:t>Identify risks to the engagement</w:t>
            </w:r>
          </w:p>
        </w:tc>
        <w:tc>
          <w:tcPr>
            <w:tcW w:w="2779" w:type="dxa"/>
            <w:tcBorders>
              <w:top w:val="single" w:sz="4" w:space="0" w:color="auto"/>
              <w:left w:val="nil"/>
              <w:bottom w:val="single" w:sz="4" w:space="0" w:color="auto"/>
              <w:right w:val="nil"/>
            </w:tcBorders>
          </w:tcPr>
          <w:p w14:paraId="48BFE4F7" w14:textId="13647530" w:rsidR="001E1C10" w:rsidRPr="00D35EEB" w:rsidRDefault="001E1C10" w:rsidP="00D35EEB">
            <w:pPr>
              <w:pStyle w:val="TableBullet"/>
            </w:pPr>
            <w:r w:rsidRPr="00D35EEB">
              <w:t>Revise the plan if needed – build in delays and action feedback</w:t>
            </w:r>
          </w:p>
          <w:p w14:paraId="154EAA80" w14:textId="32C0E434" w:rsidR="001E1C10" w:rsidRPr="00D35EEB" w:rsidRDefault="001E1C10" w:rsidP="00D35EEB">
            <w:pPr>
              <w:pStyle w:val="TableBullet"/>
            </w:pPr>
            <w:r w:rsidRPr="00D35EEB">
              <w:t>Review the objectives and benefits and ensure internal and stakeholders have been included in the process</w:t>
            </w:r>
          </w:p>
          <w:p w14:paraId="7D48764C" w14:textId="75DD7F58" w:rsidR="001E1C10" w:rsidRPr="001D2D13" w:rsidRDefault="001E1C10" w:rsidP="00D35EEB">
            <w:pPr>
              <w:pStyle w:val="TableBullet"/>
            </w:pPr>
            <w:r w:rsidRPr="00D35EEB">
              <w:t>Adjust and refine engagement and communications based on feedback</w:t>
            </w:r>
          </w:p>
        </w:tc>
        <w:tc>
          <w:tcPr>
            <w:tcW w:w="2778" w:type="dxa"/>
            <w:tcBorders>
              <w:top w:val="single" w:sz="4" w:space="0" w:color="auto"/>
              <w:left w:val="nil"/>
              <w:bottom w:val="single" w:sz="4" w:space="0" w:color="auto"/>
              <w:right w:val="nil"/>
            </w:tcBorders>
          </w:tcPr>
          <w:p w14:paraId="6F35E58B" w14:textId="78361BA6" w:rsidR="001E1C10" w:rsidRPr="00D35EEB" w:rsidRDefault="001E1C10" w:rsidP="00D35EEB">
            <w:pPr>
              <w:pStyle w:val="TableBullet"/>
            </w:pPr>
            <w:r w:rsidRPr="00D35EEB">
              <w:t>Communicate the outcomes and next steps</w:t>
            </w:r>
          </w:p>
          <w:p w14:paraId="0E70784A" w14:textId="6BEEE8F0" w:rsidR="001E1C10" w:rsidRPr="00D35EEB" w:rsidRDefault="001E1C10" w:rsidP="00D35EEB">
            <w:pPr>
              <w:pStyle w:val="TableBullet"/>
            </w:pPr>
            <w:r w:rsidRPr="00D35EEB">
              <w:t>Respond to feedback accordingly</w:t>
            </w:r>
            <w:r w:rsidR="00AF5B63" w:rsidRPr="00D35EEB">
              <w:t xml:space="preserve"> and close the loop with stakeholders on how their feedback was used</w:t>
            </w:r>
          </w:p>
          <w:p w14:paraId="04BFA715" w14:textId="0B55A209" w:rsidR="001E1C10" w:rsidRPr="00D35EEB" w:rsidRDefault="001E1C10" w:rsidP="00D35EEB">
            <w:pPr>
              <w:pStyle w:val="TableBullet"/>
            </w:pPr>
            <w:r w:rsidRPr="00D35EEB">
              <w:t>Document lessons learned</w:t>
            </w:r>
          </w:p>
          <w:p w14:paraId="5FEF3F56" w14:textId="0374AC69" w:rsidR="001E1C10" w:rsidRPr="00D35EEB" w:rsidRDefault="001E1C10" w:rsidP="00D35EEB">
            <w:pPr>
              <w:pStyle w:val="TableBullet"/>
            </w:pPr>
            <w:r w:rsidRPr="00D35EEB">
              <w:t>Celebrate the successes</w:t>
            </w:r>
          </w:p>
        </w:tc>
        <w:tc>
          <w:tcPr>
            <w:tcW w:w="2779" w:type="dxa"/>
            <w:tcBorders>
              <w:top w:val="single" w:sz="4" w:space="0" w:color="auto"/>
              <w:left w:val="nil"/>
              <w:bottom w:val="single" w:sz="4" w:space="0" w:color="auto"/>
              <w:right w:val="nil"/>
            </w:tcBorders>
          </w:tcPr>
          <w:p w14:paraId="5EDC6854" w14:textId="1A2C95AF" w:rsidR="001E1C10" w:rsidRPr="00D35EEB" w:rsidRDefault="001E1C10" w:rsidP="00D35EEB">
            <w:pPr>
              <w:pStyle w:val="TableBullet"/>
            </w:pPr>
            <w:r w:rsidRPr="00D35EEB">
              <w:t>Monitor and evaluate engagement and communication activity</w:t>
            </w:r>
          </w:p>
          <w:p w14:paraId="477991D1" w14:textId="6CBE62AD" w:rsidR="001E1C10" w:rsidRPr="00D35EEB" w:rsidRDefault="001E1C10" w:rsidP="00D35EEB">
            <w:pPr>
              <w:pStyle w:val="TableBullet"/>
            </w:pPr>
            <w:r w:rsidRPr="00D35EEB">
              <w:t>Establish training and support requirements</w:t>
            </w:r>
          </w:p>
          <w:p w14:paraId="785DBEA6" w14:textId="7E25EC0E" w:rsidR="001E1C10" w:rsidRPr="00D35EEB" w:rsidRDefault="001E1C10" w:rsidP="00D35EEB">
            <w:pPr>
              <w:pStyle w:val="TableBullet"/>
            </w:pPr>
            <w:r w:rsidRPr="00D35EEB">
              <w:t>Use feedback as input into future activities</w:t>
            </w:r>
          </w:p>
        </w:tc>
      </w:tr>
      <w:tr w:rsidR="001E1C10" w14:paraId="32C9BF40" w14:textId="77777777" w:rsidTr="00D35EEB">
        <w:trPr>
          <w:cantSplit/>
          <w:trHeight w:val="567"/>
        </w:trPr>
        <w:tc>
          <w:tcPr>
            <w:tcW w:w="14454" w:type="dxa"/>
            <w:gridSpan w:val="6"/>
            <w:tcBorders>
              <w:top w:val="single" w:sz="4" w:space="0" w:color="auto"/>
              <w:left w:val="nil"/>
              <w:bottom w:val="single" w:sz="4" w:space="0" w:color="auto"/>
              <w:right w:val="nil"/>
            </w:tcBorders>
            <w:vAlign w:val="center"/>
          </w:tcPr>
          <w:p w14:paraId="42397EFE" w14:textId="36F2C010" w:rsidR="001E1C10" w:rsidRDefault="001E1C10" w:rsidP="00D35EEB">
            <w:pPr>
              <w:pStyle w:val="TableText"/>
              <w:jc w:val="center"/>
            </w:pPr>
            <w:r>
              <w:t>Talk to the Stakeholder Engagement and Communication teams</w:t>
            </w:r>
          </w:p>
        </w:tc>
      </w:tr>
    </w:tbl>
    <w:p w14:paraId="2088A3CF" w14:textId="4E1C5F3A" w:rsidR="00FB2FDE" w:rsidRDefault="00FB2FDE" w:rsidP="00FB2FDE">
      <w:pPr>
        <w:pStyle w:val="Heading1"/>
      </w:pPr>
      <w:bookmarkStart w:id="5" w:name="_Toc138235050"/>
      <w:r>
        <w:lastRenderedPageBreak/>
        <w:t xml:space="preserve">Levels of </w:t>
      </w:r>
      <w:r w:rsidR="00D35EEB">
        <w:t>e</w:t>
      </w:r>
      <w:r>
        <w:t xml:space="preserve">ngagement and </w:t>
      </w:r>
      <w:r w:rsidR="00D35EEB">
        <w:t>c</w:t>
      </w:r>
      <w:r>
        <w:t>ommunications</w:t>
      </w:r>
      <w:bookmarkEnd w:id="5"/>
    </w:p>
    <w:p w14:paraId="35010F5F" w14:textId="082BBACD" w:rsidR="00FB2FDE" w:rsidRDefault="001E1C10" w:rsidP="001E1C10">
      <w:pPr>
        <w:pStyle w:val="NormalText"/>
      </w:pPr>
      <w:r>
        <w:t xml:space="preserve">How the APVMA engages </w:t>
      </w:r>
      <w:r w:rsidR="00D35EEB">
        <w:t xml:space="preserve">with stakeholders </w:t>
      </w:r>
      <w:r>
        <w:t>will depend on the complexity of the problem, what is in scope for influence, what has already been decided</w:t>
      </w:r>
      <w:r w:rsidR="00D35EEB">
        <w:t>,</w:t>
      </w:r>
      <w:r>
        <w:t xml:space="preserve"> and who will be involved in delivering the solution. </w:t>
      </w:r>
      <w:hyperlink r:id="rId24" w:history="1">
        <w:r w:rsidRPr="00980BA8">
          <w:rPr>
            <w:rStyle w:val="Hyperlink"/>
          </w:rPr>
          <w:t>The APS Framework for Engagement and Participation</w:t>
        </w:r>
      </w:hyperlink>
      <w:r>
        <w:t xml:space="preserve"> defines ways public servants can engage. Each of the levels of engagement has its own merit and is not intended to imply that one way of engaging is better than another. When planning your engagements, consider which of these ways will best engage the expertise need</w:t>
      </w:r>
      <w:r w:rsidR="00EF39B1">
        <w:t>ed</w:t>
      </w:r>
      <w:r>
        <w:t xml:space="preserve"> to solve the </w:t>
      </w:r>
      <w:r w:rsidR="00980BA8">
        <w:t>problem</w:t>
      </w:r>
      <w:r>
        <w:t xml:space="preserve"> at hand, given </w:t>
      </w:r>
      <w:r w:rsidR="00EF39B1">
        <w:t>current</w:t>
      </w:r>
      <w:r>
        <w:t xml:space="preserve"> constraints</w:t>
      </w:r>
      <w:r w:rsidR="00EF39B1">
        <w:t>.</w:t>
      </w:r>
    </w:p>
    <w:tbl>
      <w:tblPr>
        <w:tblW w:w="5000" w:type="pct"/>
        <w:tblBorders>
          <w:bottom w:val="dotted" w:sz="2" w:space="0" w:color="auto"/>
          <w:insideH w:val="dotted" w:sz="2" w:space="0" w:color="auto"/>
        </w:tblBorders>
        <w:tblLook w:val="01E0" w:firstRow="1" w:lastRow="1" w:firstColumn="1" w:lastColumn="1" w:noHBand="0" w:noVBand="0"/>
      </w:tblPr>
      <w:tblGrid>
        <w:gridCol w:w="3544"/>
        <w:gridCol w:w="3544"/>
        <w:gridCol w:w="3839"/>
        <w:gridCol w:w="3643"/>
      </w:tblGrid>
      <w:tr w:rsidR="001E1C10" w14:paraId="466D094D" w14:textId="77777777" w:rsidTr="001C5832">
        <w:trPr>
          <w:cantSplit/>
          <w:tblHeader/>
        </w:trPr>
        <w:tc>
          <w:tcPr>
            <w:tcW w:w="1216" w:type="pct"/>
            <w:tcBorders>
              <w:top w:val="single" w:sz="4" w:space="0" w:color="auto"/>
              <w:bottom w:val="single" w:sz="4" w:space="0" w:color="auto"/>
            </w:tcBorders>
            <w:shd w:val="clear" w:color="auto" w:fill="5C2946"/>
            <w:vAlign w:val="center"/>
          </w:tcPr>
          <w:p w14:paraId="00B37942" w14:textId="4C501A21" w:rsidR="001E1C10" w:rsidRPr="00FB0015" w:rsidRDefault="001E1C10" w:rsidP="00D35EEB">
            <w:pPr>
              <w:pStyle w:val="TableHead"/>
            </w:pPr>
            <w:r>
              <w:t>Share</w:t>
            </w:r>
          </w:p>
        </w:tc>
        <w:tc>
          <w:tcPr>
            <w:tcW w:w="1216" w:type="pct"/>
            <w:tcBorders>
              <w:top w:val="single" w:sz="4" w:space="0" w:color="auto"/>
              <w:bottom w:val="single" w:sz="4" w:space="0" w:color="auto"/>
            </w:tcBorders>
            <w:shd w:val="clear" w:color="auto" w:fill="5C2946"/>
            <w:vAlign w:val="center"/>
          </w:tcPr>
          <w:p w14:paraId="164CDEF2" w14:textId="670E55A3" w:rsidR="001E1C10" w:rsidRPr="00FB0015" w:rsidRDefault="001E1C10" w:rsidP="00D35EEB">
            <w:pPr>
              <w:pStyle w:val="TableHead"/>
            </w:pPr>
            <w:r>
              <w:t>Consult</w:t>
            </w:r>
          </w:p>
        </w:tc>
        <w:tc>
          <w:tcPr>
            <w:tcW w:w="1317" w:type="pct"/>
            <w:tcBorders>
              <w:top w:val="single" w:sz="4" w:space="0" w:color="auto"/>
              <w:bottom w:val="single" w:sz="4" w:space="0" w:color="auto"/>
            </w:tcBorders>
            <w:shd w:val="clear" w:color="auto" w:fill="5C2946"/>
            <w:vAlign w:val="center"/>
          </w:tcPr>
          <w:p w14:paraId="1E11A7BB" w14:textId="32AF6661" w:rsidR="001E1C10" w:rsidRPr="00FB0015" w:rsidRDefault="001E1C10" w:rsidP="00D35EEB">
            <w:pPr>
              <w:pStyle w:val="TableHead"/>
            </w:pPr>
            <w:r>
              <w:t>Deliberate</w:t>
            </w:r>
          </w:p>
        </w:tc>
        <w:tc>
          <w:tcPr>
            <w:tcW w:w="1250" w:type="pct"/>
            <w:tcBorders>
              <w:top w:val="single" w:sz="4" w:space="0" w:color="auto"/>
              <w:bottom w:val="single" w:sz="4" w:space="0" w:color="auto"/>
            </w:tcBorders>
            <w:shd w:val="clear" w:color="auto" w:fill="5C2946"/>
            <w:vAlign w:val="center"/>
          </w:tcPr>
          <w:p w14:paraId="265C8528" w14:textId="44547C7D" w:rsidR="001E1C10" w:rsidRPr="00FB0015" w:rsidRDefault="001E1C10" w:rsidP="00D35EEB">
            <w:pPr>
              <w:pStyle w:val="TableHead"/>
            </w:pPr>
            <w:r>
              <w:t>Collaborate</w:t>
            </w:r>
          </w:p>
        </w:tc>
      </w:tr>
      <w:tr w:rsidR="001E1C10" w14:paraId="39903C54" w14:textId="77777777" w:rsidTr="001C5832">
        <w:trPr>
          <w:cantSplit/>
        </w:trPr>
        <w:tc>
          <w:tcPr>
            <w:tcW w:w="1216" w:type="pct"/>
            <w:tcBorders>
              <w:top w:val="single" w:sz="4" w:space="0" w:color="auto"/>
              <w:bottom w:val="single" w:sz="4" w:space="0" w:color="auto"/>
            </w:tcBorders>
          </w:tcPr>
          <w:p w14:paraId="31119A24" w14:textId="31EAAD48" w:rsidR="001E1C10" w:rsidRDefault="001E1C10" w:rsidP="00D35EEB">
            <w:pPr>
              <w:pStyle w:val="TableBullet"/>
              <w:numPr>
                <w:ilvl w:val="0"/>
                <w:numId w:val="0"/>
              </w:numPr>
              <w:ind w:left="227" w:hanging="227"/>
            </w:pPr>
            <w:r>
              <w:t>When to share information</w:t>
            </w:r>
            <w:r w:rsidR="00D35EEB">
              <w:t>:</w:t>
            </w:r>
          </w:p>
          <w:p w14:paraId="0B5321EF" w14:textId="13066FBC" w:rsidR="001E1C10" w:rsidRDefault="001E1C10" w:rsidP="00D35EEB">
            <w:pPr>
              <w:pStyle w:val="TableBullet"/>
            </w:pPr>
            <w:r>
              <w:t>The problem is simple and known</w:t>
            </w:r>
          </w:p>
          <w:p w14:paraId="0F4992E9" w14:textId="78F94B32" w:rsidR="001E1C10" w:rsidRDefault="001E1C10" w:rsidP="00D35EEB">
            <w:pPr>
              <w:pStyle w:val="TableBullet"/>
            </w:pPr>
            <w:r>
              <w:t>A solution has already been decided</w:t>
            </w:r>
          </w:p>
          <w:p w14:paraId="1EABEA75" w14:textId="528A66A6" w:rsidR="001E1C10" w:rsidRPr="00D35EEB" w:rsidRDefault="001E1C10" w:rsidP="00D35EEB">
            <w:pPr>
              <w:pStyle w:val="TableBullet"/>
            </w:pPr>
            <w:r w:rsidRPr="00D35EEB">
              <w:t>The solution will be implemented by the APVMA</w:t>
            </w:r>
          </w:p>
        </w:tc>
        <w:tc>
          <w:tcPr>
            <w:tcW w:w="1216" w:type="pct"/>
            <w:tcBorders>
              <w:top w:val="single" w:sz="4" w:space="0" w:color="auto"/>
              <w:bottom w:val="single" w:sz="4" w:space="0" w:color="auto"/>
            </w:tcBorders>
          </w:tcPr>
          <w:p w14:paraId="4319142F" w14:textId="795E70B0" w:rsidR="001E1C10" w:rsidRDefault="001E1C10" w:rsidP="00D35EEB">
            <w:pPr>
              <w:pStyle w:val="TableBullet"/>
              <w:numPr>
                <w:ilvl w:val="0"/>
                <w:numId w:val="0"/>
              </w:numPr>
              <w:ind w:left="227" w:hanging="227"/>
            </w:pPr>
            <w:r>
              <w:t>When to consult</w:t>
            </w:r>
            <w:r w:rsidR="00D35EEB">
              <w:t>:</w:t>
            </w:r>
          </w:p>
          <w:p w14:paraId="34283640" w14:textId="37160B92" w:rsidR="001E1C10" w:rsidRDefault="001E1C10" w:rsidP="00D35EEB">
            <w:pPr>
              <w:pStyle w:val="TableBullet"/>
            </w:pPr>
            <w:r>
              <w:t>The problem is not overly complex, but neither is it simple</w:t>
            </w:r>
          </w:p>
          <w:p w14:paraId="05B613AA" w14:textId="79FF13C6" w:rsidR="001E1C10" w:rsidRDefault="001E1C10" w:rsidP="00D35EEB">
            <w:pPr>
              <w:pStyle w:val="TableBullet"/>
            </w:pPr>
            <w:r>
              <w:t xml:space="preserve">The APVMA wants feedback on a proposed course of </w:t>
            </w:r>
            <w:r w:rsidR="00D35EEB">
              <w:t>action,</w:t>
            </w:r>
            <w:r>
              <w:t xml:space="preserve"> or a few solutions are being considered and stakeholders views will be considered in deciding which solution to implement</w:t>
            </w:r>
          </w:p>
          <w:p w14:paraId="600AAA89" w14:textId="582C518D" w:rsidR="001E1C10" w:rsidRDefault="001E1C10" w:rsidP="00D35EEB">
            <w:pPr>
              <w:pStyle w:val="TableBullet"/>
            </w:pPr>
            <w:r>
              <w:t>Ultimately, the APVMA will weigh up the pros and cons of each solution, and take responsibility for implementing the solution</w:t>
            </w:r>
          </w:p>
        </w:tc>
        <w:tc>
          <w:tcPr>
            <w:tcW w:w="1317" w:type="pct"/>
            <w:tcBorders>
              <w:top w:val="single" w:sz="4" w:space="0" w:color="auto"/>
              <w:bottom w:val="single" w:sz="4" w:space="0" w:color="auto"/>
            </w:tcBorders>
          </w:tcPr>
          <w:p w14:paraId="5E9A40AA" w14:textId="49A69827" w:rsidR="001E1C10" w:rsidRDefault="001E1C10" w:rsidP="00D35EEB">
            <w:pPr>
              <w:pStyle w:val="TableText"/>
            </w:pPr>
            <w:r>
              <w:t>When to deliberate</w:t>
            </w:r>
            <w:r w:rsidR="00D35EEB">
              <w:t>:</w:t>
            </w:r>
          </w:p>
          <w:p w14:paraId="5EAF93BF" w14:textId="1727E883" w:rsidR="001E1C10" w:rsidRDefault="001E1C10" w:rsidP="00D35EEB">
            <w:pPr>
              <w:pStyle w:val="TableBullet"/>
            </w:pPr>
            <w:r>
              <w:t>The problem is complicated or complex</w:t>
            </w:r>
          </w:p>
          <w:p w14:paraId="10C3E600" w14:textId="710FA2FB" w:rsidR="001E1C10" w:rsidRDefault="001E1C10" w:rsidP="00D35EEB">
            <w:pPr>
              <w:pStyle w:val="TableBullet"/>
            </w:pPr>
            <w:r>
              <w:t>For help in framing what the problem is and what the issues are, or if there is a need to establish a shared understanding</w:t>
            </w:r>
          </w:p>
          <w:p w14:paraId="465B38C9" w14:textId="7FEC7CA1" w:rsidR="001E1C10" w:rsidRDefault="001E1C10" w:rsidP="00D35EEB">
            <w:pPr>
              <w:pStyle w:val="TableBullet"/>
            </w:pPr>
            <w:r>
              <w:t>When a consultative process where the APVMA deliberates on the issues alone will create winners or losers</w:t>
            </w:r>
          </w:p>
          <w:p w14:paraId="143D2243" w14:textId="2E7619A9" w:rsidR="001E1C10" w:rsidRDefault="001E1C10" w:rsidP="00D35EEB">
            <w:pPr>
              <w:pStyle w:val="TableBullet"/>
            </w:pPr>
            <w:r>
              <w:t>The APVMA and stakeholders work together to frame the problem and identify any issues and develop solutions, but the APVMA is responsible for implementation and delivery</w:t>
            </w:r>
          </w:p>
        </w:tc>
        <w:tc>
          <w:tcPr>
            <w:tcW w:w="1250" w:type="pct"/>
            <w:tcBorders>
              <w:top w:val="single" w:sz="4" w:space="0" w:color="auto"/>
              <w:bottom w:val="single" w:sz="4" w:space="0" w:color="auto"/>
            </w:tcBorders>
          </w:tcPr>
          <w:p w14:paraId="270C99FA" w14:textId="03C334E6" w:rsidR="001E1C10" w:rsidRDefault="001E1C10" w:rsidP="00D35EEB">
            <w:pPr>
              <w:pStyle w:val="TableText"/>
            </w:pPr>
            <w:r>
              <w:t>When to collaborate</w:t>
            </w:r>
            <w:r w:rsidR="00D35EEB">
              <w:t>:</w:t>
            </w:r>
          </w:p>
          <w:p w14:paraId="297BD8EC" w14:textId="72D1207C" w:rsidR="001E1C10" w:rsidRDefault="001E1C10" w:rsidP="00D35EEB">
            <w:pPr>
              <w:pStyle w:val="TableBullet"/>
            </w:pPr>
            <w:r>
              <w:t>The problem is complex</w:t>
            </w:r>
          </w:p>
          <w:p w14:paraId="0F3DAC0E" w14:textId="2E3428A5" w:rsidR="001E1C10" w:rsidRDefault="001E1C10" w:rsidP="00D35EEB">
            <w:pPr>
              <w:pStyle w:val="TableBullet"/>
            </w:pPr>
            <w:r>
              <w:t>Stakeholders</w:t>
            </w:r>
            <w:r w:rsidR="00062682">
              <w:t>’</w:t>
            </w:r>
            <w:r>
              <w:t xml:space="preserve"> help is needed in coming up with a solution</w:t>
            </w:r>
          </w:p>
          <w:p w14:paraId="08582BAD" w14:textId="1120A2C2" w:rsidR="001E1C10" w:rsidRDefault="001E1C10" w:rsidP="00D35EEB">
            <w:pPr>
              <w:pStyle w:val="TableBullet"/>
            </w:pPr>
            <w:r>
              <w:t>The APVMA and stakeholders need to pool resources and align effort because no one person or organisation can solve the problem alone</w:t>
            </w:r>
          </w:p>
        </w:tc>
      </w:tr>
      <w:tr w:rsidR="001E1C10" w14:paraId="02B875D0" w14:textId="77777777" w:rsidTr="00D35EEB">
        <w:trPr>
          <w:cantSplit/>
        </w:trPr>
        <w:tc>
          <w:tcPr>
            <w:tcW w:w="1216" w:type="pct"/>
            <w:tcBorders>
              <w:top w:val="single" w:sz="4" w:space="0" w:color="auto"/>
              <w:bottom w:val="single" w:sz="4" w:space="0" w:color="auto"/>
            </w:tcBorders>
          </w:tcPr>
          <w:p w14:paraId="58C136CB" w14:textId="77777777" w:rsidR="001E1C10" w:rsidRDefault="001E1C10" w:rsidP="001E1C10">
            <w:pPr>
              <w:pStyle w:val="TableBullet"/>
              <w:numPr>
                <w:ilvl w:val="0"/>
                <w:numId w:val="0"/>
              </w:numPr>
              <w:ind w:left="227" w:hanging="227"/>
            </w:pPr>
            <w:r>
              <w:t>Methods to use:</w:t>
            </w:r>
          </w:p>
          <w:p w14:paraId="02DD2966" w14:textId="77777777" w:rsidR="001E1C10" w:rsidRDefault="001E1C10" w:rsidP="001E1C10">
            <w:pPr>
              <w:pStyle w:val="TableBullet"/>
            </w:pPr>
            <w:r>
              <w:t>Website publication</w:t>
            </w:r>
          </w:p>
          <w:p w14:paraId="22C8B124" w14:textId="77777777" w:rsidR="001E1C10" w:rsidRDefault="001E1C10" w:rsidP="001E1C10">
            <w:pPr>
              <w:pStyle w:val="TableBullet"/>
            </w:pPr>
            <w:r>
              <w:t>Presentations to stakeholders</w:t>
            </w:r>
          </w:p>
          <w:p w14:paraId="014A9D6E" w14:textId="77777777" w:rsidR="001E1C10" w:rsidRDefault="001E1C10" w:rsidP="001E1C10">
            <w:pPr>
              <w:pStyle w:val="TableBullet"/>
            </w:pPr>
            <w:r>
              <w:t>Blogposts</w:t>
            </w:r>
          </w:p>
          <w:p w14:paraId="2B9EACE2" w14:textId="77777777" w:rsidR="001E1C10" w:rsidRDefault="001E1C10" w:rsidP="001E1C10">
            <w:pPr>
              <w:pStyle w:val="TableBullet"/>
            </w:pPr>
            <w:r>
              <w:t>Gazette</w:t>
            </w:r>
          </w:p>
          <w:p w14:paraId="32DB4B17" w14:textId="3081DECC" w:rsidR="001E1C10" w:rsidRDefault="001E1C10" w:rsidP="001E1C10">
            <w:pPr>
              <w:pStyle w:val="TableBullet"/>
            </w:pPr>
            <w:r>
              <w:t>News update</w:t>
            </w:r>
          </w:p>
        </w:tc>
        <w:tc>
          <w:tcPr>
            <w:tcW w:w="1216" w:type="pct"/>
            <w:tcBorders>
              <w:top w:val="single" w:sz="4" w:space="0" w:color="auto"/>
              <w:bottom w:val="single" w:sz="4" w:space="0" w:color="auto"/>
            </w:tcBorders>
          </w:tcPr>
          <w:p w14:paraId="076E2456" w14:textId="77777777" w:rsidR="001E1C10" w:rsidRDefault="001E1C10" w:rsidP="001E1C10">
            <w:pPr>
              <w:pStyle w:val="TableBullet"/>
              <w:numPr>
                <w:ilvl w:val="0"/>
                <w:numId w:val="0"/>
              </w:numPr>
              <w:ind w:left="227" w:hanging="227"/>
            </w:pPr>
            <w:r>
              <w:t>Methods to use:</w:t>
            </w:r>
          </w:p>
          <w:p w14:paraId="28CE5E89" w14:textId="77777777" w:rsidR="001E1C10" w:rsidRDefault="001E1C10" w:rsidP="001E1C10">
            <w:pPr>
              <w:pStyle w:val="TableBullet"/>
            </w:pPr>
            <w:r>
              <w:t>Meetings with stakeholders</w:t>
            </w:r>
          </w:p>
          <w:p w14:paraId="74571368" w14:textId="7DA900A8" w:rsidR="001E1C10" w:rsidRDefault="001E1C10" w:rsidP="001E1C10">
            <w:pPr>
              <w:pStyle w:val="TableBullet"/>
            </w:pPr>
            <w:r>
              <w:t>Public or staff consultation</w:t>
            </w:r>
          </w:p>
          <w:p w14:paraId="2B32E3EF" w14:textId="3F5B61EF" w:rsidR="00062682" w:rsidRDefault="00062682" w:rsidP="001E1C10">
            <w:pPr>
              <w:pStyle w:val="TableBullet"/>
            </w:pPr>
            <w:r>
              <w:t>Gazette</w:t>
            </w:r>
          </w:p>
          <w:p w14:paraId="21DC8C05" w14:textId="5EBD1EDC" w:rsidR="001E1C10" w:rsidRDefault="001E1C10" w:rsidP="00DF3373">
            <w:pPr>
              <w:pStyle w:val="TableBullet"/>
            </w:pPr>
            <w:r>
              <w:t>Online submission form</w:t>
            </w:r>
            <w:r w:rsidR="00DF3373">
              <w:t xml:space="preserve"> or survey</w:t>
            </w:r>
          </w:p>
        </w:tc>
        <w:tc>
          <w:tcPr>
            <w:tcW w:w="1317" w:type="pct"/>
            <w:tcBorders>
              <w:top w:val="single" w:sz="4" w:space="0" w:color="auto"/>
              <w:bottom w:val="single" w:sz="4" w:space="0" w:color="auto"/>
            </w:tcBorders>
          </w:tcPr>
          <w:p w14:paraId="05573C9E" w14:textId="77777777" w:rsidR="001E1C10" w:rsidRDefault="001E1C10" w:rsidP="001E1C10">
            <w:pPr>
              <w:pStyle w:val="TableText"/>
            </w:pPr>
            <w:r>
              <w:t>Methods to use:</w:t>
            </w:r>
          </w:p>
          <w:p w14:paraId="3DAB8650" w14:textId="77777777" w:rsidR="001E1C10" w:rsidRDefault="001E1C10" w:rsidP="001E1C10">
            <w:pPr>
              <w:pStyle w:val="TableBullet"/>
            </w:pPr>
            <w:r>
              <w:t>Expert advisory group</w:t>
            </w:r>
          </w:p>
          <w:p w14:paraId="142BA22C" w14:textId="5959A837" w:rsidR="001E1C10" w:rsidRDefault="001E1C10" w:rsidP="001E1C10">
            <w:pPr>
              <w:pStyle w:val="TableBullet"/>
            </w:pPr>
            <w:r>
              <w:t>Workshop</w:t>
            </w:r>
          </w:p>
          <w:p w14:paraId="24F46D6A" w14:textId="799EBA2F" w:rsidR="001E1C10" w:rsidRDefault="001E1C10" w:rsidP="001E1C10">
            <w:pPr>
              <w:pStyle w:val="TableBullet"/>
            </w:pPr>
            <w:r>
              <w:t>Working group</w:t>
            </w:r>
          </w:p>
        </w:tc>
        <w:tc>
          <w:tcPr>
            <w:tcW w:w="1250" w:type="pct"/>
            <w:tcBorders>
              <w:top w:val="single" w:sz="4" w:space="0" w:color="auto"/>
              <w:bottom w:val="single" w:sz="4" w:space="0" w:color="auto"/>
            </w:tcBorders>
          </w:tcPr>
          <w:p w14:paraId="14179685" w14:textId="77777777" w:rsidR="001E1C10" w:rsidRDefault="001E1C10" w:rsidP="001E1C10">
            <w:pPr>
              <w:pStyle w:val="TableText"/>
            </w:pPr>
            <w:r>
              <w:t>Methods to use:</w:t>
            </w:r>
          </w:p>
          <w:p w14:paraId="1D72B6ED" w14:textId="77777777" w:rsidR="001E1C10" w:rsidRDefault="001E1C10" w:rsidP="001E1C10">
            <w:pPr>
              <w:pStyle w:val="TableBullet"/>
            </w:pPr>
            <w:r>
              <w:t>Expert advisory group</w:t>
            </w:r>
          </w:p>
          <w:p w14:paraId="54E068FB" w14:textId="77777777" w:rsidR="001E1C10" w:rsidRDefault="001E1C10" w:rsidP="001E1C10">
            <w:pPr>
              <w:pStyle w:val="TableBullet"/>
            </w:pPr>
            <w:r>
              <w:t>Workshop</w:t>
            </w:r>
          </w:p>
          <w:p w14:paraId="50164DEE" w14:textId="40283894" w:rsidR="001E1C10" w:rsidRDefault="001E1C10" w:rsidP="001E1C10">
            <w:pPr>
              <w:pStyle w:val="TableBullet"/>
            </w:pPr>
            <w:r>
              <w:t>Working group</w:t>
            </w:r>
          </w:p>
        </w:tc>
      </w:tr>
    </w:tbl>
    <w:p w14:paraId="543B79BD" w14:textId="7732A180" w:rsidR="00FB2FDE" w:rsidRDefault="00FB2FDE" w:rsidP="00FB2FDE">
      <w:pPr>
        <w:pStyle w:val="NormalText"/>
        <w:sectPr w:rsidR="00FB2FDE" w:rsidSect="00D35EEB">
          <w:headerReference w:type="even" r:id="rId25"/>
          <w:headerReference w:type="default" r:id="rId26"/>
          <w:pgSz w:w="16838" w:h="11906" w:orient="landscape" w:code="9"/>
          <w:pgMar w:top="2835" w:right="1134" w:bottom="1134" w:left="1134" w:header="1701" w:footer="680" w:gutter="0"/>
          <w:cols w:space="708"/>
          <w:docGrid w:linePitch="360"/>
        </w:sectPr>
      </w:pPr>
    </w:p>
    <w:p w14:paraId="036C0D57" w14:textId="3EEF7409" w:rsidR="00FB2FDE" w:rsidRDefault="00FB2FDE" w:rsidP="00FB2FDE">
      <w:pPr>
        <w:pStyle w:val="Heading1"/>
      </w:pPr>
      <w:bookmarkStart w:id="6" w:name="_Toc138235051"/>
      <w:r>
        <w:lastRenderedPageBreak/>
        <w:t xml:space="preserve">Challenges for </w:t>
      </w:r>
      <w:r w:rsidR="00D35EEB">
        <w:t>e</w:t>
      </w:r>
      <w:r>
        <w:t xml:space="preserve">ffective </w:t>
      </w:r>
      <w:r w:rsidR="00D35EEB">
        <w:t>e</w:t>
      </w:r>
      <w:r>
        <w:t xml:space="preserve">ngagement and </w:t>
      </w:r>
      <w:r w:rsidR="00D35EEB">
        <w:t>c</w:t>
      </w:r>
      <w:r>
        <w:t>ommunications</w:t>
      </w:r>
      <w:bookmarkEnd w:id="6"/>
    </w:p>
    <w:p w14:paraId="634868BE" w14:textId="5B4A09C8" w:rsidR="00FB2FDE" w:rsidRDefault="007C30B1" w:rsidP="00FB2FDE">
      <w:pPr>
        <w:pStyle w:val="NormalText"/>
      </w:pPr>
      <w:r>
        <w:t>S</w:t>
      </w:r>
      <w:r w:rsidRPr="007C30B1">
        <w:t>taff are</w:t>
      </w:r>
      <w:r>
        <w:t xml:space="preserve"> often</w:t>
      </w:r>
      <w:r w:rsidRPr="007C30B1">
        <w:t xml:space="preserve"> faced with challenges </w:t>
      </w:r>
      <w:r w:rsidR="001E1C10">
        <w:t>when approaching engagement and communications activities.</w:t>
      </w:r>
      <w:r w:rsidRPr="007C30B1">
        <w:t xml:space="preserve"> </w:t>
      </w:r>
      <w:r w:rsidR="001E1C10">
        <w:t xml:space="preserve">To prepare for </w:t>
      </w:r>
      <w:r>
        <w:t>common challenges</w:t>
      </w:r>
      <w:r w:rsidR="001E1C10">
        <w:t xml:space="preserve">, </w:t>
      </w:r>
      <w:r>
        <w:t xml:space="preserve">staff </w:t>
      </w:r>
      <w:r w:rsidR="001E1C10">
        <w:t>should consider how the</w:t>
      </w:r>
      <w:r w:rsidR="00D35EEB">
        <w:t xml:space="preserve"> potential challenge</w:t>
      </w:r>
      <w:r w:rsidR="001E1C10">
        <w:t xml:space="preserve"> may impact the objectives and </w:t>
      </w:r>
      <w:r w:rsidR="00D35EEB">
        <w:t>outcomes and</w:t>
      </w:r>
      <w:r w:rsidR="001E1C10">
        <w:t xml:space="preserve"> implement mitigation</w:t>
      </w:r>
      <w:r w:rsidR="00D35EEB">
        <w:t xml:space="preserve"> methods</w:t>
      </w:r>
      <w:r w:rsidR="001E1C10">
        <w:t>.</w:t>
      </w:r>
    </w:p>
    <w:tbl>
      <w:tblPr>
        <w:tblW w:w="4847" w:type="pct"/>
        <w:tblBorders>
          <w:bottom w:val="dotted" w:sz="2" w:space="0" w:color="auto"/>
          <w:insideH w:val="dotted" w:sz="2" w:space="0" w:color="auto"/>
        </w:tblBorders>
        <w:tblLook w:val="01E0" w:firstRow="1" w:lastRow="1" w:firstColumn="1" w:lastColumn="1" w:noHBand="0" w:noVBand="0"/>
      </w:tblPr>
      <w:tblGrid>
        <w:gridCol w:w="3285"/>
        <w:gridCol w:w="10839"/>
      </w:tblGrid>
      <w:tr w:rsidR="00980BA8" w14:paraId="721C2B15" w14:textId="77777777" w:rsidTr="001C5832">
        <w:trPr>
          <w:cantSplit/>
          <w:trHeight w:val="384"/>
          <w:tblHeader/>
        </w:trPr>
        <w:tc>
          <w:tcPr>
            <w:tcW w:w="1163" w:type="pct"/>
            <w:tcBorders>
              <w:top w:val="single" w:sz="4" w:space="0" w:color="auto"/>
              <w:bottom w:val="single" w:sz="4" w:space="0" w:color="auto"/>
            </w:tcBorders>
            <w:shd w:val="clear" w:color="auto" w:fill="5C2946"/>
            <w:vAlign w:val="center"/>
          </w:tcPr>
          <w:p w14:paraId="7844820E" w14:textId="2AC9063A" w:rsidR="00980BA8" w:rsidRPr="00FB0015" w:rsidRDefault="00980BA8" w:rsidP="00D35EEB">
            <w:pPr>
              <w:pStyle w:val="TableHead"/>
            </w:pPr>
            <w:r>
              <w:t>Potential challenge</w:t>
            </w:r>
          </w:p>
        </w:tc>
        <w:tc>
          <w:tcPr>
            <w:tcW w:w="3837" w:type="pct"/>
            <w:tcBorders>
              <w:top w:val="single" w:sz="4" w:space="0" w:color="auto"/>
              <w:bottom w:val="single" w:sz="4" w:space="0" w:color="auto"/>
            </w:tcBorders>
            <w:shd w:val="clear" w:color="auto" w:fill="5C2946"/>
            <w:vAlign w:val="center"/>
          </w:tcPr>
          <w:p w14:paraId="773E4CEB" w14:textId="47F301D5" w:rsidR="00980BA8" w:rsidRPr="00FB0015" w:rsidRDefault="00980BA8" w:rsidP="00D35EEB">
            <w:pPr>
              <w:pStyle w:val="TableHead"/>
            </w:pPr>
            <w:r>
              <w:t>Method for mitigation</w:t>
            </w:r>
          </w:p>
        </w:tc>
      </w:tr>
      <w:tr w:rsidR="00980BA8" w14:paraId="481DAE4E" w14:textId="77777777" w:rsidTr="001C5832">
        <w:trPr>
          <w:cantSplit/>
          <w:trHeight w:val="410"/>
        </w:trPr>
        <w:tc>
          <w:tcPr>
            <w:tcW w:w="1163" w:type="pct"/>
            <w:tcBorders>
              <w:top w:val="single" w:sz="4" w:space="0" w:color="auto"/>
              <w:bottom w:val="single" w:sz="4" w:space="0" w:color="auto"/>
            </w:tcBorders>
          </w:tcPr>
          <w:p w14:paraId="3DADBE76" w14:textId="6A9F41BC" w:rsidR="00980BA8" w:rsidRDefault="00980BA8" w:rsidP="00D35EEB">
            <w:pPr>
              <w:pStyle w:val="TableBullet"/>
              <w:numPr>
                <w:ilvl w:val="0"/>
                <w:numId w:val="0"/>
              </w:numPr>
              <w:ind w:left="227" w:hanging="227"/>
            </w:pPr>
            <w:r>
              <w:t>Unclear purpose or objectives</w:t>
            </w:r>
          </w:p>
        </w:tc>
        <w:tc>
          <w:tcPr>
            <w:tcW w:w="3837" w:type="pct"/>
            <w:tcBorders>
              <w:top w:val="single" w:sz="4" w:space="0" w:color="auto"/>
              <w:bottom w:val="single" w:sz="4" w:space="0" w:color="auto"/>
            </w:tcBorders>
          </w:tcPr>
          <w:p w14:paraId="4D709C31" w14:textId="4585552D" w:rsidR="00980BA8" w:rsidRDefault="00980BA8" w:rsidP="00D35EEB">
            <w:pPr>
              <w:pStyle w:val="TableBullet"/>
              <w:numPr>
                <w:ilvl w:val="0"/>
                <w:numId w:val="0"/>
              </w:numPr>
            </w:pPr>
            <w:r>
              <w:t xml:space="preserve">If the purpose and objectives of the engagement are poorly defined, all the activities that follow will be affected, including the identification of stakeholders, determining the methods of engagement and communication to be used, and managing stakeholder expectations. </w:t>
            </w:r>
            <w:r w:rsidR="00AF5B63">
              <w:t>There is a variety of tools and resources online to assist with collaboratively drilling down to understand the root cause and to clearly articulate the purpose and objectives of the problem you are looking to solve (e.g. 5Y, SMART Goals etc</w:t>
            </w:r>
            <w:r w:rsidR="00D35EEB">
              <w:t>.</w:t>
            </w:r>
            <w:r w:rsidR="00AF5B63">
              <w:t>)</w:t>
            </w:r>
            <w:r w:rsidR="00D35EEB">
              <w:t>.</w:t>
            </w:r>
          </w:p>
        </w:tc>
      </w:tr>
      <w:tr w:rsidR="00980BA8" w14:paraId="7FFC8D21" w14:textId="77777777" w:rsidTr="00D35EEB">
        <w:trPr>
          <w:cantSplit/>
          <w:trHeight w:val="487"/>
        </w:trPr>
        <w:tc>
          <w:tcPr>
            <w:tcW w:w="1163" w:type="pct"/>
            <w:tcBorders>
              <w:top w:val="single" w:sz="4" w:space="0" w:color="auto"/>
              <w:bottom w:val="single" w:sz="4" w:space="0" w:color="auto"/>
            </w:tcBorders>
          </w:tcPr>
          <w:p w14:paraId="35B4D1B6" w14:textId="08FC9B31" w:rsidR="00980BA8" w:rsidRDefault="00980BA8" w:rsidP="00D35EEB">
            <w:pPr>
              <w:pStyle w:val="TableText"/>
            </w:pPr>
            <w:r>
              <w:t>Differing views of stakeholders</w:t>
            </w:r>
          </w:p>
        </w:tc>
        <w:tc>
          <w:tcPr>
            <w:tcW w:w="3837" w:type="pct"/>
            <w:tcBorders>
              <w:top w:val="single" w:sz="4" w:space="0" w:color="auto"/>
              <w:bottom w:val="single" w:sz="4" w:space="0" w:color="auto"/>
            </w:tcBorders>
          </w:tcPr>
          <w:p w14:paraId="155F0AA8" w14:textId="34A10048" w:rsidR="00980BA8" w:rsidRDefault="00980BA8" w:rsidP="00D35EEB">
            <w:pPr>
              <w:pStyle w:val="TableBullet"/>
              <w:numPr>
                <w:ilvl w:val="0"/>
                <w:numId w:val="0"/>
              </w:numPr>
            </w:pPr>
            <w:r>
              <w:t xml:space="preserve">Stakeholders can sometimes have different levels of skills, knowledge and experience in engaging with government and/or the scientific community. This can affect their ability to fully participate in an </w:t>
            </w:r>
            <w:r w:rsidR="00D35EEB">
              <w:t>activity</w:t>
            </w:r>
            <w:r>
              <w:t xml:space="preserve">, as well as the quality of the information they provide. You may need to work with some stakeholders to build their understanding of the purpose and objectives </w:t>
            </w:r>
            <w:r w:rsidR="00D35EEB">
              <w:t xml:space="preserve">of the activity </w:t>
            </w:r>
            <w:r>
              <w:t>or offer modified or different models of engagement.</w:t>
            </w:r>
          </w:p>
        </w:tc>
      </w:tr>
      <w:tr w:rsidR="00980BA8" w14:paraId="24CA93B0" w14:textId="77777777" w:rsidTr="00D35EEB">
        <w:trPr>
          <w:cantSplit/>
          <w:trHeight w:val="474"/>
        </w:trPr>
        <w:tc>
          <w:tcPr>
            <w:tcW w:w="1163" w:type="pct"/>
            <w:tcBorders>
              <w:top w:val="single" w:sz="4" w:space="0" w:color="auto"/>
              <w:bottom w:val="single" w:sz="4" w:space="0" w:color="auto"/>
            </w:tcBorders>
          </w:tcPr>
          <w:p w14:paraId="3C96CE7D" w14:textId="087BD1F0" w:rsidR="00980BA8" w:rsidRDefault="00980BA8" w:rsidP="00D35EEB">
            <w:pPr>
              <w:pStyle w:val="TableText"/>
            </w:pPr>
            <w:r>
              <w:t>Resourcing</w:t>
            </w:r>
          </w:p>
        </w:tc>
        <w:tc>
          <w:tcPr>
            <w:tcW w:w="3837" w:type="pct"/>
            <w:tcBorders>
              <w:top w:val="single" w:sz="4" w:space="0" w:color="auto"/>
              <w:bottom w:val="single" w:sz="4" w:space="0" w:color="auto"/>
            </w:tcBorders>
          </w:tcPr>
          <w:p w14:paraId="43CDC3D0" w14:textId="2555B472" w:rsidR="00980BA8" w:rsidRDefault="00980BA8" w:rsidP="00D35EEB">
            <w:pPr>
              <w:pStyle w:val="TableBullet"/>
              <w:numPr>
                <w:ilvl w:val="0"/>
                <w:numId w:val="0"/>
              </w:numPr>
            </w:pPr>
            <w:r>
              <w:t>Effective stakeholder engagement and communications requires time, planning and a specific skill set, plus different tools to allow for innovative facilitation. The absence of the right skills, time and tools can hinder collaboration and make it hard to identify issues and opportunities. This can result in damaged relationships between the APVMA and stakeholders, and poor-quality advice and information. During the planning stages, identify skills available and skills required at subsequent stages. Explore options to develop skills, pool resources and/or engage external expertise.</w:t>
            </w:r>
          </w:p>
        </w:tc>
      </w:tr>
      <w:tr w:rsidR="00980BA8" w14:paraId="0A29BDFD" w14:textId="77777777" w:rsidTr="00D35EEB">
        <w:trPr>
          <w:cantSplit/>
          <w:trHeight w:val="474"/>
        </w:trPr>
        <w:tc>
          <w:tcPr>
            <w:tcW w:w="1163" w:type="pct"/>
            <w:tcBorders>
              <w:top w:val="single" w:sz="4" w:space="0" w:color="auto"/>
              <w:bottom w:val="single" w:sz="4" w:space="0" w:color="auto"/>
            </w:tcBorders>
          </w:tcPr>
          <w:p w14:paraId="05C734E2" w14:textId="38019BE8" w:rsidR="00980BA8" w:rsidRDefault="00980BA8" w:rsidP="00D35EEB">
            <w:pPr>
              <w:pStyle w:val="TableText"/>
            </w:pPr>
            <w:r>
              <w:t>Unfocused dialogue</w:t>
            </w:r>
          </w:p>
        </w:tc>
        <w:tc>
          <w:tcPr>
            <w:tcW w:w="3837" w:type="pct"/>
            <w:tcBorders>
              <w:top w:val="single" w:sz="4" w:space="0" w:color="auto"/>
              <w:bottom w:val="single" w:sz="4" w:space="0" w:color="auto"/>
            </w:tcBorders>
          </w:tcPr>
          <w:p w14:paraId="46447B1F" w14:textId="67E432EE" w:rsidR="00980BA8" w:rsidRDefault="00980BA8" w:rsidP="00D35EEB">
            <w:pPr>
              <w:pStyle w:val="TableBullet"/>
              <w:numPr>
                <w:ilvl w:val="0"/>
                <w:numId w:val="0"/>
              </w:numPr>
            </w:pPr>
            <w:r>
              <w:t xml:space="preserve">Stakeholder engagement can cover a range of issues that are important to stakeholders but may be less </w:t>
            </w:r>
            <w:r w:rsidR="00D35EEB">
              <w:t>important</w:t>
            </w:r>
            <w:r>
              <w:t xml:space="preserve"> to the initiative. If this happens, it can distract from obtaining relevant input. The engagement and communications plan should be clear on what issues are relevant and how to manage and respond to any ad hoc issues that are raised. Responding to ad hoc issues thoughtfully is important. For example, there may be another area in the APVMA where those issues could be considered further.</w:t>
            </w:r>
          </w:p>
        </w:tc>
      </w:tr>
      <w:tr w:rsidR="00980BA8" w14:paraId="7A65A3C4" w14:textId="77777777" w:rsidTr="00D35EEB">
        <w:trPr>
          <w:cantSplit/>
          <w:trHeight w:val="487"/>
        </w:trPr>
        <w:tc>
          <w:tcPr>
            <w:tcW w:w="1163" w:type="pct"/>
            <w:tcBorders>
              <w:top w:val="single" w:sz="4" w:space="0" w:color="auto"/>
              <w:bottom w:val="single" w:sz="4" w:space="0" w:color="auto"/>
            </w:tcBorders>
          </w:tcPr>
          <w:p w14:paraId="05A42FAB" w14:textId="17950ED5" w:rsidR="00980BA8" w:rsidRDefault="00980BA8" w:rsidP="00D35EEB">
            <w:pPr>
              <w:pStyle w:val="TableText"/>
            </w:pPr>
            <w:r>
              <w:t>Failure to review and evaluate</w:t>
            </w:r>
          </w:p>
        </w:tc>
        <w:tc>
          <w:tcPr>
            <w:tcW w:w="3837" w:type="pct"/>
            <w:tcBorders>
              <w:top w:val="single" w:sz="4" w:space="0" w:color="auto"/>
              <w:bottom w:val="single" w:sz="4" w:space="0" w:color="auto"/>
            </w:tcBorders>
          </w:tcPr>
          <w:p w14:paraId="06C56ADF" w14:textId="114E8359" w:rsidR="00980BA8" w:rsidRDefault="00980BA8" w:rsidP="00D35EEB">
            <w:pPr>
              <w:pStyle w:val="TableBullet"/>
              <w:numPr>
                <w:ilvl w:val="0"/>
                <w:numId w:val="0"/>
              </w:numPr>
            </w:pPr>
            <w:r>
              <w:t>Without robust review and evaluation, it is difficult to know if the approach is working and whether changes are needed. Failure to review and evaluate also reduces the ability to learn from and improve engagement and communications. The engagement and communications plan should include review points throughout the design and implementation, with flexibility to adjust the approach if needed.</w:t>
            </w:r>
          </w:p>
        </w:tc>
      </w:tr>
    </w:tbl>
    <w:p w14:paraId="3C55F793" w14:textId="77777777" w:rsidR="00FB2FDE" w:rsidRDefault="00FB2FDE">
      <w:pPr>
        <w:spacing w:before="0" w:after="0" w:line="240" w:lineRule="auto"/>
        <w:rPr>
          <w:rFonts w:cs="Arial"/>
          <w:kern w:val="20"/>
          <w:sz w:val="19"/>
          <w:u w:color="000000"/>
        </w:rPr>
        <w:sectPr w:rsidR="00FB2FDE" w:rsidSect="00D35EEB">
          <w:headerReference w:type="even" r:id="rId27"/>
          <w:pgSz w:w="16838" w:h="11906" w:orient="landscape" w:code="9"/>
          <w:pgMar w:top="2835" w:right="1134" w:bottom="1134" w:left="1134" w:header="1701" w:footer="680" w:gutter="0"/>
          <w:cols w:space="708"/>
          <w:docGrid w:linePitch="360"/>
        </w:sectPr>
      </w:pPr>
    </w:p>
    <w:p w14:paraId="416A8660" w14:textId="56898E37" w:rsidR="00FB2FDE" w:rsidRDefault="00FB2FDE" w:rsidP="00315E0E">
      <w:pPr>
        <w:pStyle w:val="Heading1"/>
        <w:spacing w:after="300"/>
      </w:pPr>
      <w:bookmarkStart w:id="7" w:name="_Toc138235052"/>
      <w:r>
        <w:lastRenderedPageBreak/>
        <w:t xml:space="preserve">Strategies for </w:t>
      </w:r>
      <w:r w:rsidR="00D35EEB">
        <w:t>s</w:t>
      </w:r>
      <w:r>
        <w:t>uccess</w:t>
      </w:r>
      <w:bookmarkEnd w:id="7"/>
    </w:p>
    <w:p w14:paraId="070647D8" w14:textId="4246BC92" w:rsidR="00FB2FDE" w:rsidRDefault="00FB2FDE" w:rsidP="00FB2FDE">
      <w:pPr>
        <w:pStyle w:val="Bullet1"/>
        <w:numPr>
          <w:ilvl w:val="0"/>
          <w:numId w:val="40"/>
        </w:numPr>
      </w:pPr>
      <w:r>
        <w:t xml:space="preserve">Commit to </w:t>
      </w:r>
      <w:r w:rsidR="007C30B1">
        <w:t>a</w:t>
      </w:r>
      <w:r>
        <w:t>ction</w:t>
      </w:r>
    </w:p>
    <w:p w14:paraId="05E982C7" w14:textId="2EBD0934" w:rsidR="00FB2FDE" w:rsidRDefault="00FB2FDE" w:rsidP="00FB2FDE">
      <w:pPr>
        <w:pStyle w:val="Bullet1"/>
        <w:numPr>
          <w:ilvl w:val="0"/>
          <w:numId w:val="40"/>
        </w:numPr>
      </w:pPr>
      <w:r>
        <w:t>Manage time and resources</w:t>
      </w:r>
    </w:p>
    <w:p w14:paraId="433CD54E" w14:textId="2516D367" w:rsidR="00FB2FDE" w:rsidRDefault="00FB2FDE" w:rsidP="00FB2FDE">
      <w:pPr>
        <w:pStyle w:val="Bullet1"/>
        <w:numPr>
          <w:ilvl w:val="0"/>
          <w:numId w:val="40"/>
        </w:numPr>
      </w:pPr>
      <w:r>
        <w:t>Map your stakeholders and get the right stakeholders to the table</w:t>
      </w:r>
    </w:p>
    <w:p w14:paraId="7DE695AD" w14:textId="77B8E324" w:rsidR="00FB2FDE" w:rsidRDefault="00FB2FDE" w:rsidP="00FB2FDE">
      <w:pPr>
        <w:pStyle w:val="Bullet1"/>
        <w:numPr>
          <w:ilvl w:val="0"/>
          <w:numId w:val="40"/>
        </w:numPr>
      </w:pPr>
      <w:r>
        <w:t>Agree on the rules for engagement</w:t>
      </w:r>
    </w:p>
    <w:p w14:paraId="7C082220" w14:textId="0AEEDC49" w:rsidR="00FB2FDE" w:rsidRDefault="00FB2FDE" w:rsidP="00FB2FDE">
      <w:pPr>
        <w:pStyle w:val="Bullet1"/>
        <w:numPr>
          <w:ilvl w:val="0"/>
          <w:numId w:val="40"/>
        </w:numPr>
      </w:pPr>
      <w:r>
        <w:t>Plan the engagement and manage expectations</w:t>
      </w:r>
    </w:p>
    <w:p w14:paraId="76A20FD2" w14:textId="088587E8" w:rsidR="00FB2FDE" w:rsidRDefault="00FB2FDE" w:rsidP="00FB2FDE">
      <w:pPr>
        <w:pStyle w:val="Bullet1"/>
        <w:numPr>
          <w:ilvl w:val="0"/>
          <w:numId w:val="40"/>
        </w:numPr>
      </w:pPr>
      <w:r>
        <w:t>Use a mixed or fit-for-purpose approach</w:t>
      </w:r>
    </w:p>
    <w:p w14:paraId="11561CDE" w14:textId="05BB8948" w:rsidR="00FB2FDE" w:rsidRDefault="00FB2FDE" w:rsidP="00FB2FDE">
      <w:pPr>
        <w:pStyle w:val="Bullet1"/>
        <w:numPr>
          <w:ilvl w:val="0"/>
          <w:numId w:val="40"/>
        </w:numPr>
      </w:pPr>
      <w:r>
        <w:t>Use consistent and appropriate messages</w:t>
      </w:r>
    </w:p>
    <w:p w14:paraId="5AD5310F" w14:textId="068E32E7" w:rsidR="00FB2FDE" w:rsidRDefault="00FB2FDE" w:rsidP="00FB2FDE">
      <w:pPr>
        <w:pStyle w:val="Bullet1"/>
        <w:numPr>
          <w:ilvl w:val="0"/>
          <w:numId w:val="40"/>
        </w:numPr>
      </w:pPr>
      <w:r>
        <w:t>Act with transparency and accountability</w:t>
      </w:r>
    </w:p>
    <w:p w14:paraId="45151702" w14:textId="18436DAF" w:rsidR="00FB2FDE" w:rsidRDefault="00FB2FDE" w:rsidP="00FB2FDE">
      <w:pPr>
        <w:pStyle w:val="Bullet1"/>
        <w:numPr>
          <w:ilvl w:val="0"/>
          <w:numId w:val="40"/>
        </w:numPr>
      </w:pPr>
      <w:r>
        <w:t>Learn from others</w:t>
      </w:r>
    </w:p>
    <w:p w14:paraId="3ECFCA9B" w14:textId="6DD39B07" w:rsidR="00FB2FDE" w:rsidRDefault="00FB2FDE" w:rsidP="00FB2FDE">
      <w:pPr>
        <w:pStyle w:val="Bullet1"/>
        <w:numPr>
          <w:ilvl w:val="0"/>
          <w:numId w:val="40"/>
        </w:numPr>
      </w:pPr>
      <w:r>
        <w:t>Use the information you collect</w:t>
      </w:r>
    </w:p>
    <w:p w14:paraId="1C86172B" w14:textId="69EF4E2E" w:rsidR="00FB2FDE" w:rsidRDefault="00FB2FDE" w:rsidP="00FB2FDE">
      <w:pPr>
        <w:pStyle w:val="Bullet1"/>
        <w:numPr>
          <w:ilvl w:val="0"/>
          <w:numId w:val="40"/>
        </w:numPr>
      </w:pPr>
      <w:r>
        <w:t>Be focused and flexible</w:t>
      </w:r>
    </w:p>
    <w:p w14:paraId="50F5FCEF" w14:textId="6F1D695F" w:rsidR="00FB2FDE" w:rsidRDefault="00FB2FDE" w:rsidP="00FB2FDE">
      <w:pPr>
        <w:pStyle w:val="Bullet1"/>
        <w:numPr>
          <w:ilvl w:val="0"/>
          <w:numId w:val="40"/>
        </w:numPr>
      </w:pPr>
      <w:r>
        <w:t>Listen and be respectful</w:t>
      </w:r>
    </w:p>
    <w:p w14:paraId="63CBF452" w14:textId="56604D25" w:rsidR="00FB2FDE" w:rsidRDefault="00FB2FDE" w:rsidP="00FB2FDE">
      <w:pPr>
        <w:pStyle w:val="Bullet1"/>
        <w:numPr>
          <w:ilvl w:val="0"/>
          <w:numId w:val="40"/>
        </w:numPr>
      </w:pPr>
      <w:r>
        <w:t>Maintain the right to disagree</w:t>
      </w:r>
    </w:p>
    <w:p w14:paraId="1F995507" w14:textId="473C76F1" w:rsidR="00D35EEB" w:rsidRDefault="00FB2FDE" w:rsidP="00FB2FDE">
      <w:pPr>
        <w:pStyle w:val="Bullet1"/>
        <w:numPr>
          <w:ilvl w:val="0"/>
          <w:numId w:val="40"/>
        </w:numPr>
        <w:sectPr w:rsidR="00D35EEB">
          <w:headerReference w:type="even" r:id="rId28"/>
          <w:headerReference w:type="default" r:id="rId29"/>
          <w:footerReference w:type="default" r:id="rId30"/>
          <w:pgSz w:w="11906" w:h="16838" w:code="9"/>
          <w:pgMar w:top="2835" w:right="1134" w:bottom="1134" w:left="1134" w:header="1701" w:footer="680" w:gutter="0"/>
          <w:cols w:space="708"/>
          <w:docGrid w:linePitch="360"/>
        </w:sectPr>
      </w:pPr>
      <w:r>
        <w:t>Don’t expect to change the world overnight</w:t>
      </w:r>
    </w:p>
    <w:p w14:paraId="028DC3E7" w14:textId="6C823701" w:rsidR="00FB2FDE" w:rsidRDefault="00FB2FDE" w:rsidP="00FB2FDE">
      <w:pPr>
        <w:pStyle w:val="Heading1"/>
      </w:pPr>
      <w:bookmarkStart w:id="8" w:name="_Toc138235053"/>
      <w:r>
        <w:lastRenderedPageBreak/>
        <w:t xml:space="preserve">References and </w:t>
      </w:r>
      <w:r w:rsidR="00D35EEB">
        <w:t>r</w:t>
      </w:r>
      <w:r>
        <w:t>esources</w:t>
      </w:r>
      <w:bookmarkEnd w:id="8"/>
    </w:p>
    <w:p w14:paraId="2D8B809D" w14:textId="78798275" w:rsidR="008B77A0" w:rsidRPr="008B77A0" w:rsidRDefault="003C00BD" w:rsidP="00D35EEB">
      <w:pPr>
        <w:pStyle w:val="NormalText"/>
      </w:pPr>
      <w:bookmarkStart w:id="9" w:name="_Toc414373842"/>
      <w:bookmarkStart w:id="10" w:name="_Toc231963183"/>
      <w:bookmarkStart w:id="11" w:name="_Toc231963195"/>
      <w:r w:rsidRPr="003C00BD">
        <w:t>AccountAbility</w:t>
      </w:r>
      <w:r>
        <w:t xml:space="preserve"> (2015) </w:t>
      </w:r>
      <w:hyperlink r:id="rId31" w:history="1">
        <w:r w:rsidR="008B77A0" w:rsidRPr="00B74318">
          <w:rPr>
            <w:rStyle w:val="Hyperlink"/>
            <w:i/>
            <w:iCs/>
          </w:rPr>
          <w:t>AA1000 Stakeholder Engagement Standard</w:t>
        </w:r>
      </w:hyperlink>
      <w:r>
        <w:t xml:space="preserve">, </w:t>
      </w:r>
      <w:r w:rsidRPr="003C00BD">
        <w:t>AccountAbility</w:t>
      </w:r>
      <w:r>
        <w:t>, accessed</w:t>
      </w:r>
      <w:r w:rsidR="00E12755">
        <w:t xml:space="preserve"> 4 July 2023</w:t>
      </w:r>
    </w:p>
    <w:p w14:paraId="49DBF3AC" w14:textId="2A0073F9" w:rsidR="008B77A0" w:rsidRPr="008B77A0" w:rsidRDefault="003C00BD" w:rsidP="00D35EEB">
      <w:pPr>
        <w:pStyle w:val="NormalText"/>
      </w:pPr>
      <w:r>
        <w:t xml:space="preserve">Department of Industry, Science and Resources (2021), </w:t>
      </w:r>
      <w:hyperlink r:id="rId32" w:history="1">
        <w:r w:rsidR="008B77A0" w:rsidRPr="00B74318">
          <w:rPr>
            <w:rStyle w:val="Hyperlink"/>
            <w:i/>
            <w:iCs/>
          </w:rPr>
          <w:t>APS Framework for Engagement and Participation</w:t>
        </w:r>
      </w:hyperlink>
      <w:r>
        <w:t xml:space="preserve">, Department of Industry, Science and Resources, accessed </w:t>
      </w:r>
      <w:r w:rsidR="00E12755">
        <w:t>4 July 2023</w:t>
      </w:r>
    </w:p>
    <w:p w14:paraId="29E79C24" w14:textId="42B4F51E" w:rsidR="008B77A0" w:rsidRDefault="003C00BD" w:rsidP="00D35EEB">
      <w:pPr>
        <w:pStyle w:val="NormalText"/>
      </w:pPr>
      <w:r>
        <w:t xml:space="preserve">Department of Finance (2023), </w:t>
      </w:r>
      <w:hyperlink r:id="rId33" w:history="1">
        <w:r w:rsidR="008B77A0" w:rsidRPr="00B74318">
          <w:rPr>
            <w:rStyle w:val="Hyperlink"/>
            <w:i/>
            <w:iCs/>
          </w:rPr>
          <w:t>Regulator Performance (RMG 128)</w:t>
        </w:r>
      </w:hyperlink>
      <w:r>
        <w:t xml:space="preserve">, Department of Finance, accessed </w:t>
      </w:r>
      <w:r w:rsidR="00E12755">
        <w:t>4 July 2023</w:t>
      </w:r>
    </w:p>
    <w:p w14:paraId="2201D5D1" w14:textId="2D68D607" w:rsidR="008B77A0" w:rsidRDefault="008B77A0" w:rsidP="00D35EEB">
      <w:pPr>
        <w:pStyle w:val="NormalText"/>
        <w:rPr>
          <w:highlight w:val="yellow"/>
        </w:rPr>
        <w:sectPr w:rsidR="008B77A0">
          <w:headerReference w:type="even" r:id="rId34"/>
          <w:pgSz w:w="11906" w:h="16838" w:code="9"/>
          <w:pgMar w:top="2835" w:right="1134" w:bottom="1134" w:left="1134" w:header="1701" w:footer="680" w:gutter="0"/>
          <w:cols w:space="708"/>
          <w:docGrid w:linePitch="360"/>
        </w:sectPr>
      </w:pPr>
    </w:p>
    <w:p w14:paraId="11FE14F7" w14:textId="68F93DE2" w:rsidR="002F4591" w:rsidRDefault="002A3239" w:rsidP="002F4591">
      <w:pPr>
        <w:pStyle w:val="CoverTitle"/>
        <w:spacing w:before="7200"/>
        <w:jc w:val="center"/>
      </w:pPr>
      <w:r>
        <w:rPr>
          <w:noProof/>
          <w:lang w:eastAsia="en-AU"/>
        </w:rPr>
        <w:lastRenderedPageBreak/>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7777777" w:rsidR="009D452E" w:rsidRDefault="009D452E" w:rsidP="002F4591">
      <w:pPr>
        <w:pStyle w:val="CoverTitle"/>
        <w:spacing w:before="1920"/>
        <w:jc w:val="center"/>
        <w:sectPr w:rsidR="009D452E">
          <w:pgSz w:w="11906" w:h="16838" w:code="9"/>
          <w:pgMar w:top="2835" w:right="1134" w:bottom="1134" w:left="1134" w:header="1701" w:footer="680" w:gutter="0"/>
          <w:cols w:space="708"/>
          <w:docGrid w:linePitch="360"/>
        </w:sectPr>
      </w:pPr>
      <w:r>
        <w:t>Appendix</w:t>
      </w:r>
    </w:p>
    <w:p w14:paraId="7FC38416" w14:textId="1CC75333" w:rsidR="002E20AC" w:rsidRDefault="002E20AC" w:rsidP="00315E0E">
      <w:pPr>
        <w:pStyle w:val="AppendixH1"/>
        <w:spacing w:after="300"/>
        <w:ind w:left="2041" w:hanging="2041"/>
      </w:pPr>
      <w:bookmarkStart w:id="12" w:name="_Toc138235054"/>
      <w:r>
        <w:lastRenderedPageBreak/>
        <w:t xml:space="preserve">Appendix A </w:t>
      </w:r>
      <w:r w:rsidR="008B550C">
        <w:t>–</w:t>
      </w:r>
      <w:r>
        <w:t xml:space="preserve"> </w:t>
      </w:r>
      <w:r w:rsidR="000E0435">
        <w:t xml:space="preserve">Key </w:t>
      </w:r>
      <w:r w:rsidR="00315E0E">
        <w:t>s</w:t>
      </w:r>
      <w:r w:rsidR="000E0435">
        <w:t xml:space="preserve">takeholder </w:t>
      </w:r>
      <w:r w:rsidR="00315E0E">
        <w:t>g</w:t>
      </w:r>
      <w:r w:rsidR="000E0435">
        <w:t>roups</w:t>
      </w:r>
      <w:bookmarkEnd w:id="9"/>
      <w:bookmarkEnd w:id="12"/>
    </w:p>
    <w:bookmarkEnd w:id="10"/>
    <w:bookmarkEnd w:id="11"/>
    <w:p w14:paraId="45935570" w14:textId="41C67F95" w:rsidR="008B550C" w:rsidRDefault="000E0435" w:rsidP="00315E0E">
      <w:pPr>
        <w:pStyle w:val="Bullet1"/>
      </w:pPr>
      <w:r>
        <w:t>Agvet industry/regulated community, including individual companies and representative bodies</w:t>
      </w:r>
    </w:p>
    <w:p w14:paraId="24F23EAC" w14:textId="44D4F766" w:rsidR="000E0435" w:rsidRDefault="000E0435" w:rsidP="00315E0E">
      <w:pPr>
        <w:pStyle w:val="Bullet1"/>
      </w:pPr>
      <w:r>
        <w:t>Government and regulatory partners, both domestic and international</w:t>
      </w:r>
    </w:p>
    <w:p w14:paraId="03C434AA" w14:textId="4B1F5010" w:rsidR="000E0435" w:rsidRDefault="000E0435" w:rsidP="00315E0E">
      <w:pPr>
        <w:pStyle w:val="Bullet1"/>
      </w:pPr>
      <w:r>
        <w:t>Professional, agricultural and primary producers and representative bodies</w:t>
      </w:r>
    </w:p>
    <w:p w14:paraId="7199E0EB" w14:textId="223C686C" w:rsidR="000E0435" w:rsidRDefault="000E0435" w:rsidP="00315E0E">
      <w:pPr>
        <w:pStyle w:val="Bullet1"/>
      </w:pPr>
      <w:r>
        <w:t>Scientific community</w:t>
      </w:r>
    </w:p>
    <w:p w14:paraId="52C09EC2" w14:textId="0D6558B6" w:rsidR="000E0435" w:rsidRDefault="000E0435" w:rsidP="00315E0E">
      <w:pPr>
        <w:pStyle w:val="Bullet1"/>
      </w:pPr>
      <w:r>
        <w:t>Community and consumers</w:t>
      </w:r>
    </w:p>
    <w:sectPr w:rsidR="000E0435">
      <w:headerReference w:type="even" r:id="rId36"/>
      <w:headerReference w:type="default" r:id="rId3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F136F" w14:textId="77777777" w:rsidR="00DA167F" w:rsidRDefault="00DA167F">
      <w:r>
        <w:separator/>
      </w:r>
    </w:p>
    <w:p w14:paraId="62997837" w14:textId="77777777" w:rsidR="00DA167F" w:rsidRDefault="00DA167F"/>
    <w:p w14:paraId="34A5CF97" w14:textId="77777777" w:rsidR="00DA167F" w:rsidRDefault="00DA167F"/>
  </w:endnote>
  <w:endnote w:type="continuationSeparator" w:id="0">
    <w:p w14:paraId="6B070465" w14:textId="77777777" w:rsidR="00DA167F" w:rsidRDefault="00DA167F">
      <w:r>
        <w:continuationSeparator/>
      </w:r>
    </w:p>
    <w:p w14:paraId="074090AE" w14:textId="77777777" w:rsidR="00DA167F" w:rsidRDefault="00DA167F"/>
    <w:p w14:paraId="52FB0B99" w14:textId="77777777" w:rsidR="00DA167F" w:rsidRDefault="00DA1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4F621" w14:textId="77777777" w:rsidR="00DA167F" w:rsidRDefault="00DA167F">
      <w:r>
        <w:separator/>
      </w:r>
    </w:p>
  </w:footnote>
  <w:footnote w:type="continuationSeparator" w:id="0">
    <w:p w14:paraId="01B52598" w14:textId="77777777" w:rsidR="00DA167F" w:rsidRDefault="00DA167F">
      <w:pPr>
        <w:spacing w:line="180" w:lineRule="exact"/>
      </w:pPr>
      <w:r>
        <w:continuationSeparator/>
      </w:r>
    </w:p>
    <w:p w14:paraId="1D6FE3C1" w14:textId="77777777" w:rsidR="00DA167F" w:rsidRDefault="00DA167F"/>
    <w:p w14:paraId="68812B0B" w14:textId="77777777" w:rsidR="00DA167F" w:rsidRDefault="00DA167F"/>
  </w:footnote>
  <w:footnote w:type="continuationNotice" w:id="1">
    <w:p w14:paraId="1B0F28E2" w14:textId="77777777" w:rsidR="00DA167F" w:rsidRDefault="00DA167F"/>
    <w:p w14:paraId="2FA02857" w14:textId="77777777" w:rsidR="00DA167F" w:rsidRDefault="00DA167F"/>
    <w:p w14:paraId="2E385AF6" w14:textId="77777777" w:rsidR="00DA167F" w:rsidRDefault="00DA1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DCFF" w14:textId="77777777" w:rsidR="00D35EEB" w:rsidRDefault="00D35EEB" w:rsidP="00D35EEB">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iii</w:t>
    </w:r>
    <w:r>
      <w:rPr>
        <w:rStyle w:val="PageNumber"/>
        <w:rFonts w:cs="Times New Roman"/>
        <w:b w:val="0"/>
        <w:bCs w:val="0"/>
        <w:caps/>
        <w:szCs w:val="24"/>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1EC7" w14:textId="736D3127" w:rsidR="00D35EEB" w:rsidRDefault="00D35EEB" w:rsidP="00D35EEB">
    <w:pPr>
      <w:pStyle w:val="OddHeader"/>
    </w:pPr>
    <w:r>
      <w:tab/>
      <w:t>References and resources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DF9C" w14:textId="0E07EDDD" w:rsidR="00D35EEB" w:rsidRDefault="00D35EEB" w:rsidP="00D35EEB">
    <w:pPr>
      <w:pStyle w:val="OddHeader"/>
    </w:pPr>
    <w:r>
      <w:tab/>
      <w:t>Appendix A</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35D8" w14:textId="1CBDC96A" w:rsidR="00D23D6A" w:rsidRDefault="00D23D6A">
    <w:pPr>
      <w:pStyle w:val="OddHeader"/>
    </w:pPr>
    <w:r>
      <w:tab/>
    </w:r>
    <w:r w:rsidR="00E33D53">
      <w:t>[Section title]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13</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A6D7" w14:textId="089B0977" w:rsidR="00D35EEB" w:rsidRDefault="00D35EEB" w:rsidP="00D35EE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2</w:t>
    </w:r>
    <w:r>
      <w:rPr>
        <w:rStyle w:val="PageNumber"/>
        <w:b w:val="0"/>
        <w:caps/>
        <w:szCs w:val="24"/>
      </w:rPr>
      <w:fldChar w:fldCharType="end"/>
    </w:r>
    <w:r>
      <w:tab/>
    </w:r>
    <w:r w:rsidRPr="00D35EEB">
      <w:t>APVMA Engagement and Communications Strategy for the period 2023–25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3059" w14:textId="05D5C56C" w:rsidR="00D35EEB" w:rsidRDefault="00D35EEB" w:rsidP="00D35EEB">
    <w:pPr>
      <w:pStyle w:val="OddHeader"/>
    </w:pPr>
    <w:r>
      <w:tab/>
      <w:t>Purpose of the Strategy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iii</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4D3B" w14:textId="5B98A7B2" w:rsidR="00D35EEB" w:rsidRDefault="00D35EEB" w:rsidP="001C5832">
    <w:pPr>
      <w:pStyle w:val="OddHeader"/>
      <w:tabs>
        <w:tab w:val="clear" w:pos="9072"/>
        <w:tab w:val="clear" w:pos="9638"/>
        <w:tab w:val="right" w:pos="13750"/>
        <w:tab w:val="right" w:pos="14459"/>
      </w:tabs>
    </w:pPr>
    <w:r>
      <w:tab/>
      <w:t>Process for engagement and communications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iii</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AD53" w14:textId="77777777" w:rsidR="00D35EEB" w:rsidRDefault="00D35EEB" w:rsidP="00D35EE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3</w:t>
    </w:r>
    <w:r>
      <w:rPr>
        <w:rStyle w:val="PageNumber"/>
        <w:b w:val="0"/>
        <w:caps/>
        <w:szCs w:val="24"/>
      </w:rPr>
      <w:fldChar w:fldCharType="end"/>
    </w:r>
    <w:r>
      <w:tab/>
    </w:r>
    <w:r w:rsidRPr="00D35EEB">
      <w:t>APVMA Engagement and Communications Strategy for the period 2023–25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A99D" w14:textId="57CD7396" w:rsidR="00D35EEB" w:rsidRDefault="00D35EEB" w:rsidP="00D35EEB">
    <w:pPr>
      <w:pStyle w:val="OddHeader"/>
      <w:tabs>
        <w:tab w:val="clear" w:pos="9072"/>
        <w:tab w:val="clear" w:pos="9638"/>
        <w:tab w:val="right" w:pos="13608"/>
        <w:tab w:val="right" w:pos="14317"/>
      </w:tabs>
    </w:pPr>
    <w:r>
      <w:tab/>
      <w:t>Challenges for effective engagement and communications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iii</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449A" w14:textId="77777777" w:rsidR="00D35EEB" w:rsidRDefault="00D35EEB" w:rsidP="00D35EEB">
    <w:pPr>
      <w:pStyle w:val="OddHeader"/>
    </w:pPr>
    <w:r>
      <w:tab/>
      <w:t>Purpose of the Strategy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A227" w14:textId="77777777" w:rsidR="00D35EEB" w:rsidRDefault="00D35EEB" w:rsidP="00D35EE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3</w:t>
    </w:r>
    <w:r>
      <w:rPr>
        <w:rStyle w:val="PageNumber"/>
        <w:b w:val="0"/>
        <w:caps/>
        <w:szCs w:val="24"/>
      </w:rPr>
      <w:fldChar w:fldCharType="end"/>
    </w:r>
    <w:r>
      <w:tab/>
    </w:r>
    <w:r w:rsidRPr="00D35EEB">
      <w:t>APVMA Engagement and Communications Strategy for the period 2023–25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A96870"/>
    <w:multiLevelType w:val="hybridMultilevel"/>
    <w:tmpl w:val="D60079AE"/>
    <w:lvl w:ilvl="0" w:tplc="0C09000D">
      <w:start w:val="1"/>
      <w:numFmt w:val="bullet"/>
      <w:lvlText w:val=""/>
      <w:lvlJc w:val="left"/>
      <w:pPr>
        <w:ind w:left="360" w:hanging="360"/>
      </w:pPr>
      <w:rPr>
        <w:rFonts w:ascii="Wingdings" w:hAnsi="Wingdings"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3A9AC2"/>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4619A0"/>
    <w:multiLevelType w:val="hybridMultilevel"/>
    <w:tmpl w:val="D02CCF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758908434">
    <w:abstractNumId w:val="20"/>
  </w:num>
  <w:num w:numId="2" w16cid:durableId="691879875">
    <w:abstractNumId w:val="20"/>
  </w:num>
  <w:num w:numId="3" w16cid:durableId="1130977422">
    <w:abstractNumId w:val="17"/>
  </w:num>
  <w:num w:numId="4" w16cid:durableId="150173289">
    <w:abstractNumId w:val="18"/>
  </w:num>
  <w:num w:numId="5" w16cid:durableId="509753968">
    <w:abstractNumId w:val="17"/>
  </w:num>
  <w:num w:numId="6" w16cid:durableId="1522549552">
    <w:abstractNumId w:val="22"/>
  </w:num>
  <w:num w:numId="7" w16cid:durableId="1288314336">
    <w:abstractNumId w:val="19"/>
  </w:num>
  <w:num w:numId="8" w16cid:durableId="629676653">
    <w:abstractNumId w:val="12"/>
  </w:num>
  <w:num w:numId="9" w16cid:durableId="861211691">
    <w:abstractNumId w:val="10"/>
  </w:num>
  <w:num w:numId="10" w16cid:durableId="798692873">
    <w:abstractNumId w:val="14"/>
  </w:num>
  <w:num w:numId="11" w16cid:durableId="1616910950">
    <w:abstractNumId w:val="16"/>
  </w:num>
  <w:num w:numId="12" w16cid:durableId="1432552700">
    <w:abstractNumId w:val="22"/>
  </w:num>
  <w:num w:numId="13" w16cid:durableId="1689788621">
    <w:abstractNumId w:val="22"/>
  </w:num>
  <w:num w:numId="14" w16cid:durableId="528643746">
    <w:abstractNumId w:val="17"/>
  </w:num>
  <w:num w:numId="15" w16cid:durableId="323053376">
    <w:abstractNumId w:val="12"/>
  </w:num>
  <w:num w:numId="16" w16cid:durableId="995231431">
    <w:abstractNumId w:val="18"/>
  </w:num>
  <w:num w:numId="17" w16cid:durableId="986282784">
    <w:abstractNumId w:val="10"/>
  </w:num>
  <w:num w:numId="18" w16cid:durableId="1025324170">
    <w:abstractNumId w:val="14"/>
  </w:num>
  <w:num w:numId="19" w16cid:durableId="1675261621">
    <w:abstractNumId w:val="20"/>
  </w:num>
  <w:num w:numId="20" w16cid:durableId="645745215">
    <w:abstractNumId w:val="23"/>
  </w:num>
  <w:num w:numId="21" w16cid:durableId="333580444">
    <w:abstractNumId w:val="13"/>
  </w:num>
  <w:num w:numId="22" w16cid:durableId="115874099">
    <w:abstractNumId w:val="22"/>
  </w:num>
  <w:num w:numId="23" w16cid:durableId="1890412662">
    <w:abstractNumId w:val="22"/>
  </w:num>
  <w:num w:numId="24" w16cid:durableId="1703171649">
    <w:abstractNumId w:val="22"/>
  </w:num>
  <w:num w:numId="25" w16cid:durableId="1982080404">
    <w:abstractNumId w:val="22"/>
  </w:num>
  <w:num w:numId="26" w16cid:durableId="176578590">
    <w:abstractNumId w:val="22"/>
  </w:num>
  <w:num w:numId="27" w16cid:durableId="8460168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5034618">
    <w:abstractNumId w:val="9"/>
  </w:num>
  <w:num w:numId="29" w16cid:durableId="10186645">
    <w:abstractNumId w:val="7"/>
  </w:num>
  <w:num w:numId="30" w16cid:durableId="1987128418">
    <w:abstractNumId w:val="6"/>
  </w:num>
  <w:num w:numId="31" w16cid:durableId="942956996">
    <w:abstractNumId w:val="5"/>
  </w:num>
  <w:num w:numId="32" w16cid:durableId="19209830">
    <w:abstractNumId w:val="4"/>
  </w:num>
  <w:num w:numId="33" w16cid:durableId="851453462">
    <w:abstractNumId w:val="8"/>
  </w:num>
  <w:num w:numId="34" w16cid:durableId="1023940300">
    <w:abstractNumId w:val="3"/>
  </w:num>
  <w:num w:numId="35" w16cid:durableId="1447773937">
    <w:abstractNumId w:val="2"/>
  </w:num>
  <w:num w:numId="36" w16cid:durableId="454368465">
    <w:abstractNumId w:val="1"/>
  </w:num>
  <w:num w:numId="37" w16cid:durableId="691498143">
    <w:abstractNumId w:val="0"/>
  </w:num>
  <w:num w:numId="38" w16cid:durableId="1976134315">
    <w:abstractNumId w:val="15"/>
    <w:lvlOverride w:ilvl="0">
      <w:startOverride w:val="1"/>
    </w:lvlOverride>
    <w:lvlOverride w:ilvl="1"/>
    <w:lvlOverride w:ilvl="2"/>
    <w:lvlOverride w:ilvl="3"/>
    <w:lvlOverride w:ilvl="4"/>
    <w:lvlOverride w:ilvl="5"/>
    <w:lvlOverride w:ilvl="6"/>
    <w:lvlOverride w:ilvl="7"/>
    <w:lvlOverride w:ilvl="8"/>
  </w:num>
  <w:num w:numId="39" w16cid:durableId="1194728448">
    <w:abstractNumId w:val="15"/>
  </w:num>
  <w:num w:numId="40" w16cid:durableId="1396782509">
    <w:abstractNumId w:val="11"/>
  </w:num>
  <w:num w:numId="41" w16cid:durableId="787357355">
    <w:abstractNumId w:val="20"/>
  </w:num>
  <w:num w:numId="42" w16cid:durableId="903174892">
    <w:abstractNumId w:val="20"/>
  </w:num>
  <w:num w:numId="43" w16cid:durableId="17647621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22C0B"/>
    <w:rsid w:val="00062682"/>
    <w:rsid w:val="00067828"/>
    <w:rsid w:val="000765C1"/>
    <w:rsid w:val="0008350E"/>
    <w:rsid w:val="00096163"/>
    <w:rsid w:val="000A7EF6"/>
    <w:rsid w:val="000C2C1B"/>
    <w:rsid w:val="000D045A"/>
    <w:rsid w:val="000D49ED"/>
    <w:rsid w:val="000E0435"/>
    <w:rsid w:val="000E372E"/>
    <w:rsid w:val="00120E00"/>
    <w:rsid w:val="001534D8"/>
    <w:rsid w:val="00167BB3"/>
    <w:rsid w:val="00174E15"/>
    <w:rsid w:val="0018216D"/>
    <w:rsid w:val="00184190"/>
    <w:rsid w:val="00193533"/>
    <w:rsid w:val="001A032F"/>
    <w:rsid w:val="001B335C"/>
    <w:rsid w:val="001C5832"/>
    <w:rsid w:val="001C6607"/>
    <w:rsid w:val="001D2D13"/>
    <w:rsid w:val="001D3257"/>
    <w:rsid w:val="001E1C10"/>
    <w:rsid w:val="002331D0"/>
    <w:rsid w:val="0025418F"/>
    <w:rsid w:val="00257205"/>
    <w:rsid w:val="0026493F"/>
    <w:rsid w:val="00280720"/>
    <w:rsid w:val="00282A32"/>
    <w:rsid w:val="002925F9"/>
    <w:rsid w:val="002A3239"/>
    <w:rsid w:val="002A394F"/>
    <w:rsid w:val="002A69DD"/>
    <w:rsid w:val="002B5703"/>
    <w:rsid w:val="002D7779"/>
    <w:rsid w:val="002E20AC"/>
    <w:rsid w:val="002F4591"/>
    <w:rsid w:val="0030255E"/>
    <w:rsid w:val="0031487D"/>
    <w:rsid w:val="00315E0E"/>
    <w:rsid w:val="00347883"/>
    <w:rsid w:val="003506C5"/>
    <w:rsid w:val="00381544"/>
    <w:rsid w:val="00393E2F"/>
    <w:rsid w:val="003A558F"/>
    <w:rsid w:val="003C00BD"/>
    <w:rsid w:val="003C0891"/>
    <w:rsid w:val="003C4055"/>
    <w:rsid w:val="004070E1"/>
    <w:rsid w:val="0041228F"/>
    <w:rsid w:val="0041559F"/>
    <w:rsid w:val="00421EB4"/>
    <w:rsid w:val="004303BF"/>
    <w:rsid w:val="00444045"/>
    <w:rsid w:val="00444FF1"/>
    <w:rsid w:val="00446B16"/>
    <w:rsid w:val="004616C8"/>
    <w:rsid w:val="00461D26"/>
    <w:rsid w:val="00470304"/>
    <w:rsid w:val="00473575"/>
    <w:rsid w:val="00492F90"/>
    <w:rsid w:val="0049603E"/>
    <w:rsid w:val="004D2C4F"/>
    <w:rsid w:val="005064D5"/>
    <w:rsid w:val="00515F30"/>
    <w:rsid w:val="00520963"/>
    <w:rsid w:val="00522E27"/>
    <w:rsid w:val="005527B9"/>
    <w:rsid w:val="00556804"/>
    <w:rsid w:val="00560E83"/>
    <w:rsid w:val="00563297"/>
    <w:rsid w:val="00566590"/>
    <w:rsid w:val="00572131"/>
    <w:rsid w:val="00586757"/>
    <w:rsid w:val="005D1A47"/>
    <w:rsid w:val="006110AE"/>
    <w:rsid w:val="0062466B"/>
    <w:rsid w:val="00643052"/>
    <w:rsid w:val="0064579C"/>
    <w:rsid w:val="00657A28"/>
    <w:rsid w:val="006C08BC"/>
    <w:rsid w:val="006E2753"/>
    <w:rsid w:val="006E33F7"/>
    <w:rsid w:val="00700C27"/>
    <w:rsid w:val="00702B7D"/>
    <w:rsid w:val="007275CF"/>
    <w:rsid w:val="00734103"/>
    <w:rsid w:val="00770B96"/>
    <w:rsid w:val="00794B71"/>
    <w:rsid w:val="0079772A"/>
    <w:rsid w:val="007A27EB"/>
    <w:rsid w:val="007C30B1"/>
    <w:rsid w:val="007C6E04"/>
    <w:rsid w:val="007D2FA8"/>
    <w:rsid w:val="007E13F3"/>
    <w:rsid w:val="007E2CAD"/>
    <w:rsid w:val="007E420B"/>
    <w:rsid w:val="007F0146"/>
    <w:rsid w:val="00832D38"/>
    <w:rsid w:val="008362F6"/>
    <w:rsid w:val="008366A3"/>
    <w:rsid w:val="00847050"/>
    <w:rsid w:val="008545E1"/>
    <w:rsid w:val="00860B66"/>
    <w:rsid w:val="00862E63"/>
    <w:rsid w:val="00892292"/>
    <w:rsid w:val="008B550C"/>
    <w:rsid w:val="008B77A0"/>
    <w:rsid w:val="008C5C0D"/>
    <w:rsid w:val="008C6B9D"/>
    <w:rsid w:val="008E4ED4"/>
    <w:rsid w:val="008F14C4"/>
    <w:rsid w:val="0095647E"/>
    <w:rsid w:val="00972247"/>
    <w:rsid w:val="00980BA8"/>
    <w:rsid w:val="009967FC"/>
    <w:rsid w:val="009A4448"/>
    <w:rsid w:val="009A7614"/>
    <w:rsid w:val="009B6ACE"/>
    <w:rsid w:val="009D0E59"/>
    <w:rsid w:val="009D452E"/>
    <w:rsid w:val="009E2AD6"/>
    <w:rsid w:val="009F16FF"/>
    <w:rsid w:val="00A23729"/>
    <w:rsid w:val="00A2448D"/>
    <w:rsid w:val="00A35765"/>
    <w:rsid w:val="00A6283D"/>
    <w:rsid w:val="00A66116"/>
    <w:rsid w:val="00A77CE7"/>
    <w:rsid w:val="00A87101"/>
    <w:rsid w:val="00AB659C"/>
    <w:rsid w:val="00AF232A"/>
    <w:rsid w:val="00AF5B63"/>
    <w:rsid w:val="00B15647"/>
    <w:rsid w:val="00B27675"/>
    <w:rsid w:val="00B50074"/>
    <w:rsid w:val="00B74318"/>
    <w:rsid w:val="00BA05A9"/>
    <w:rsid w:val="00BA48DA"/>
    <w:rsid w:val="00BC5423"/>
    <w:rsid w:val="00BD021C"/>
    <w:rsid w:val="00BD2289"/>
    <w:rsid w:val="00BD55DB"/>
    <w:rsid w:val="00BD70E8"/>
    <w:rsid w:val="00C06069"/>
    <w:rsid w:val="00C36537"/>
    <w:rsid w:val="00C53C96"/>
    <w:rsid w:val="00C73D24"/>
    <w:rsid w:val="00C95323"/>
    <w:rsid w:val="00C9656F"/>
    <w:rsid w:val="00CA17DC"/>
    <w:rsid w:val="00CC6A6F"/>
    <w:rsid w:val="00CD6650"/>
    <w:rsid w:val="00CE456A"/>
    <w:rsid w:val="00CE7F45"/>
    <w:rsid w:val="00D10F59"/>
    <w:rsid w:val="00D23D6A"/>
    <w:rsid w:val="00D35EEB"/>
    <w:rsid w:val="00D4143D"/>
    <w:rsid w:val="00D505AD"/>
    <w:rsid w:val="00D67788"/>
    <w:rsid w:val="00D874AA"/>
    <w:rsid w:val="00D9318E"/>
    <w:rsid w:val="00D942C8"/>
    <w:rsid w:val="00DA167F"/>
    <w:rsid w:val="00DB3BF5"/>
    <w:rsid w:val="00DC119D"/>
    <w:rsid w:val="00DD08E2"/>
    <w:rsid w:val="00DF3373"/>
    <w:rsid w:val="00E12755"/>
    <w:rsid w:val="00E168D3"/>
    <w:rsid w:val="00E30533"/>
    <w:rsid w:val="00E318E3"/>
    <w:rsid w:val="00E33D53"/>
    <w:rsid w:val="00E35DE7"/>
    <w:rsid w:val="00E41FED"/>
    <w:rsid w:val="00E70840"/>
    <w:rsid w:val="00E92719"/>
    <w:rsid w:val="00E97570"/>
    <w:rsid w:val="00EA511C"/>
    <w:rsid w:val="00EE297E"/>
    <w:rsid w:val="00EE5B09"/>
    <w:rsid w:val="00EF39B1"/>
    <w:rsid w:val="00EF6177"/>
    <w:rsid w:val="00F0383D"/>
    <w:rsid w:val="00F05DDF"/>
    <w:rsid w:val="00F0786E"/>
    <w:rsid w:val="00F30BDA"/>
    <w:rsid w:val="00F51AA7"/>
    <w:rsid w:val="00F56C76"/>
    <w:rsid w:val="00F6733A"/>
    <w:rsid w:val="00F860EC"/>
    <w:rsid w:val="00F87C7E"/>
    <w:rsid w:val="00F916A0"/>
    <w:rsid w:val="00F92A4A"/>
    <w:rsid w:val="00FB0015"/>
    <w:rsid w:val="00FB2FDE"/>
    <w:rsid w:val="00FC09D2"/>
    <w:rsid w:val="00FC198C"/>
    <w:rsid w:val="00FD344F"/>
    <w:rsid w:val="00FE429E"/>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table" w:styleId="TableGrid">
    <w:name w:val="Table Grid"/>
    <w:basedOn w:val="TableNormal"/>
    <w:uiPriority w:val="59"/>
    <w:rsid w:val="001E1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6.xml" Id="rId26" /><Relationship Type="http://schemas.openxmlformats.org/officeDocument/2006/relationships/theme" Target="theme/theme1.xml" Id="rId39" /><Relationship Type="http://schemas.openxmlformats.org/officeDocument/2006/relationships/header" Target="header3.xml" Id="rId21" /><Relationship Type="http://schemas.openxmlformats.org/officeDocument/2006/relationships/header" Target="header10.xml" Id="rId34"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5.xml" Id="rId25" /><Relationship Type="http://schemas.openxmlformats.org/officeDocument/2006/relationships/hyperlink" Target="https://www.finance.gov.au/government/managing-commonwealth-resources/regulator-performance-rmg-128" TargetMode="External" Id="rId33" /><Relationship Type="http://schemas.openxmlformats.org/officeDocument/2006/relationships/fontTable" Target="fontTable.xml" Id="rId38" /><Relationship Type="http://schemas.openxmlformats.org/officeDocument/2006/relationships/hyperlink" Target="mailto:communications@apvma.gov.au" TargetMode="External" Id="rId16" /><Relationship Type="http://schemas.openxmlformats.org/officeDocument/2006/relationships/footer" Target="footer1.xml" Id="rId20" /><Relationship Type="http://schemas.openxmlformats.org/officeDocument/2006/relationships/header" Target="header9.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s://www.industry.gov.au/sites/default/files/August%202021/document/aps-framework-for-engagement-and-participation.pdf" TargetMode="External" Id="rId24" /><Relationship Type="http://schemas.openxmlformats.org/officeDocument/2006/relationships/hyperlink" Target="https://www.industry.gov.au/publications/aps-framework-engagement-and-participation" TargetMode="External" Id="rId32" /><Relationship Type="http://schemas.openxmlformats.org/officeDocument/2006/relationships/header" Target="header12.xml" Id="rId37" /><Relationship Type="http://schemas.openxmlformats.org/officeDocument/2006/relationships/settings" Target="settings.xml" Id="rId5" /><Relationship Type="http://schemas.openxmlformats.org/officeDocument/2006/relationships/hyperlink" Target="http://www.dpmc.gov.au/pmc/publication/commonwealth-coat-arms-information-and-guidelines" TargetMode="External" Id="rId15" /><Relationship Type="http://schemas.openxmlformats.org/officeDocument/2006/relationships/hyperlink" Target="https://www.industry.gov.au/sites/default/files/August%202021/document/aps-framework-for-engagement-and-participation.pdf" TargetMode="External" Id="rId23" /><Relationship Type="http://schemas.openxmlformats.org/officeDocument/2006/relationships/header" Target="header8.xml" Id="rId28" /><Relationship Type="http://schemas.openxmlformats.org/officeDocument/2006/relationships/header" Target="header11.xml" Id="rId36"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hyperlink" Target="https://www.accountability.org/standards/aa1000-stakeholder-engagement-standard/" TargetMode="Externa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4.xml" Id="rId22" /><Relationship Type="http://schemas.openxmlformats.org/officeDocument/2006/relationships/header" Target="header7.xml" Id="rId27" /><Relationship Type="http://schemas.openxmlformats.org/officeDocument/2006/relationships/footer" Target="footer2.xml" Id="rId30" /><Relationship Type="http://schemas.openxmlformats.org/officeDocument/2006/relationships/image" Target="media/image5.png"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R54b771faae804166"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A3034992</value>
    </field>
    <field name="Objective-Title">
      <value order="0">APVMA Engagement and Communications Strategy 2023-2025</value>
    </field>
    <field name="Objective-Description">
      <value order="0"/>
    </field>
    <field name="Objective-CreationStamp">
      <value order="0">2023-05-11T22:20:17Z</value>
    </field>
    <field name="Objective-IsApproved">
      <value order="0">false</value>
    </field>
    <field name="Objective-IsPublished">
      <value order="0">false</value>
    </field>
    <field name="Objective-DatePublished">
      <value order="0"/>
    </field>
    <field name="Objective-ModificationStamp">
      <value order="0">2023-07-05T02:17:00Z</value>
    </field>
    <field name="Objective-Owner">
      <value order="0">Gina Loudon</value>
    </field>
    <field name="Objective-Path">
      <value order="0">APVMA:REFORM AND ENGAGEMENT:Stakeholder Engagement:Stakeholder Engagement - Stakeholder Framework - 2020-2027:02 - Engagement and Communications Framework - 2023 - 2027:02 Engagement and Communications Strategy 2023 - 2025:02 Engagement and Communications Strategy - Development</value>
    </field>
    <field name="Objective-Parent">
      <value order="0">02 Engagement and Communications Strategy - Development</value>
    </field>
    <field name="Objective-State">
      <value order="0">Being Drafted</value>
    </field>
    <field name="Objective-VersionId">
      <value order="0">vA4542472</value>
    </field>
    <field name="Objective-Version">
      <value order="0">6.9</value>
    </field>
    <field name="Objective-VersionNumber">
      <value order="0">25</value>
    </field>
    <field name="Objective-VersionComment">
      <value order="0"/>
    </field>
    <field name="Objective-FileNumber">
      <value order="0">2021\0068</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1315</TotalTime>
  <Pages>1</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APVMA Engagement and Communications Strategy 2023–2025</vt:lpstr>
    </vt:vector>
  </TitlesOfParts>
  <Manager/>
  <Company>Australian Pesticides and Veterinary Medicines Authority</Company>
  <LinksUpToDate>false</LinksUpToDate>
  <CharactersWithSpaces>15416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Engagement and Communications Strategy 2023–25</dc:title>
  <dc:subject/>
  <dc:creator>APVMA</dc:creator>
  <cp:keywords/>
  <dc:description/>
  <cp:lastModifiedBy>BEISSEL, Maudie</cp:lastModifiedBy>
  <cp:revision>29</cp:revision>
  <cp:lastPrinted>2020-11-12T03:52:00Z</cp:lastPrinted>
  <dcterms:created xsi:type="dcterms:W3CDTF">2023-05-11T22:20:00Z</dcterms:created>
  <dcterms:modified xsi:type="dcterms:W3CDTF">2023-07-05T02:16:00Z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A3034992</vt:lpwstr>
  </property>
  <property fmtid="{D5CDD505-2E9C-101B-9397-08002B2CF9AE}" pid="4" name="Objective-Title">
    <vt:lpwstr>APVMA Engagement and Communications Strategy 2023-2025</vt:lpwstr>
  </property>
  <property fmtid="{D5CDD505-2E9C-101B-9397-08002B2CF9AE}" pid="5" name="Objective-Comment">
    <vt:lpwstr/>
  </property>
  <property fmtid="{D5CDD505-2E9C-101B-9397-08002B2CF9AE}" pid="6" name="Objective-CreationStamp">
    <vt:filetime>2023-05-11T22:23:10Z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2023-07-05T02:17:00Z</vt:filetime>
  </property>
  <property fmtid="{D5CDD505-2E9C-101B-9397-08002B2CF9AE}" pid="11" name="Objective-Owner">
    <vt:lpwstr>Gina Loudon</vt:lpwstr>
  </property>
  <property fmtid="{D5CDD505-2E9C-101B-9397-08002B2CF9AE}" pid="12" name="Objective-Path">
    <vt:lpwstr>APVMA:REFORM AND ENGAGEMENT:Stakeholder Engagement:Stakeholder Engagement - Stakeholder Framework - 2020-2027:02 - Engagement and Communications Framework - 2023 - 2027:02 Engagement and Communications Strategy 2023 - 2025:02 Engagement and Communications Strategy - Development:</vt:lpwstr>
  </property>
  <property fmtid="{D5CDD505-2E9C-101B-9397-08002B2CF9AE}" pid="13" name="Objective-Parent">
    <vt:lpwstr>02 Engagement and Communications Strategy - Development</vt:lpwstr>
  </property>
  <property fmtid="{D5CDD505-2E9C-101B-9397-08002B2CF9AE}" pid="14" name="Objective-State">
    <vt:lpwstr>Being Drafted</vt:lpwstr>
  </property>
  <property fmtid="{D5CDD505-2E9C-101B-9397-08002B2CF9AE}" pid="15" name="Objective-Version">
    <vt:lpwstr>6.9</vt:lpwstr>
  </property>
  <property fmtid="{D5CDD505-2E9C-101B-9397-08002B2CF9AE}" pid="16" name="Objective-VersionNumber">
    <vt:r8>25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vA4542472</vt:lpwstr>
  </property>
  <property fmtid="{D5CDD505-2E9C-101B-9397-08002B2CF9AE}" pid="23" name="Objective-Connect Creator">
    <vt:lpwstr/>
  </property>
</Properties>
</file>