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B6C5" w14:textId="77777777" w:rsidR="002F4591" w:rsidRDefault="002F4591" w:rsidP="00790A8E">
      <w:pPr>
        <w:pStyle w:val="APVMACoverTitle"/>
        <w:spacing w:before="1440"/>
        <w:jc w:val="center"/>
      </w:pPr>
      <w:bookmarkStart w:id="0" w:name="_Toc168724484"/>
      <w:r w:rsidRPr="005D1A47">
        <w:rPr>
          <w:noProof/>
        </w:rPr>
        <w:drawing>
          <wp:inline distT="0" distB="0" distL="0" distR="0" wp14:anchorId="7D670F6D" wp14:editId="784DAC40">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36543983">
            <wp:extent cx="2685600" cy="2445923"/>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6F72D737" w:rsidR="003C0891" w:rsidRDefault="006D36C8" w:rsidP="00193533">
      <w:pPr>
        <w:pStyle w:val="APVMACoverSubtitle"/>
        <w:jc w:val="center"/>
      </w:pPr>
      <w:r>
        <w:t xml:space="preserve">on </w:t>
      </w:r>
      <w:r w:rsidR="00204739">
        <w:t>mefentrifluconazole</w:t>
      </w:r>
      <w:r>
        <w:t xml:space="preserve"> in the product </w:t>
      </w:r>
      <w:r w:rsidR="00204739">
        <w:t>Belanty</w:t>
      </w:r>
      <w:r w:rsidR="00204739" w:rsidRPr="00204739">
        <w:rPr>
          <w:vertAlign w:val="superscript"/>
        </w:rPr>
        <w:t>®</w:t>
      </w:r>
      <w:r>
        <w:t xml:space="preserve"> </w:t>
      </w:r>
      <w:r w:rsidR="00BF6983">
        <w:t xml:space="preserve">Fungicide </w:t>
      </w:r>
      <w:r>
        <w:t xml:space="preserve">for use on </w:t>
      </w:r>
      <w:r w:rsidR="00204739">
        <w:t>cotton</w:t>
      </w:r>
    </w:p>
    <w:p w14:paraId="7FB897BF" w14:textId="26E75C54" w:rsidR="006D36C8" w:rsidRDefault="006D36C8" w:rsidP="00193533">
      <w:pPr>
        <w:pStyle w:val="APVMACoverSubtitle"/>
        <w:jc w:val="center"/>
      </w:pPr>
      <w:r>
        <w:t xml:space="preserve">APVMA product number </w:t>
      </w:r>
      <w:r w:rsidR="00204739">
        <w:t>84344</w:t>
      </w:r>
    </w:p>
    <w:p w14:paraId="5C6E8565" w14:textId="4E015C60" w:rsidR="00193533" w:rsidRPr="00E41FED" w:rsidRDefault="00204739" w:rsidP="00957A91">
      <w:pPr>
        <w:pStyle w:val="APVMA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January 2024</w:t>
      </w:r>
    </w:p>
    <w:p w14:paraId="170061D7" w14:textId="68E87C42" w:rsidR="00862E63" w:rsidRPr="005C0ACC" w:rsidRDefault="00862E63" w:rsidP="00021A6A">
      <w:pPr>
        <w:pStyle w:val="Copyrightpage"/>
      </w:pPr>
      <w:r w:rsidRPr="005C0ACC">
        <w:lastRenderedPageBreak/>
        <w:t xml:space="preserve">© Australian Pesticides and Veterinary Medicines Authority </w:t>
      </w:r>
      <w:r w:rsidR="00204739" w:rsidRPr="00204739">
        <w:t>2024</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7B4A3DF7" w14:textId="53DD759A" w:rsidR="00862E63" w:rsidRPr="00021A6A" w:rsidRDefault="00021A6A" w:rsidP="00021A6A">
      <w:pPr>
        <w:pStyle w:val="Copyrightpage"/>
        <w:rPr>
          <w:b/>
        </w:rPr>
      </w:pPr>
      <w:r w:rsidRPr="00021A6A">
        <w:rPr>
          <w:b/>
        </w:rPr>
        <w:t>Photographic credits</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1470303F"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8C5C0D">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3AD327FA" w14:textId="140F6955" w:rsidR="00985E58" w:rsidRDefault="005064D5">
      <w:pPr>
        <w:pStyle w:val="TOC1"/>
        <w:rPr>
          <w:rFonts w:asciiTheme="minorHAnsi" w:eastAsiaTheme="minorEastAsia" w:hAnsiTheme="minorHAnsi" w:cstheme="minorBidi"/>
          <w:bCs w:val="0"/>
          <w:color w:val="auto"/>
          <w:kern w:val="2"/>
          <w:sz w:val="22"/>
          <w:szCs w:val="22"/>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55278357" w:history="1">
        <w:r w:rsidR="00985E58" w:rsidRPr="004C43C4">
          <w:rPr>
            <w:rStyle w:val="Hyperlink"/>
          </w:rPr>
          <w:t>Preface</w:t>
        </w:r>
        <w:r w:rsidR="00985E58">
          <w:rPr>
            <w:webHidden/>
          </w:rPr>
          <w:tab/>
        </w:r>
        <w:r w:rsidR="00985E58">
          <w:rPr>
            <w:webHidden/>
          </w:rPr>
          <w:fldChar w:fldCharType="begin"/>
        </w:r>
        <w:r w:rsidR="00985E58">
          <w:rPr>
            <w:webHidden/>
          </w:rPr>
          <w:instrText xml:space="preserve"> PAGEREF _Toc155278357 \h </w:instrText>
        </w:r>
        <w:r w:rsidR="00985E58">
          <w:rPr>
            <w:webHidden/>
          </w:rPr>
        </w:r>
        <w:r w:rsidR="00985E58">
          <w:rPr>
            <w:webHidden/>
          </w:rPr>
          <w:fldChar w:fldCharType="separate"/>
        </w:r>
        <w:r w:rsidR="00985E58">
          <w:rPr>
            <w:webHidden/>
          </w:rPr>
          <w:t>1</w:t>
        </w:r>
        <w:r w:rsidR="00985E58">
          <w:rPr>
            <w:webHidden/>
          </w:rPr>
          <w:fldChar w:fldCharType="end"/>
        </w:r>
      </w:hyperlink>
    </w:p>
    <w:p w14:paraId="51B18759" w14:textId="7EEDE6BA"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58" w:history="1">
        <w:r w:rsidR="00985E58" w:rsidRPr="004C43C4">
          <w:rPr>
            <w:rStyle w:val="Hyperlink"/>
          </w:rPr>
          <w:t>About this document</w:t>
        </w:r>
        <w:r w:rsidR="00985E58">
          <w:rPr>
            <w:webHidden/>
          </w:rPr>
          <w:tab/>
        </w:r>
        <w:r w:rsidR="00985E58">
          <w:rPr>
            <w:webHidden/>
          </w:rPr>
          <w:fldChar w:fldCharType="begin"/>
        </w:r>
        <w:r w:rsidR="00985E58">
          <w:rPr>
            <w:webHidden/>
          </w:rPr>
          <w:instrText xml:space="preserve"> PAGEREF _Toc155278358 \h </w:instrText>
        </w:r>
        <w:r w:rsidR="00985E58">
          <w:rPr>
            <w:webHidden/>
          </w:rPr>
        </w:r>
        <w:r w:rsidR="00985E58">
          <w:rPr>
            <w:webHidden/>
          </w:rPr>
          <w:fldChar w:fldCharType="separate"/>
        </w:r>
        <w:r w:rsidR="00985E58">
          <w:rPr>
            <w:webHidden/>
          </w:rPr>
          <w:t>1</w:t>
        </w:r>
        <w:r w:rsidR="00985E58">
          <w:rPr>
            <w:webHidden/>
          </w:rPr>
          <w:fldChar w:fldCharType="end"/>
        </w:r>
      </w:hyperlink>
    </w:p>
    <w:p w14:paraId="22A23FE5" w14:textId="6A530E0C"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59" w:history="1">
        <w:r w:rsidR="00985E58" w:rsidRPr="004C43C4">
          <w:rPr>
            <w:rStyle w:val="Hyperlink"/>
          </w:rPr>
          <w:t>Making a submission</w:t>
        </w:r>
        <w:r w:rsidR="00985E58">
          <w:rPr>
            <w:webHidden/>
          </w:rPr>
          <w:tab/>
        </w:r>
        <w:r w:rsidR="00985E58">
          <w:rPr>
            <w:webHidden/>
          </w:rPr>
          <w:fldChar w:fldCharType="begin"/>
        </w:r>
        <w:r w:rsidR="00985E58">
          <w:rPr>
            <w:webHidden/>
          </w:rPr>
          <w:instrText xml:space="preserve"> PAGEREF _Toc155278359 \h </w:instrText>
        </w:r>
        <w:r w:rsidR="00985E58">
          <w:rPr>
            <w:webHidden/>
          </w:rPr>
        </w:r>
        <w:r w:rsidR="00985E58">
          <w:rPr>
            <w:webHidden/>
          </w:rPr>
          <w:fldChar w:fldCharType="separate"/>
        </w:r>
        <w:r w:rsidR="00985E58">
          <w:rPr>
            <w:webHidden/>
          </w:rPr>
          <w:t>1</w:t>
        </w:r>
        <w:r w:rsidR="00985E58">
          <w:rPr>
            <w:webHidden/>
          </w:rPr>
          <w:fldChar w:fldCharType="end"/>
        </w:r>
      </w:hyperlink>
    </w:p>
    <w:p w14:paraId="4579F082" w14:textId="0B2B3DA0"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60" w:history="1">
        <w:r w:rsidR="00985E58" w:rsidRPr="004C43C4">
          <w:rPr>
            <w:rStyle w:val="Hyperlink"/>
          </w:rPr>
          <w:t>Further information</w:t>
        </w:r>
        <w:r w:rsidR="00985E58">
          <w:rPr>
            <w:webHidden/>
          </w:rPr>
          <w:tab/>
        </w:r>
        <w:r w:rsidR="00985E58">
          <w:rPr>
            <w:webHidden/>
          </w:rPr>
          <w:fldChar w:fldCharType="begin"/>
        </w:r>
        <w:r w:rsidR="00985E58">
          <w:rPr>
            <w:webHidden/>
          </w:rPr>
          <w:instrText xml:space="preserve"> PAGEREF _Toc155278360 \h </w:instrText>
        </w:r>
        <w:r w:rsidR="00985E58">
          <w:rPr>
            <w:webHidden/>
          </w:rPr>
        </w:r>
        <w:r w:rsidR="00985E58">
          <w:rPr>
            <w:webHidden/>
          </w:rPr>
          <w:fldChar w:fldCharType="separate"/>
        </w:r>
        <w:r w:rsidR="00985E58">
          <w:rPr>
            <w:webHidden/>
          </w:rPr>
          <w:t>2</w:t>
        </w:r>
        <w:r w:rsidR="00985E58">
          <w:rPr>
            <w:webHidden/>
          </w:rPr>
          <w:fldChar w:fldCharType="end"/>
        </w:r>
      </w:hyperlink>
    </w:p>
    <w:p w14:paraId="720C8D88" w14:textId="50DFDD2E" w:rsidR="00985E58"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278361" w:history="1">
        <w:r w:rsidR="00985E58" w:rsidRPr="004C43C4">
          <w:rPr>
            <w:rStyle w:val="Hyperlink"/>
          </w:rPr>
          <w:t>Introduction</w:t>
        </w:r>
        <w:r w:rsidR="00985E58">
          <w:rPr>
            <w:webHidden/>
          </w:rPr>
          <w:tab/>
        </w:r>
        <w:r w:rsidR="00985E58">
          <w:rPr>
            <w:webHidden/>
          </w:rPr>
          <w:fldChar w:fldCharType="begin"/>
        </w:r>
        <w:r w:rsidR="00985E58">
          <w:rPr>
            <w:webHidden/>
          </w:rPr>
          <w:instrText xml:space="preserve"> PAGEREF _Toc155278361 \h </w:instrText>
        </w:r>
        <w:r w:rsidR="00985E58">
          <w:rPr>
            <w:webHidden/>
          </w:rPr>
        </w:r>
        <w:r w:rsidR="00985E58">
          <w:rPr>
            <w:webHidden/>
          </w:rPr>
          <w:fldChar w:fldCharType="separate"/>
        </w:r>
        <w:r w:rsidR="00985E58">
          <w:rPr>
            <w:webHidden/>
          </w:rPr>
          <w:t>3</w:t>
        </w:r>
        <w:r w:rsidR="00985E58">
          <w:rPr>
            <w:webHidden/>
          </w:rPr>
          <w:fldChar w:fldCharType="end"/>
        </w:r>
      </w:hyperlink>
    </w:p>
    <w:p w14:paraId="669E803B" w14:textId="5F021380" w:rsidR="00985E58"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278362" w:history="1">
        <w:r w:rsidR="00985E58" w:rsidRPr="004C43C4">
          <w:rPr>
            <w:rStyle w:val="Hyperlink"/>
          </w:rPr>
          <w:t>Trade considerations</w:t>
        </w:r>
        <w:r w:rsidR="00985E58">
          <w:rPr>
            <w:webHidden/>
          </w:rPr>
          <w:tab/>
        </w:r>
        <w:r w:rsidR="00985E58">
          <w:rPr>
            <w:webHidden/>
          </w:rPr>
          <w:fldChar w:fldCharType="begin"/>
        </w:r>
        <w:r w:rsidR="00985E58">
          <w:rPr>
            <w:webHidden/>
          </w:rPr>
          <w:instrText xml:space="preserve"> PAGEREF _Toc155278362 \h </w:instrText>
        </w:r>
        <w:r w:rsidR="00985E58">
          <w:rPr>
            <w:webHidden/>
          </w:rPr>
        </w:r>
        <w:r w:rsidR="00985E58">
          <w:rPr>
            <w:webHidden/>
          </w:rPr>
          <w:fldChar w:fldCharType="separate"/>
        </w:r>
        <w:r w:rsidR="00985E58">
          <w:rPr>
            <w:webHidden/>
          </w:rPr>
          <w:t>4</w:t>
        </w:r>
        <w:r w:rsidR="00985E58">
          <w:rPr>
            <w:webHidden/>
          </w:rPr>
          <w:fldChar w:fldCharType="end"/>
        </w:r>
      </w:hyperlink>
    </w:p>
    <w:p w14:paraId="69AA51F0" w14:textId="2DA7BDBE"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63" w:history="1">
        <w:r w:rsidR="00985E58" w:rsidRPr="004C43C4">
          <w:rPr>
            <w:rStyle w:val="Hyperlink"/>
          </w:rPr>
          <w:t>Commodities exported</w:t>
        </w:r>
        <w:r w:rsidR="00985E58">
          <w:rPr>
            <w:webHidden/>
          </w:rPr>
          <w:tab/>
        </w:r>
        <w:r w:rsidR="00985E58">
          <w:rPr>
            <w:webHidden/>
          </w:rPr>
          <w:fldChar w:fldCharType="begin"/>
        </w:r>
        <w:r w:rsidR="00985E58">
          <w:rPr>
            <w:webHidden/>
          </w:rPr>
          <w:instrText xml:space="preserve"> PAGEREF _Toc155278363 \h </w:instrText>
        </w:r>
        <w:r w:rsidR="00985E58">
          <w:rPr>
            <w:webHidden/>
          </w:rPr>
        </w:r>
        <w:r w:rsidR="00985E58">
          <w:rPr>
            <w:webHidden/>
          </w:rPr>
          <w:fldChar w:fldCharType="separate"/>
        </w:r>
        <w:r w:rsidR="00985E58">
          <w:rPr>
            <w:webHidden/>
          </w:rPr>
          <w:t>4</w:t>
        </w:r>
        <w:r w:rsidR="00985E58">
          <w:rPr>
            <w:webHidden/>
          </w:rPr>
          <w:fldChar w:fldCharType="end"/>
        </w:r>
      </w:hyperlink>
    </w:p>
    <w:p w14:paraId="461663B7" w14:textId="02D50597"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64" w:history="1">
        <w:r w:rsidR="00985E58" w:rsidRPr="004C43C4">
          <w:rPr>
            <w:rStyle w:val="Hyperlink"/>
          </w:rPr>
          <w:t>Destination and value of exports</w:t>
        </w:r>
        <w:r w:rsidR="00985E58">
          <w:rPr>
            <w:webHidden/>
          </w:rPr>
          <w:tab/>
        </w:r>
        <w:r w:rsidR="00985E58">
          <w:rPr>
            <w:webHidden/>
          </w:rPr>
          <w:fldChar w:fldCharType="begin"/>
        </w:r>
        <w:r w:rsidR="00985E58">
          <w:rPr>
            <w:webHidden/>
          </w:rPr>
          <w:instrText xml:space="preserve"> PAGEREF _Toc155278364 \h </w:instrText>
        </w:r>
        <w:r w:rsidR="00985E58">
          <w:rPr>
            <w:webHidden/>
          </w:rPr>
        </w:r>
        <w:r w:rsidR="00985E58">
          <w:rPr>
            <w:webHidden/>
          </w:rPr>
          <w:fldChar w:fldCharType="separate"/>
        </w:r>
        <w:r w:rsidR="00985E58">
          <w:rPr>
            <w:webHidden/>
          </w:rPr>
          <w:t>4</w:t>
        </w:r>
        <w:r w:rsidR="00985E58">
          <w:rPr>
            <w:webHidden/>
          </w:rPr>
          <w:fldChar w:fldCharType="end"/>
        </w:r>
      </w:hyperlink>
    </w:p>
    <w:p w14:paraId="63FC4329" w14:textId="37F7BB96"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65" w:history="1">
        <w:r w:rsidR="00985E58" w:rsidRPr="004C43C4">
          <w:rPr>
            <w:rStyle w:val="Hyperlink"/>
          </w:rPr>
          <w:t>Proposed Australian use pattern</w:t>
        </w:r>
        <w:r w:rsidR="00985E58">
          <w:rPr>
            <w:webHidden/>
          </w:rPr>
          <w:tab/>
        </w:r>
        <w:r w:rsidR="00985E58">
          <w:rPr>
            <w:webHidden/>
          </w:rPr>
          <w:fldChar w:fldCharType="begin"/>
        </w:r>
        <w:r w:rsidR="00985E58">
          <w:rPr>
            <w:webHidden/>
          </w:rPr>
          <w:instrText xml:space="preserve"> PAGEREF _Toc155278365 \h </w:instrText>
        </w:r>
        <w:r w:rsidR="00985E58">
          <w:rPr>
            <w:webHidden/>
          </w:rPr>
        </w:r>
        <w:r w:rsidR="00985E58">
          <w:rPr>
            <w:webHidden/>
          </w:rPr>
          <w:fldChar w:fldCharType="separate"/>
        </w:r>
        <w:r w:rsidR="00985E58">
          <w:rPr>
            <w:webHidden/>
          </w:rPr>
          <w:t>4</w:t>
        </w:r>
        <w:r w:rsidR="00985E58">
          <w:rPr>
            <w:webHidden/>
          </w:rPr>
          <w:fldChar w:fldCharType="end"/>
        </w:r>
      </w:hyperlink>
    </w:p>
    <w:p w14:paraId="5FA97A5F" w14:textId="1D13F86D" w:rsidR="00985E58" w:rsidRDefault="00000000">
      <w:pPr>
        <w:pStyle w:val="TOC3"/>
        <w:rPr>
          <w:rFonts w:asciiTheme="minorHAnsi" w:eastAsiaTheme="minorEastAsia" w:hAnsiTheme="minorHAnsi" w:cstheme="minorBidi"/>
          <w:kern w:val="2"/>
          <w:sz w:val="22"/>
          <w:szCs w:val="22"/>
          <w:lang w:eastAsia="en-AU"/>
          <w14:ligatures w14:val="standardContextual"/>
        </w:rPr>
      </w:pPr>
      <w:hyperlink w:anchor="_Toc155278366" w:history="1">
        <w:r w:rsidR="00985E58" w:rsidRPr="004C43C4">
          <w:rPr>
            <w:rStyle w:val="Hyperlink"/>
          </w:rPr>
          <w:t>Restraints</w:t>
        </w:r>
        <w:r w:rsidR="00985E58">
          <w:rPr>
            <w:webHidden/>
          </w:rPr>
          <w:tab/>
        </w:r>
        <w:r w:rsidR="00985E58">
          <w:rPr>
            <w:webHidden/>
          </w:rPr>
          <w:fldChar w:fldCharType="begin"/>
        </w:r>
        <w:r w:rsidR="00985E58">
          <w:rPr>
            <w:webHidden/>
          </w:rPr>
          <w:instrText xml:space="preserve"> PAGEREF _Toc155278366 \h </w:instrText>
        </w:r>
        <w:r w:rsidR="00985E58">
          <w:rPr>
            <w:webHidden/>
          </w:rPr>
        </w:r>
        <w:r w:rsidR="00985E58">
          <w:rPr>
            <w:webHidden/>
          </w:rPr>
          <w:fldChar w:fldCharType="separate"/>
        </w:r>
        <w:r w:rsidR="00985E58">
          <w:rPr>
            <w:webHidden/>
          </w:rPr>
          <w:t>4</w:t>
        </w:r>
        <w:r w:rsidR="00985E58">
          <w:rPr>
            <w:webHidden/>
          </w:rPr>
          <w:fldChar w:fldCharType="end"/>
        </w:r>
      </w:hyperlink>
    </w:p>
    <w:p w14:paraId="03C87FBB" w14:textId="4A5336D0" w:rsidR="00985E58" w:rsidRDefault="00000000">
      <w:pPr>
        <w:pStyle w:val="TOC3"/>
        <w:rPr>
          <w:rFonts w:asciiTheme="minorHAnsi" w:eastAsiaTheme="minorEastAsia" w:hAnsiTheme="minorHAnsi" w:cstheme="minorBidi"/>
          <w:kern w:val="2"/>
          <w:sz w:val="22"/>
          <w:szCs w:val="22"/>
          <w:lang w:eastAsia="en-AU"/>
          <w14:ligatures w14:val="standardContextual"/>
        </w:rPr>
      </w:pPr>
      <w:hyperlink w:anchor="_Toc155278367" w:history="1">
        <w:r w:rsidR="00985E58" w:rsidRPr="004C43C4">
          <w:rPr>
            <w:rStyle w:val="Hyperlink"/>
          </w:rPr>
          <w:t>Withholding periods</w:t>
        </w:r>
        <w:r w:rsidR="00985E58">
          <w:rPr>
            <w:webHidden/>
          </w:rPr>
          <w:tab/>
        </w:r>
        <w:r w:rsidR="00985E58">
          <w:rPr>
            <w:webHidden/>
          </w:rPr>
          <w:fldChar w:fldCharType="begin"/>
        </w:r>
        <w:r w:rsidR="00985E58">
          <w:rPr>
            <w:webHidden/>
          </w:rPr>
          <w:instrText xml:space="preserve"> PAGEREF _Toc155278367 \h </w:instrText>
        </w:r>
        <w:r w:rsidR="00985E58">
          <w:rPr>
            <w:webHidden/>
          </w:rPr>
        </w:r>
        <w:r w:rsidR="00985E58">
          <w:rPr>
            <w:webHidden/>
          </w:rPr>
          <w:fldChar w:fldCharType="separate"/>
        </w:r>
        <w:r w:rsidR="00985E58">
          <w:rPr>
            <w:webHidden/>
          </w:rPr>
          <w:t>5</w:t>
        </w:r>
        <w:r w:rsidR="00985E58">
          <w:rPr>
            <w:webHidden/>
          </w:rPr>
          <w:fldChar w:fldCharType="end"/>
        </w:r>
      </w:hyperlink>
    </w:p>
    <w:p w14:paraId="3DD8EE05" w14:textId="6EFE55C6"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68" w:history="1">
        <w:r w:rsidR="00985E58" w:rsidRPr="004C43C4">
          <w:rPr>
            <w:rStyle w:val="Hyperlink"/>
          </w:rPr>
          <w:t>Results from residues trials presented to the APVMA</w:t>
        </w:r>
        <w:r w:rsidR="00985E58">
          <w:rPr>
            <w:webHidden/>
          </w:rPr>
          <w:tab/>
        </w:r>
        <w:r w:rsidR="00985E58">
          <w:rPr>
            <w:webHidden/>
          </w:rPr>
          <w:fldChar w:fldCharType="begin"/>
        </w:r>
        <w:r w:rsidR="00985E58">
          <w:rPr>
            <w:webHidden/>
          </w:rPr>
          <w:instrText xml:space="preserve"> PAGEREF _Toc155278368 \h </w:instrText>
        </w:r>
        <w:r w:rsidR="00985E58">
          <w:rPr>
            <w:webHidden/>
          </w:rPr>
        </w:r>
        <w:r w:rsidR="00985E58">
          <w:rPr>
            <w:webHidden/>
          </w:rPr>
          <w:fldChar w:fldCharType="separate"/>
        </w:r>
        <w:r w:rsidR="00985E58">
          <w:rPr>
            <w:webHidden/>
          </w:rPr>
          <w:t>5</w:t>
        </w:r>
        <w:r w:rsidR="00985E58">
          <w:rPr>
            <w:webHidden/>
          </w:rPr>
          <w:fldChar w:fldCharType="end"/>
        </w:r>
      </w:hyperlink>
    </w:p>
    <w:p w14:paraId="462FFB6D" w14:textId="2F4D536B" w:rsidR="00985E58" w:rsidRDefault="00000000">
      <w:pPr>
        <w:pStyle w:val="TOC3"/>
        <w:rPr>
          <w:rFonts w:asciiTheme="minorHAnsi" w:eastAsiaTheme="minorEastAsia" w:hAnsiTheme="minorHAnsi" w:cstheme="minorBidi"/>
          <w:kern w:val="2"/>
          <w:sz w:val="22"/>
          <w:szCs w:val="22"/>
          <w:lang w:eastAsia="en-AU"/>
          <w14:ligatures w14:val="standardContextual"/>
        </w:rPr>
      </w:pPr>
      <w:hyperlink w:anchor="_Toc155278369" w:history="1">
        <w:r w:rsidR="00985E58" w:rsidRPr="004C43C4">
          <w:rPr>
            <w:rStyle w:val="Hyperlink"/>
          </w:rPr>
          <w:t>Cotton gin-byproducts</w:t>
        </w:r>
        <w:r w:rsidR="00985E58">
          <w:rPr>
            <w:webHidden/>
          </w:rPr>
          <w:tab/>
        </w:r>
        <w:r w:rsidR="00985E58">
          <w:rPr>
            <w:webHidden/>
          </w:rPr>
          <w:fldChar w:fldCharType="begin"/>
        </w:r>
        <w:r w:rsidR="00985E58">
          <w:rPr>
            <w:webHidden/>
          </w:rPr>
          <w:instrText xml:space="preserve"> PAGEREF _Toc155278369 \h </w:instrText>
        </w:r>
        <w:r w:rsidR="00985E58">
          <w:rPr>
            <w:webHidden/>
          </w:rPr>
        </w:r>
        <w:r w:rsidR="00985E58">
          <w:rPr>
            <w:webHidden/>
          </w:rPr>
          <w:fldChar w:fldCharType="separate"/>
        </w:r>
        <w:r w:rsidR="00985E58">
          <w:rPr>
            <w:webHidden/>
          </w:rPr>
          <w:t>6</w:t>
        </w:r>
        <w:r w:rsidR="00985E58">
          <w:rPr>
            <w:webHidden/>
          </w:rPr>
          <w:fldChar w:fldCharType="end"/>
        </w:r>
      </w:hyperlink>
    </w:p>
    <w:p w14:paraId="39CD549F" w14:textId="4B93474D" w:rsidR="00985E58" w:rsidRDefault="00000000">
      <w:pPr>
        <w:pStyle w:val="TOC3"/>
        <w:rPr>
          <w:rFonts w:asciiTheme="minorHAnsi" w:eastAsiaTheme="minorEastAsia" w:hAnsiTheme="minorHAnsi" w:cstheme="minorBidi"/>
          <w:kern w:val="2"/>
          <w:sz w:val="22"/>
          <w:szCs w:val="22"/>
          <w:lang w:eastAsia="en-AU"/>
          <w14:ligatures w14:val="standardContextual"/>
        </w:rPr>
      </w:pPr>
      <w:hyperlink w:anchor="_Toc155278370" w:history="1">
        <w:r w:rsidR="00985E58" w:rsidRPr="004C43C4">
          <w:rPr>
            <w:rStyle w:val="Hyperlink"/>
          </w:rPr>
          <w:t>Processing studies</w:t>
        </w:r>
        <w:r w:rsidR="00985E58">
          <w:rPr>
            <w:webHidden/>
          </w:rPr>
          <w:tab/>
        </w:r>
        <w:r w:rsidR="00985E58">
          <w:rPr>
            <w:webHidden/>
          </w:rPr>
          <w:fldChar w:fldCharType="begin"/>
        </w:r>
        <w:r w:rsidR="00985E58">
          <w:rPr>
            <w:webHidden/>
          </w:rPr>
          <w:instrText xml:space="preserve"> PAGEREF _Toc155278370 \h </w:instrText>
        </w:r>
        <w:r w:rsidR="00985E58">
          <w:rPr>
            <w:webHidden/>
          </w:rPr>
        </w:r>
        <w:r w:rsidR="00985E58">
          <w:rPr>
            <w:webHidden/>
          </w:rPr>
          <w:fldChar w:fldCharType="separate"/>
        </w:r>
        <w:r w:rsidR="00985E58">
          <w:rPr>
            <w:webHidden/>
          </w:rPr>
          <w:t>6</w:t>
        </w:r>
        <w:r w:rsidR="00985E58">
          <w:rPr>
            <w:webHidden/>
          </w:rPr>
          <w:fldChar w:fldCharType="end"/>
        </w:r>
      </w:hyperlink>
    </w:p>
    <w:p w14:paraId="1534314E" w14:textId="7D2037DE"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71" w:history="1">
        <w:r w:rsidR="00985E58" w:rsidRPr="004C43C4">
          <w:rPr>
            <w:rStyle w:val="Hyperlink"/>
          </w:rPr>
          <w:t>Overseas registration and approved label instructions</w:t>
        </w:r>
        <w:r w:rsidR="00985E58">
          <w:rPr>
            <w:webHidden/>
          </w:rPr>
          <w:tab/>
        </w:r>
        <w:r w:rsidR="00985E58">
          <w:rPr>
            <w:webHidden/>
          </w:rPr>
          <w:fldChar w:fldCharType="begin"/>
        </w:r>
        <w:r w:rsidR="00985E58">
          <w:rPr>
            <w:webHidden/>
          </w:rPr>
          <w:instrText xml:space="preserve"> PAGEREF _Toc155278371 \h </w:instrText>
        </w:r>
        <w:r w:rsidR="00985E58">
          <w:rPr>
            <w:webHidden/>
          </w:rPr>
        </w:r>
        <w:r w:rsidR="00985E58">
          <w:rPr>
            <w:webHidden/>
          </w:rPr>
          <w:fldChar w:fldCharType="separate"/>
        </w:r>
        <w:r w:rsidR="00985E58">
          <w:rPr>
            <w:webHidden/>
          </w:rPr>
          <w:t>6</w:t>
        </w:r>
        <w:r w:rsidR="00985E58">
          <w:rPr>
            <w:webHidden/>
          </w:rPr>
          <w:fldChar w:fldCharType="end"/>
        </w:r>
      </w:hyperlink>
    </w:p>
    <w:p w14:paraId="0E543323" w14:textId="1FCCBBDC"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72" w:history="1">
        <w:r w:rsidR="00985E58" w:rsidRPr="004C43C4">
          <w:rPr>
            <w:rStyle w:val="Hyperlink"/>
          </w:rPr>
          <w:t>Codex Alimentarius Commission and overseas MRLs</w:t>
        </w:r>
        <w:r w:rsidR="00985E58">
          <w:rPr>
            <w:webHidden/>
          </w:rPr>
          <w:tab/>
        </w:r>
        <w:r w:rsidR="00985E58">
          <w:rPr>
            <w:webHidden/>
          </w:rPr>
          <w:fldChar w:fldCharType="begin"/>
        </w:r>
        <w:r w:rsidR="00985E58">
          <w:rPr>
            <w:webHidden/>
          </w:rPr>
          <w:instrText xml:space="preserve"> PAGEREF _Toc155278372 \h </w:instrText>
        </w:r>
        <w:r w:rsidR="00985E58">
          <w:rPr>
            <w:webHidden/>
          </w:rPr>
        </w:r>
        <w:r w:rsidR="00985E58">
          <w:rPr>
            <w:webHidden/>
          </w:rPr>
          <w:fldChar w:fldCharType="separate"/>
        </w:r>
        <w:r w:rsidR="00985E58">
          <w:rPr>
            <w:webHidden/>
          </w:rPr>
          <w:t>6</w:t>
        </w:r>
        <w:r w:rsidR="00985E58">
          <w:rPr>
            <w:webHidden/>
          </w:rPr>
          <w:fldChar w:fldCharType="end"/>
        </w:r>
      </w:hyperlink>
    </w:p>
    <w:p w14:paraId="4F3A893A" w14:textId="6D15D60F"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73" w:history="1">
        <w:r w:rsidR="00985E58" w:rsidRPr="004C43C4">
          <w:rPr>
            <w:rStyle w:val="Hyperlink"/>
          </w:rPr>
          <w:t>Current and proposed Australian MRLs for mefentrifluconazole</w:t>
        </w:r>
        <w:r w:rsidR="00985E58">
          <w:rPr>
            <w:webHidden/>
          </w:rPr>
          <w:tab/>
        </w:r>
        <w:r w:rsidR="00985E58">
          <w:rPr>
            <w:webHidden/>
          </w:rPr>
          <w:fldChar w:fldCharType="begin"/>
        </w:r>
        <w:r w:rsidR="00985E58">
          <w:rPr>
            <w:webHidden/>
          </w:rPr>
          <w:instrText xml:space="preserve"> PAGEREF _Toc155278373 \h </w:instrText>
        </w:r>
        <w:r w:rsidR="00985E58">
          <w:rPr>
            <w:webHidden/>
          </w:rPr>
        </w:r>
        <w:r w:rsidR="00985E58">
          <w:rPr>
            <w:webHidden/>
          </w:rPr>
          <w:fldChar w:fldCharType="separate"/>
        </w:r>
        <w:r w:rsidR="00985E58">
          <w:rPr>
            <w:webHidden/>
          </w:rPr>
          <w:t>8</w:t>
        </w:r>
        <w:r w:rsidR="00985E58">
          <w:rPr>
            <w:webHidden/>
          </w:rPr>
          <w:fldChar w:fldCharType="end"/>
        </w:r>
      </w:hyperlink>
    </w:p>
    <w:p w14:paraId="13AF42CD" w14:textId="220ED83D" w:rsidR="00985E58"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5278374" w:history="1">
        <w:r w:rsidR="00985E58" w:rsidRPr="004C43C4">
          <w:rPr>
            <w:rStyle w:val="Hyperlink"/>
          </w:rPr>
          <w:t>Potential risk to trade</w:t>
        </w:r>
        <w:r w:rsidR="00985E58">
          <w:rPr>
            <w:webHidden/>
          </w:rPr>
          <w:tab/>
        </w:r>
        <w:r w:rsidR="00985E58">
          <w:rPr>
            <w:webHidden/>
          </w:rPr>
          <w:fldChar w:fldCharType="begin"/>
        </w:r>
        <w:r w:rsidR="00985E58">
          <w:rPr>
            <w:webHidden/>
          </w:rPr>
          <w:instrText xml:space="preserve"> PAGEREF _Toc155278374 \h </w:instrText>
        </w:r>
        <w:r w:rsidR="00985E58">
          <w:rPr>
            <w:webHidden/>
          </w:rPr>
        </w:r>
        <w:r w:rsidR="00985E58">
          <w:rPr>
            <w:webHidden/>
          </w:rPr>
          <w:fldChar w:fldCharType="separate"/>
        </w:r>
        <w:r w:rsidR="00985E58">
          <w:rPr>
            <w:webHidden/>
          </w:rPr>
          <w:t>8</w:t>
        </w:r>
        <w:r w:rsidR="00985E58">
          <w:rPr>
            <w:webHidden/>
          </w:rPr>
          <w:fldChar w:fldCharType="end"/>
        </w:r>
      </w:hyperlink>
    </w:p>
    <w:p w14:paraId="45A265F3" w14:textId="57A9BFC7" w:rsidR="00985E58"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5278375" w:history="1">
        <w:r w:rsidR="00985E58" w:rsidRPr="004C43C4">
          <w:rPr>
            <w:rStyle w:val="Hyperlink"/>
          </w:rPr>
          <w:t>Conclusion</w:t>
        </w:r>
        <w:r w:rsidR="00985E58">
          <w:rPr>
            <w:webHidden/>
          </w:rPr>
          <w:tab/>
        </w:r>
        <w:r w:rsidR="00985E58">
          <w:rPr>
            <w:webHidden/>
          </w:rPr>
          <w:fldChar w:fldCharType="begin"/>
        </w:r>
        <w:r w:rsidR="00985E58">
          <w:rPr>
            <w:webHidden/>
          </w:rPr>
          <w:instrText xml:space="preserve"> PAGEREF _Toc155278375 \h </w:instrText>
        </w:r>
        <w:r w:rsidR="00985E58">
          <w:rPr>
            <w:webHidden/>
          </w:rPr>
        </w:r>
        <w:r w:rsidR="00985E58">
          <w:rPr>
            <w:webHidden/>
          </w:rPr>
          <w:fldChar w:fldCharType="separate"/>
        </w:r>
        <w:r w:rsidR="00985E58">
          <w:rPr>
            <w:webHidden/>
          </w:rPr>
          <w:t>10</w:t>
        </w:r>
        <w:r w:rsidR="00985E58">
          <w:rPr>
            <w:webHidden/>
          </w:rPr>
          <w:fldChar w:fldCharType="end"/>
        </w:r>
      </w:hyperlink>
    </w:p>
    <w:p w14:paraId="4EC7DC5E" w14:textId="77777777" w:rsidR="00985E58" w:rsidRDefault="005064D5" w:rsidP="00790A8E">
      <w:pPr>
        <w:pStyle w:val="ToCH1"/>
        <w:spacing w:before="500"/>
        <w:rPr>
          <w:noProof/>
        </w:rPr>
      </w:pPr>
      <w:r>
        <w:rPr>
          <w:rFonts w:ascii="Trebuchet MS" w:hAnsi="Trebuchet MS"/>
          <w:b/>
          <w:caps/>
          <w:noProof/>
          <w:szCs w:val="30"/>
        </w:rPr>
        <w:fldChar w:fldCharType="end"/>
      </w:r>
      <w:r w:rsidR="00696A51" w:rsidDel="00696A51">
        <w:rPr>
          <w:noProof/>
        </w:rPr>
        <w:t xml:space="preserve"> </w:t>
      </w:r>
      <w:r w:rsidR="00790A8E">
        <w:rPr>
          <w:noProof/>
        </w:rPr>
        <w:t>List of tables</w:t>
      </w:r>
      <w:r w:rsidR="00790A8E">
        <w:rPr>
          <w:caps/>
          <w:noProof/>
        </w:rPr>
        <w:fldChar w:fldCharType="begin"/>
      </w:r>
      <w:r w:rsidR="00790A8E">
        <w:rPr>
          <w:noProof/>
        </w:rPr>
        <w:instrText xml:space="preserve"> TOC \h \z \t "Caption,APVMA_Caption" \c </w:instrText>
      </w:r>
      <w:r w:rsidR="00790A8E">
        <w:rPr>
          <w:caps/>
          <w:noProof/>
        </w:rPr>
        <w:fldChar w:fldCharType="separate"/>
      </w:r>
    </w:p>
    <w:p w14:paraId="645DF04B" w14:textId="7872518D" w:rsidR="00985E58"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278376" w:history="1">
        <w:r w:rsidR="00985E58" w:rsidRPr="007D2F3D">
          <w:rPr>
            <w:rStyle w:val="Hyperlink"/>
          </w:rPr>
          <w:t>Table 1:</w:t>
        </w:r>
        <w:r w:rsidR="00985E58">
          <w:rPr>
            <w:rFonts w:asciiTheme="minorHAnsi" w:eastAsiaTheme="minorEastAsia" w:hAnsiTheme="minorHAnsi" w:cstheme="minorBidi"/>
            <w:kern w:val="2"/>
            <w:sz w:val="22"/>
            <w:szCs w:val="22"/>
            <w:lang w:eastAsia="en-AU"/>
            <w14:ligatures w14:val="standardContextual"/>
          </w:rPr>
          <w:tab/>
        </w:r>
        <w:r w:rsidR="00985E58" w:rsidRPr="007D2F3D">
          <w:rPr>
            <w:rStyle w:val="Hyperlink"/>
          </w:rPr>
          <w:t>Proposed use pattern</w:t>
        </w:r>
        <w:r w:rsidR="00985E58">
          <w:rPr>
            <w:webHidden/>
          </w:rPr>
          <w:tab/>
        </w:r>
        <w:r w:rsidR="00985E58">
          <w:rPr>
            <w:webHidden/>
          </w:rPr>
          <w:fldChar w:fldCharType="begin"/>
        </w:r>
        <w:r w:rsidR="00985E58">
          <w:rPr>
            <w:webHidden/>
          </w:rPr>
          <w:instrText xml:space="preserve"> PAGEREF _Toc155278376 \h </w:instrText>
        </w:r>
        <w:r w:rsidR="00985E58">
          <w:rPr>
            <w:webHidden/>
          </w:rPr>
        </w:r>
        <w:r w:rsidR="00985E58">
          <w:rPr>
            <w:webHidden/>
          </w:rPr>
          <w:fldChar w:fldCharType="separate"/>
        </w:r>
        <w:r w:rsidR="00985E58">
          <w:rPr>
            <w:webHidden/>
          </w:rPr>
          <w:t>4</w:t>
        </w:r>
        <w:r w:rsidR="00985E58">
          <w:rPr>
            <w:webHidden/>
          </w:rPr>
          <w:fldChar w:fldCharType="end"/>
        </w:r>
      </w:hyperlink>
    </w:p>
    <w:p w14:paraId="02D8478A" w14:textId="213F3263" w:rsidR="00985E58"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278377" w:history="1">
        <w:r w:rsidR="00985E58" w:rsidRPr="007D2F3D">
          <w:rPr>
            <w:rStyle w:val="Hyperlink"/>
          </w:rPr>
          <w:t>Table 2:</w:t>
        </w:r>
        <w:r w:rsidR="00985E58">
          <w:rPr>
            <w:rFonts w:asciiTheme="minorHAnsi" w:eastAsiaTheme="minorEastAsia" w:hAnsiTheme="minorHAnsi" w:cstheme="minorBidi"/>
            <w:kern w:val="2"/>
            <w:sz w:val="22"/>
            <w:szCs w:val="22"/>
            <w:lang w:eastAsia="en-AU"/>
            <w14:ligatures w14:val="standardContextual"/>
          </w:rPr>
          <w:tab/>
        </w:r>
        <w:r w:rsidR="00985E58" w:rsidRPr="007D2F3D">
          <w:rPr>
            <w:rStyle w:val="Hyperlink"/>
          </w:rPr>
          <w:t>Current and proposed Australian and overseas MRLs/tolerances for mefentrifluconazole.</w:t>
        </w:r>
        <w:r w:rsidR="00985E58">
          <w:rPr>
            <w:webHidden/>
          </w:rPr>
          <w:tab/>
        </w:r>
        <w:r w:rsidR="00985E58">
          <w:rPr>
            <w:webHidden/>
          </w:rPr>
          <w:fldChar w:fldCharType="begin"/>
        </w:r>
        <w:r w:rsidR="00985E58">
          <w:rPr>
            <w:webHidden/>
          </w:rPr>
          <w:instrText xml:space="preserve"> PAGEREF _Toc155278377 \h </w:instrText>
        </w:r>
        <w:r w:rsidR="00985E58">
          <w:rPr>
            <w:webHidden/>
          </w:rPr>
        </w:r>
        <w:r w:rsidR="00985E58">
          <w:rPr>
            <w:webHidden/>
          </w:rPr>
          <w:fldChar w:fldCharType="separate"/>
        </w:r>
        <w:r w:rsidR="00985E58">
          <w:rPr>
            <w:webHidden/>
          </w:rPr>
          <w:t>7</w:t>
        </w:r>
        <w:r w:rsidR="00985E58">
          <w:rPr>
            <w:webHidden/>
          </w:rPr>
          <w:fldChar w:fldCharType="end"/>
        </w:r>
      </w:hyperlink>
    </w:p>
    <w:p w14:paraId="3E3D27E3" w14:textId="706DC1A8" w:rsidR="00985E58"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278378" w:history="1">
        <w:r w:rsidR="00985E58" w:rsidRPr="007D2F3D">
          <w:rPr>
            <w:rStyle w:val="Hyperlink"/>
          </w:rPr>
          <w:t>Table 3:</w:t>
        </w:r>
        <w:r w:rsidR="00985E58">
          <w:rPr>
            <w:rFonts w:asciiTheme="minorHAnsi" w:eastAsiaTheme="minorEastAsia" w:hAnsiTheme="minorHAnsi" w:cstheme="minorBidi"/>
            <w:kern w:val="2"/>
            <w:sz w:val="22"/>
            <w:szCs w:val="22"/>
            <w:lang w:eastAsia="en-AU"/>
            <w14:ligatures w14:val="standardContextual"/>
          </w:rPr>
          <w:tab/>
        </w:r>
        <w:r w:rsidR="00985E58" w:rsidRPr="007D2F3D">
          <w:rPr>
            <w:rStyle w:val="Hyperlink"/>
          </w:rPr>
          <w:t>Current MRL Standard – Table1</w:t>
        </w:r>
        <w:r w:rsidR="00985E58">
          <w:rPr>
            <w:webHidden/>
          </w:rPr>
          <w:tab/>
        </w:r>
        <w:r w:rsidR="00985E58">
          <w:rPr>
            <w:webHidden/>
          </w:rPr>
          <w:fldChar w:fldCharType="begin"/>
        </w:r>
        <w:r w:rsidR="00985E58">
          <w:rPr>
            <w:webHidden/>
          </w:rPr>
          <w:instrText xml:space="preserve"> PAGEREF _Toc155278378 \h </w:instrText>
        </w:r>
        <w:r w:rsidR="00985E58">
          <w:rPr>
            <w:webHidden/>
          </w:rPr>
        </w:r>
        <w:r w:rsidR="00985E58">
          <w:rPr>
            <w:webHidden/>
          </w:rPr>
          <w:fldChar w:fldCharType="separate"/>
        </w:r>
        <w:r w:rsidR="00985E58">
          <w:rPr>
            <w:webHidden/>
          </w:rPr>
          <w:t>8</w:t>
        </w:r>
        <w:r w:rsidR="00985E58">
          <w:rPr>
            <w:webHidden/>
          </w:rPr>
          <w:fldChar w:fldCharType="end"/>
        </w:r>
      </w:hyperlink>
    </w:p>
    <w:p w14:paraId="4B30167E" w14:textId="0AC47941" w:rsidR="00985E58" w:rsidRDefault="00000000">
      <w:pPr>
        <w:pStyle w:val="TableofFigures"/>
        <w:rPr>
          <w:rFonts w:asciiTheme="minorHAnsi" w:eastAsiaTheme="minorEastAsia" w:hAnsiTheme="minorHAnsi" w:cstheme="minorBidi"/>
          <w:kern w:val="2"/>
          <w:sz w:val="22"/>
          <w:szCs w:val="22"/>
          <w:lang w:eastAsia="en-AU"/>
          <w14:ligatures w14:val="standardContextual"/>
        </w:rPr>
      </w:pPr>
      <w:hyperlink w:anchor="_Toc155278379" w:history="1">
        <w:r w:rsidR="00985E58" w:rsidRPr="007D2F3D">
          <w:rPr>
            <w:rStyle w:val="Hyperlink"/>
          </w:rPr>
          <w:t>Table 4:</w:t>
        </w:r>
        <w:r w:rsidR="00985E58">
          <w:rPr>
            <w:rFonts w:asciiTheme="minorHAnsi" w:eastAsiaTheme="minorEastAsia" w:hAnsiTheme="minorHAnsi" w:cstheme="minorBidi"/>
            <w:kern w:val="2"/>
            <w:sz w:val="22"/>
            <w:szCs w:val="22"/>
            <w:lang w:eastAsia="en-AU"/>
            <w14:ligatures w14:val="standardContextual"/>
          </w:rPr>
          <w:tab/>
        </w:r>
        <w:r w:rsidR="00985E58" w:rsidRPr="007D2F3D">
          <w:rPr>
            <w:rStyle w:val="Hyperlink"/>
          </w:rPr>
          <w:t>Proposed MRL Standard – Table1</w:t>
        </w:r>
        <w:r w:rsidR="00985E58">
          <w:rPr>
            <w:webHidden/>
          </w:rPr>
          <w:tab/>
        </w:r>
        <w:r w:rsidR="00985E58">
          <w:rPr>
            <w:webHidden/>
          </w:rPr>
          <w:fldChar w:fldCharType="begin"/>
        </w:r>
        <w:r w:rsidR="00985E58">
          <w:rPr>
            <w:webHidden/>
          </w:rPr>
          <w:instrText xml:space="preserve"> PAGEREF _Toc155278379 \h </w:instrText>
        </w:r>
        <w:r w:rsidR="00985E58">
          <w:rPr>
            <w:webHidden/>
          </w:rPr>
        </w:r>
        <w:r w:rsidR="00985E58">
          <w:rPr>
            <w:webHidden/>
          </w:rPr>
          <w:fldChar w:fldCharType="separate"/>
        </w:r>
        <w:r w:rsidR="00985E58">
          <w:rPr>
            <w:webHidden/>
          </w:rPr>
          <w:t>8</w:t>
        </w:r>
        <w:r w:rsidR="00985E58">
          <w:rPr>
            <w:webHidden/>
          </w:rPr>
          <w:fldChar w:fldCharType="end"/>
        </w:r>
      </w:hyperlink>
    </w:p>
    <w:p w14:paraId="16215860" w14:textId="4B09455F" w:rsidR="00116540" w:rsidRDefault="00790A8E" w:rsidP="00985E58">
      <w:pPr>
        <w:rPr>
          <w:rFonts w:ascii="Trebuchet MS" w:hAnsi="Trebuchet MS"/>
          <w:bCs/>
          <w:noProof/>
          <w:color w:val="365860"/>
        </w:rPr>
        <w:sectPr w:rsidR="00116540" w:rsidSect="005148C0">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p>
    <w:p w14:paraId="014E858C" w14:textId="77777777" w:rsidR="002E20AC" w:rsidRDefault="002E20AC" w:rsidP="00032787">
      <w:pPr>
        <w:pStyle w:val="APVMAPreliminariesH1"/>
      </w:pPr>
      <w:bookmarkStart w:id="1" w:name="_Toc234063054"/>
      <w:bookmarkStart w:id="2" w:name="_Toc414373831"/>
      <w:bookmarkStart w:id="3" w:name="_Toc155278357"/>
      <w:r>
        <w:lastRenderedPageBreak/>
        <w:t>Preface</w:t>
      </w:r>
      <w:bookmarkEnd w:id="1"/>
      <w:bookmarkEnd w:id="2"/>
      <w:bookmarkEnd w:id="3"/>
    </w:p>
    <w:p w14:paraId="3C65F9F1" w14:textId="77777777" w:rsidR="006D36C8" w:rsidRPr="000C5EB1" w:rsidRDefault="006D36C8" w:rsidP="000C5EB1">
      <w:pPr>
        <w:pStyle w:val="APVMAText"/>
      </w:pPr>
      <w:r>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Default="006D36C8" w:rsidP="006D36C8">
      <w:pPr>
        <w:pStyle w:val="APVMAText"/>
      </w:pPr>
      <w:r>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Default="006D36C8" w:rsidP="006D36C8">
      <w:pPr>
        <w:pStyle w:val="APVMAText"/>
      </w:pPr>
      <w:r>
        <w:t>The information and technical data required by the APVMA to assess the safety of new chemical products and the methods of assessment must be undertaken according to accepted scientific principles. Details are outlined in regulatory guidance published on the APVMA websit</w:t>
      </w:r>
      <w:r w:rsidRPr="00814579">
        <w:t>e</w:t>
      </w:r>
      <w:r>
        <w:t>.</w:t>
      </w:r>
    </w:p>
    <w:p w14:paraId="43C9A5E5" w14:textId="77777777" w:rsidR="002E20AC" w:rsidRDefault="006D36C8" w:rsidP="00032787">
      <w:pPr>
        <w:pStyle w:val="APVMAPreliminariesH2"/>
      </w:pPr>
      <w:bookmarkStart w:id="4" w:name="_Toc414373832"/>
      <w:bookmarkStart w:id="5" w:name="_Toc155278358"/>
      <w:r>
        <w:t>About this document</w:t>
      </w:r>
      <w:bookmarkEnd w:id="4"/>
      <w:bookmarkEnd w:id="5"/>
    </w:p>
    <w:p w14:paraId="29EE149D" w14:textId="77777777" w:rsidR="00E63AC3" w:rsidRDefault="006D36C8" w:rsidP="006D36C8">
      <w:pPr>
        <w:pStyle w:val="APVMAText"/>
        <w:tabs>
          <w:tab w:val="left" w:pos="1361"/>
        </w:tabs>
        <w:rPr>
          <w:lang w:val="en-US"/>
        </w:rPr>
      </w:pPr>
      <w:r>
        <w:rPr>
          <w:lang w:val="en-US"/>
        </w:rPr>
        <w:t xml:space="preserve">This </w:t>
      </w:r>
      <w:r w:rsidR="00F74FA6">
        <w:rPr>
          <w:lang w:val="en-US"/>
        </w:rPr>
        <w:t>T</w:t>
      </w:r>
      <w:r>
        <w:rPr>
          <w:lang w:val="en-US"/>
        </w:rPr>
        <w:t xml:space="preserve">rade </w:t>
      </w:r>
      <w:r w:rsidR="00F74FA6">
        <w:rPr>
          <w:lang w:val="en-US"/>
        </w:rPr>
        <w:t>Advice N</w:t>
      </w:r>
      <w:r>
        <w:rPr>
          <w:lang w:val="en-US"/>
        </w:rPr>
        <w:t>otice indicates that the Australian Pesticides and Veterinary Medicines Authority (APVMA) is considering an application to vary the use of an existing registered agric</w:t>
      </w:r>
      <w:r w:rsidR="00E63AC3">
        <w:rPr>
          <w:lang w:val="en-US"/>
        </w:rPr>
        <w:t>ultural or veterinary chemical.</w:t>
      </w:r>
    </w:p>
    <w:p w14:paraId="2D999D62" w14:textId="77777777" w:rsidR="006D36C8" w:rsidRDefault="006D36C8" w:rsidP="006D36C8">
      <w:pPr>
        <w:pStyle w:val="APVMAText"/>
        <w:tabs>
          <w:tab w:val="left" w:pos="1361"/>
        </w:tabs>
        <w:rPr>
          <w:lang w:val="en-US"/>
        </w:rPr>
      </w:pPr>
      <w:r>
        <w:rPr>
          <w:lang w:val="en-US"/>
        </w:rPr>
        <w:t>It provides a summary of the APVMA’s residue and trade assessment.</w:t>
      </w:r>
    </w:p>
    <w:p w14:paraId="793783FA" w14:textId="77777777" w:rsidR="006D36C8" w:rsidRDefault="006D36C8" w:rsidP="006D36C8">
      <w:pPr>
        <w:pStyle w:val="APVMAText"/>
        <w:tabs>
          <w:tab w:val="left" w:pos="1361"/>
        </w:tabs>
        <w:rPr>
          <w:lang w:val="en-US"/>
        </w:rPr>
      </w:pPr>
      <w:r>
        <w:rPr>
          <w:lang w:val="en-US"/>
        </w:rPr>
        <w:t>Comment is sought from industry groups and stakeholders on the information contained within this document.</w:t>
      </w:r>
    </w:p>
    <w:p w14:paraId="61CF03AE" w14:textId="77777777" w:rsidR="006D36C8" w:rsidRDefault="006D36C8" w:rsidP="00032787">
      <w:pPr>
        <w:pStyle w:val="APVMAPreliminariesH2"/>
      </w:pPr>
      <w:bookmarkStart w:id="6" w:name="_Toc155278359"/>
      <w:r>
        <w:t>Making a submission</w:t>
      </w:r>
      <w:bookmarkEnd w:id="6"/>
    </w:p>
    <w:p w14:paraId="5DCD1FC6" w14:textId="5C644484" w:rsidR="006D36C8" w:rsidRPr="00AF1ED4" w:rsidRDefault="006D36C8" w:rsidP="00AF1ED4">
      <w:pPr>
        <w:pStyle w:val="APVMAText"/>
      </w:pPr>
      <w:r w:rsidRPr="00AF1ED4">
        <w:t xml:space="preserve">The APVMA invites any person to submit a relevant written submission as to whether the application </w:t>
      </w:r>
      <w:r w:rsidR="00204739">
        <w:t>for emergency use of Belanty</w:t>
      </w:r>
      <w:r w:rsidR="00204739" w:rsidRPr="00204739">
        <w:rPr>
          <w:vertAlign w:val="superscript"/>
        </w:rPr>
        <w:t>®</w:t>
      </w:r>
      <w:r w:rsidR="00204739">
        <w:t xml:space="preserve"> Fungicide</w:t>
      </w:r>
      <w:r w:rsidR="007B1953" w:rsidRPr="00AF1ED4">
        <w:t xml:space="preserve"> </w:t>
      </w:r>
      <w:r w:rsidRPr="00AF1ED4">
        <w:t>should be granted.</w:t>
      </w:r>
      <w:r w:rsidR="00BA67F0" w:rsidRPr="00AF1ED4">
        <w:t xml:space="preserve"> </w:t>
      </w:r>
      <w:r w:rsidRPr="00AF1ED4">
        <w:t>Submissions should relate only to matters that the APVMA is required by legislation to take into account in deciding whether to grant the application. These grounds relate to the trade implications of the extended use of the product. Submissions should state the grounds on which they are based. Comments received outside these grounds cannot be considered by the APVMA.</w:t>
      </w:r>
    </w:p>
    <w:p w14:paraId="2148C88C" w14:textId="0C339F44" w:rsidR="006D36C8" w:rsidRDefault="006D36C8" w:rsidP="006D36C8">
      <w:pPr>
        <w:pStyle w:val="APVMAText"/>
      </w:pPr>
      <w:r>
        <w:t>Submissions must be received by the APVMA by close of business on</w:t>
      </w:r>
      <w:r w:rsidR="00900321">
        <w:t xml:space="preserve"> </w:t>
      </w:r>
      <w:r w:rsidR="00900321" w:rsidRPr="00BF6983">
        <w:t xml:space="preserve">19 </w:t>
      </w:r>
      <w:r w:rsidR="00204739" w:rsidRPr="00BF6983">
        <w:t>January 2024</w:t>
      </w:r>
      <w:r w:rsidR="00900321">
        <w:t xml:space="preserve"> </w:t>
      </w:r>
      <w:r>
        <w:t>and be directed to the contact listed below. All submissions to the APVMA will be acknowledged in writing via email or by post.</w:t>
      </w:r>
    </w:p>
    <w:p w14:paraId="00425FA1" w14:textId="61497DDD" w:rsidR="006D36C8" w:rsidRDefault="006D36C8" w:rsidP="006D36C8">
      <w:pPr>
        <w:pStyle w:val="APVMAText"/>
      </w:pPr>
      <w:r>
        <w:t xml:space="preserve">Relevant comments </w:t>
      </w:r>
      <w:r>
        <w:rPr>
          <w:lang w:val="en-US"/>
        </w:rPr>
        <w:t>will be taken into account by the APVMA in deciding whether to grant the application and in determining appropriate conditions of registration and product</w:t>
      </w:r>
      <w:r>
        <w:t xml:space="preserve"> labelling</w:t>
      </w:r>
      <w:r>
        <w:rPr>
          <w:lang w:val="en-US"/>
        </w:rPr>
        <w:t>.</w:t>
      </w:r>
      <w:r w:rsidR="00063A19" w:rsidRPr="007051D9">
        <w:br w:type="page"/>
      </w:r>
    </w:p>
    <w:p w14:paraId="0D5B62E2" w14:textId="77777777" w:rsidR="006D36C8" w:rsidRDefault="006D36C8" w:rsidP="006D36C8">
      <w:pPr>
        <w:pStyle w:val="APVMAText"/>
        <w:rPr>
          <w:lang w:val="en-US"/>
        </w:rPr>
      </w:pPr>
      <w:r>
        <w:rPr>
          <w:lang w:val="en-US"/>
        </w:rPr>
        <w:lastRenderedPageBreak/>
        <w:t>When making a submission please include:</w:t>
      </w:r>
    </w:p>
    <w:p w14:paraId="05ED1ED8" w14:textId="77777777" w:rsidR="006D36C8" w:rsidRDefault="00BA67F0" w:rsidP="006D36C8">
      <w:pPr>
        <w:pStyle w:val="Bullet1"/>
      </w:pPr>
      <w:r>
        <w:t>c</w:t>
      </w:r>
      <w:r w:rsidR="006D36C8">
        <w:t>ontact name</w:t>
      </w:r>
    </w:p>
    <w:p w14:paraId="74C502CA" w14:textId="006BD998" w:rsidR="006D36C8" w:rsidRDefault="00BA67F0" w:rsidP="006D36C8">
      <w:pPr>
        <w:pStyle w:val="Bullet1"/>
      </w:pPr>
      <w:r>
        <w:t>c</w:t>
      </w:r>
      <w:r w:rsidR="006D36C8">
        <w:t xml:space="preserve">ompany or </w:t>
      </w:r>
      <w:r w:rsidR="00641B1B">
        <w:t xml:space="preserve">organisation </w:t>
      </w:r>
      <w:r w:rsidR="006D36C8">
        <w:t>name (if relevant)</w:t>
      </w:r>
    </w:p>
    <w:p w14:paraId="4508E5DE" w14:textId="77777777" w:rsidR="006D36C8" w:rsidRDefault="008836D1" w:rsidP="006D36C8">
      <w:pPr>
        <w:pStyle w:val="Bullet1"/>
      </w:pPr>
      <w:r>
        <w:t xml:space="preserve">email or </w:t>
      </w:r>
      <w:r w:rsidR="00BA67F0">
        <w:t>p</w:t>
      </w:r>
      <w:r w:rsidR="006D36C8">
        <w:t xml:space="preserve">ostal </w:t>
      </w:r>
      <w:r w:rsidR="00BA67F0">
        <w:t>a</w:t>
      </w:r>
      <w:r w:rsidR="006D36C8">
        <w:t>ddress</w:t>
      </w:r>
      <w:r>
        <w:t xml:space="preserve"> (if available)</w:t>
      </w:r>
    </w:p>
    <w:p w14:paraId="719B1483" w14:textId="34100990" w:rsidR="006D36C8" w:rsidRDefault="008836D1" w:rsidP="006D36C8">
      <w:pPr>
        <w:pStyle w:val="Bullet1"/>
      </w:pPr>
      <w:r>
        <w:t xml:space="preserve">the date you made the </w:t>
      </w:r>
      <w:r w:rsidR="0024289A">
        <w:t>submission</w:t>
      </w:r>
      <w:r w:rsidR="006D36C8">
        <w:t>.</w:t>
      </w:r>
    </w:p>
    <w:p w14:paraId="5B2156FE" w14:textId="0C37EB72" w:rsidR="00F34959" w:rsidRDefault="00F34959" w:rsidP="00F34959">
      <w:pPr>
        <w:pStyle w:val="APVMAText"/>
      </w:pPr>
      <w:r w:rsidRPr="00BF6983">
        <w:rPr>
          <w:bCs/>
        </w:rPr>
        <w:t>Please note</w:t>
      </w:r>
      <w:r>
        <w:t>: s</w:t>
      </w:r>
      <w:r w:rsidRPr="00F836A5">
        <w:t>ubmissions will be published on the APVMA</w:t>
      </w:r>
      <w:r>
        <w:t>’s</w:t>
      </w:r>
      <w:r w:rsidRPr="00F836A5">
        <w:t xml:space="preserve"> website, unless you have asked for the sub</w:t>
      </w:r>
      <w:r>
        <w:t xml:space="preserve">mission to remain confidential, or if the APVMA chooses at its discretion not to publish any submissions received (refer to the </w:t>
      </w:r>
      <w:hyperlink r:id="rId19" w:history="1">
        <w:r w:rsidRPr="00BD7C8B">
          <w:rPr>
            <w:rStyle w:val="Hyperlink"/>
          </w:rPr>
          <w:t>public consultation coversheet</w:t>
        </w:r>
      </w:hyperlink>
      <w:r>
        <w:t>)</w:t>
      </w:r>
      <w:r w:rsidR="007B1953">
        <w:t>.</w:t>
      </w:r>
    </w:p>
    <w:p w14:paraId="272FA43D" w14:textId="7BB19674" w:rsidR="008D01CF" w:rsidRDefault="008D01CF" w:rsidP="008D01CF">
      <w:pPr>
        <w:pStyle w:val="APVMAText"/>
      </w:pPr>
      <w:r>
        <w:t xml:space="preserve">Please lodge your submission using </w:t>
      </w:r>
      <w:r w:rsidRPr="00D81C23">
        <w:t xml:space="preserve">the </w:t>
      </w:r>
      <w:hyperlink r:id="rId20" w:history="1">
        <w:r w:rsidRPr="00BD7C8B">
          <w:rPr>
            <w:rStyle w:val="Hyperlink"/>
          </w:rPr>
          <w:t>public consultation coversheet</w:t>
        </w:r>
      </w:hyperlink>
      <w:r>
        <w:t>, which provides options for how your submission will be published.</w:t>
      </w:r>
    </w:p>
    <w:p w14:paraId="30632674" w14:textId="54A84E6D" w:rsidR="0066107B" w:rsidRDefault="0066107B" w:rsidP="008D01CF">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69BC7EE4" w14:textId="5B019BD8" w:rsidR="008D01CF" w:rsidRDefault="008D01CF" w:rsidP="008D01CF">
      <w:pPr>
        <w:pStyle w:val="APVMAText"/>
      </w:pPr>
      <w:r>
        <w:t>Unless you request for your submission to remain confident</w:t>
      </w:r>
      <w:r w:rsidR="00382B7C">
        <w:t>ial</w:t>
      </w:r>
      <w:r>
        <w:t>, the APVMA may release your submission to the applicant for comment.</w:t>
      </w:r>
    </w:p>
    <w:p w14:paraId="7F5CDCA5" w14:textId="77777777" w:rsidR="008D01CF" w:rsidRDefault="008D01CF" w:rsidP="008D01CF">
      <w:pPr>
        <w:pStyle w:val="APVMAText"/>
      </w:pPr>
      <w:r>
        <w:t>Written submissions should be addressed to:</w:t>
      </w:r>
    </w:p>
    <w:p w14:paraId="4E7B5037" w14:textId="4984722F" w:rsidR="006D36C8" w:rsidRDefault="00541125" w:rsidP="00BF6983">
      <w:pPr>
        <w:pStyle w:val="APVMAAddress"/>
        <w:ind w:left="0"/>
      </w:pPr>
      <w:r>
        <w:t>Executive Director, Risk Assessment and Capability</w:t>
      </w:r>
      <w:r w:rsidR="00063A19">
        <w:br/>
      </w:r>
      <w:r w:rsidR="006D36C8">
        <w:t>Australian Pesticides and Veterinary Medicines Authority</w:t>
      </w:r>
      <w:r w:rsidR="00063A19">
        <w:br/>
      </w:r>
      <w:r w:rsidR="00BD0287">
        <w:t>GPO Box 3262</w:t>
      </w:r>
      <w:r w:rsidR="00063A19">
        <w:br/>
      </w:r>
      <w:r w:rsidR="00BD0287">
        <w:t>Sydney NSW 2001</w:t>
      </w:r>
    </w:p>
    <w:p w14:paraId="6EDED567" w14:textId="7554D1F0" w:rsidR="006D36C8" w:rsidRPr="006D36C8" w:rsidRDefault="006D36C8" w:rsidP="00BF6983">
      <w:pPr>
        <w:pStyle w:val="APVMAAddress"/>
        <w:tabs>
          <w:tab w:val="clear" w:pos="1361"/>
          <w:tab w:val="left" w:pos="851"/>
        </w:tabs>
        <w:spacing w:before="240"/>
        <w:ind w:left="0"/>
      </w:pPr>
      <w:r>
        <w:rPr>
          <w:b/>
        </w:rPr>
        <w:t>Phone:</w:t>
      </w:r>
      <w:r>
        <w:tab/>
        <w:t xml:space="preserve">+61 2 </w:t>
      </w:r>
      <w:r w:rsidR="00BD0287">
        <w:t>6770 2300</w:t>
      </w:r>
      <w:r w:rsidR="00063A19">
        <w:rPr>
          <w:b/>
        </w:rPr>
        <w:br/>
      </w:r>
      <w:r>
        <w:rPr>
          <w:b/>
        </w:rPr>
        <w:t>Email:</w:t>
      </w:r>
      <w:r>
        <w:tab/>
      </w:r>
      <w:hyperlink r:id="rId21" w:history="1">
        <w:r w:rsidR="00541125" w:rsidRPr="00BF6983">
          <w:rPr>
            <w:rStyle w:val="Hyperlink"/>
          </w:rPr>
          <w:t>enquiries@apvma.gov.au</w:t>
        </w:r>
      </w:hyperlink>
    </w:p>
    <w:p w14:paraId="75ADC83A" w14:textId="77777777" w:rsidR="006D36C8" w:rsidRDefault="006D36C8" w:rsidP="00032787">
      <w:pPr>
        <w:pStyle w:val="APVMAPreliminariesH2"/>
      </w:pPr>
      <w:bookmarkStart w:id="7" w:name="_Toc2243844"/>
      <w:bookmarkStart w:id="8" w:name="_Toc155278360"/>
      <w:r>
        <w:t>Further information</w:t>
      </w:r>
      <w:bookmarkEnd w:id="7"/>
      <w:bookmarkEnd w:id="8"/>
    </w:p>
    <w:p w14:paraId="26E743FF" w14:textId="77777777" w:rsidR="006D36C8" w:rsidRDefault="006D36C8" w:rsidP="006D36C8">
      <w:pPr>
        <w:pStyle w:val="APVMAText"/>
      </w:pPr>
      <w:r>
        <w:t>Further information can be obtained via the contact details provided above.</w:t>
      </w:r>
    </w:p>
    <w:p w14:paraId="112848E8" w14:textId="7DA8B83E" w:rsidR="00D22CCB" w:rsidRDefault="006D36C8" w:rsidP="00E63AC3">
      <w:pPr>
        <w:pStyle w:val="APVMAText"/>
        <w:sectPr w:rsidR="00D22CCB">
          <w:headerReference w:type="even" r:id="rId22"/>
          <w:headerReference w:type="default" r:id="rId23"/>
          <w:pgSz w:w="11906" w:h="16838" w:code="9"/>
          <w:pgMar w:top="2835" w:right="1134" w:bottom="1134" w:left="1134" w:header="1701" w:footer="680" w:gutter="0"/>
          <w:pgNumType w:start="1"/>
          <w:cols w:space="708"/>
          <w:docGrid w:linePitch="360"/>
        </w:sectPr>
      </w:pPr>
      <w:r>
        <w:t xml:space="preserve">Further information on </w:t>
      </w:r>
      <w:r w:rsidR="007B1953">
        <w:t>Trade Advice Notices</w:t>
      </w:r>
      <w:r>
        <w:t xml:space="preserve"> can be found on the APVMA website:</w:t>
      </w:r>
      <w:r>
        <w:rPr>
          <w:color w:val="0000FF"/>
          <w:lang w:val="en-US"/>
        </w:rPr>
        <w:t xml:space="preserve"> </w:t>
      </w:r>
      <w:hyperlink r:id="rId24" w:history="1">
        <w:r>
          <w:rPr>
            <w:rStyle w:val="Hyperlink"/>
          </w:rPr>
          <w:t>apvma.gov.au</w:t>
        </w:r>
      </w:hyperlink>
      <w:r w:rsidRPr="00AF1ED4">
        <w:rPr>
          <w:rStyle w:val="Hyperlink"/>
          <w:color w:val="auto"/>
          <w:u w:val="none"/>
        </w:rPr>
        <w:t>.</w:t>
      </w:r>
    </w:p>
    <w:p w14:paraId="5181B9C2" w14:textId="70DA256D" w:rsidR="002E20AC" w:rsidRDefault="007B1953" w:rsidP="007B1953">
      <w:pPr>
        <w:pStyle w:val="Heading1"/>
        <w:ind w:left="680" w:hanging="680"/>
      </w:pPr>
      <w:bookmarkStart w:id="9" w:name="_Toc155278361"/>
      <w:r>
        <w:lastRenderedPageBreak/>
        <w:t>I</w:t>
      </w:r>
      <w:r w:rsidR="006D36C8">
        <w:t>ntroduction</w:t>
      </w:r>
      <w:bookmarkEnd w:id="9"/>
    </w:p>
    <w:p w14:paraId="772EF82A" w14:textId="77777777" w:rsidR="00BF6983" w:rsidRDefault="006D36C8" w:rsidP="007B1953">
      <w:pPr>
        <w:pStyle w:val="APVMAText"/>
        <w:sectPr w:rsidR="00BF6983">
          <w:headerReference w:type="even" r:id="rId25"/>
          <w:pgSz w:w="11906" w:h="16838" w:code="9"/>
          <w:pgMar w:top="2835" w:right="1134" w:bottom="1134" w:left="1134" w:header="1701" w:footer="680" w:gutter="0"/>
          <w:cols w:space="708"/>
          <w:docGrid w:linePitch="360"/>
        </w:sectPr>
      </w:pPr>
      <w:bookmarkStart w:id="10" w:name="_Toc414373835"/>
      <w:r>
        <w:t xml:space="preserve">The APVMA has before it an application from </w:t>
      </w:r>
      <w:r w:rsidR="00204739">
        <w:t>Cotton Australian Limite</w:t>
      </w:r>
      <w:r w:rsidR="00204739" w:rsidRPr="00204739">
        <w:t xml:space="preserve">d for </w:t>
      </w:r>
      <w:r w:rsidR="00204739" w:rsidRPr="0034195B">
        <w:t>a</w:t>
      </w:r>
      <w:r w:rsidR="00204739">
        <w:t>n</w:t>
      </w:r>
      <w:r w:rsidR="00204739" w:rsidRPr="0034195B">
        <w:t xml:space="preserve"> emergency permit for</w:t>
      </w:r>
      <w:r w:rsidR="00204739">
        <w:t xml:space="preserve"> the</w:t>
      </w:r>
      <w:r w:rsidR="00204739" w:rsidRPr="0034195B">
        <w:t xml:space="preserve"> </w:t>
      </w:r>
      <w:r w:rsidR="00204739" w:rsidRPr="00C13A4C">
        <w:t>use</w:t>
      </w:r>
      <w:r w:rsidR="00204739" w:rsidRPr="0034195B">
        <w:rPr>
          <w:color w:val="BD3632" w:themeColor="accent6"/>
        </w:rPr>
        <w:t xml:space="preserve"> </w:t>
      </w:r>
      <w:r w:rsidR="00204739" w:rsidRPr="0034195B">
        <w:t xml:space="preserve">of </w:t>
      </w:r>
      <w:r w:rsidR="00204739">
        <w:t xml:space="preserve">Belanty® Fungicide </w:t>
      </w:r>
      <w:r w:rsidR="00204739" w:rsidRPr="0034195B">
        <w:t xml:space="preserve">containing </w:t>
      </w:r>
      <w:r w:rsidR="00063A19">
        <w:t>75 </w:t>
      </w:r>
      <w:r w:rsidR="00204739">
        <w:t xml:space="preserve">g/L mefentrifluconazole </w:t>
      </w:r>
      <w:r w:rsidR="00204739" w:rsidRPr="0034195B">
        <w:t>on</w:t>
      </w:r>
      <w:r w:rsidR="00204739">
        <w:t xml:space="preserve"> cotton</w:t>
      </w:r>
      <w:r w:rsidR="00204739" w:rsidRPr="0034195B">
        <w:t>.</w:t>
      </w:r>
      <w:bookmarkEnd w:id="10"/>
    </w:p>
    <w:p w14:paraId="6FDBA0BF" w14:textId="1F2CDA12" w:rsidR="006D36C8" w:rsidRDefault="006D36C8" w:rsidP="00985E58">
      <w:pPr>
        <w:pStyle w:val="Heading1"/>
        <w:pageBreakBefore w:val="0"/>
      </w:pPr>
      <w:bookmarkStart w:id="11" w:name="_Toc2243846"/>
      <w:bookmarkStart w:id="12" w:name="_Toc155278362"/>
      <w:r w:rsidRPr="00032787">
        <w:lastRenderedPageBreak/>
        <w:t>Trade</w:t>
      </w:r>
      <w:r w:rsidR="007B1953">
        <w:t xml:space="preserve"> c</w:t>
      </w:r>
      <w:r>
        <w:t>onsiderations</w:t>
      </w:r>
      <w:bookmarkEnd w:id="11"/>
      <w:bookmarkEnd w:id="12"/>
    </w:p>
    <w:p w14:paraId="57B2B732" w14:textId="77777777" w:rsidR="006D36C8" w:rsidRDefault="006D36C8" w:rsidP="007B1953">
      <w:pPr>
        <w:pStyle w:val="Heading2"/>
        <w:numPr>
          <w:ilvl w:val="0"/>
          <w:numId w:val="0"/>
        </w:numPr>
      </w:pPr>
      <w:bookmarkStart w:id="13" w:name="_Toc2243847"/>
      <w:bookmarkStart w:id="14" w:name="_Toc155278363"/>
      <w:r>
        <w:t xml:space="preserve">Commodities </w:t>
      </w:r>
      <w:r w:rsidRPr="00753ED8">
        <w:t>exported</w:t>
      </w:r>
      <w:bookmarkEnd w:id="13"/>
      <w:bookmarkEnd w:id="14"/>
    </w:p>
    <w:p w14:paraId="7E2AE415" w14:textId="78561ED1" w:rsidR="006D36C8" w:rsidRDefault="00204739" w:rsidP="006D36C8">
      <w:pPr>
        <w:pStyle w:val="APVMAText"/>
      </w:pPr>
      <w:r>
        <w:t>Cotton seed and its derived oils and meals are</w:t>
      </w:r>
      <w:r w:rsidRPr="007E1362">
        <w:t xml:space="preserve"> considered to be major export commodities</w:t>
      </w:r>
      <w:r w:rsidRPr="00AC35AB">
        <w:rPr>
          <w:vertAlign w:val="superscript"/>
        </w:rPr>
        <w:footnoteReference w:id="2"/>
      </w:r>
      <w:r w:rsidR="00AC35AB">
        <w:t xml:space="preserve">, </w:t>
      </w:r>
      <w:r w:rsidRPr="007E1362">
        <w:t>as are commodities of animal origin, such as meat, offal and dairy products, which may be derived from livestock fed feeds produced from treated forages and fodders.</w:t>
      </w:r>
      <w:r w:rsidRPr="00204739">
        <w:t xml:space="preserve"> </w:t>
      </w:r>
      <w:r w:rsidRPr="007E1362">
        <w:t xml:space="preserve">Residues in these commodities resulting from the use of </w:t>
      </w:r>
      <w:r w:rsidRPr="00204739">
        <w:t>Belanty® Fungicide</w:t>
      </w:r>
      <w:r w:rsidRPr="007E1362">
        <w:t xml:space="preserve"> may have the potential to unduly </w:t>
      </w:r>
      <w:r>
        <w:t>prejudice trade</w:t>
      </w:r>
      <w:r w:rsidR="007B1953">
        <w:t>.</w:t>
      </w:r>
    </w:p>
    <w:p w14:paraId="4E7D018C" w14:textId="77777777" w:rsidR="006D36C8" w:rsidRDefault="006D36C8" w:rsidP="007B1953">
      <w:pPr>
        <w:pStyle w:val="Heading2"/>
        <w:numPr>
          <w:ilvl w:val="0"/>
          <w:numId w:val="0"/>
        </w:numPr>
      </w:pPr>
      <w:bookmarkStart w:id="15" w:name="_Toc231889745"/>
      <w:bookmarkStart w:id="16" w:name="_Toc2243848"/>
      <w:bookmarkStart w:id="17" w:name="_Toc155278364"/>
      <w:r>
        <w:t>Destination and value of exports</w:t>
      </w:r>
      <w:bookmarkEnd w:id="15"/>
      <w:bookmarkEnd w:id="16"/>
      <w:bookmarkEnd w:id="17"/>
    </w:p>
    <w:p w14:paraId="64030173" w14:textId="3CAB8F4F" w:rsidR="00204739" w:rsidRDefault="00204739" w:rsidP="00204739">
      <w:pPr>
        <w:pStyle w:val="APVMAText"/>
      </w:pPr>
      <w:r>
        <w:t xml:space="preserve">Australia exported an estimated </w:t>
      </w:r>
      <w:r w:rsidR="00063A19">
        <w:t>550 </w:t>
      </w:r>
      <w:r>
        <w:t>kt of total oilseeds worth AUD$5967 million in the</w:t>
      </w:r>
      <w:r w:rsidR="00063A19">
        <w:br/>
      </w:r>
      <w:r>
        <w:t>fiscal year 2021</w:t>
      </w:r>
      <w:r w:rsidR="00063A19">
        <w:t>–</w:t>
      </w:r>
      <w:r>
        <w:t>22</w:t>
      </w:r>
      <w:r w:rsidRPr="00204739">
        <w:footnoteReference w:id="3"/>
      </w:r>
      <w:r>
        <w:t xml:space="preserve">. Australian exports of cottonseed comprised of approximately </w:t>
      </w:r>
      <w:r w:rsidR="00063A19">
        <w:t>306 </w:t>
      </w:r>
      <w:r>
        <w:t>kt.</w:t>
      </w:r>
    </w:p>
    <w:p w14:paraId="4A8E799D" w14:textId="6F32785F" w:rsidR="00204739" w:rsidRDefault="00204739" w:rsidP="00204739">
      <w:pPr>
        <w:pStyle w:val="APVMAText"/>
      </w:pPr>
      <w:r>
        <w:t>The major export markets for cottonseed in 2021</w:t>
      </w:r>
      <w:r w:rsidR="00063A19">
        <w:t>–</w:t>
      </w:r>
      <w:r>
        <w:t>22 were China, Korea and Japan</w:t>
      </w:r>
      <w:r w:rsidRPr="005637ED">
        <w:rPr>
          <w:vertAlign w:val="superscript"/>
        </w:rPr>
        <w:t>6</w:t>
      </w:r>
      <w:r>
        <w:t>.</w:t>
      </w:r>
    </w:p>
    <w:p w14:paraId="7E2CF1A7" w14:textId="1A26A853" w:rsidR="00204739" w:rsidRDefault="00204739" w:rsidP="00204739">
      <w:pPr>
        <w:pStyle w:val="APVMAText"/>
      </w:pPr>
      <w:r>
        <w:t xml:space="preserve">The significant export markets for Australian beef, sheep, pig meat and offal are listed in the APVMA Regulatory Guidelines – Data Guidelines: Agricultural </w:t>
      </w:r>
      <w:r w:rsidR="00FB728F">
        <w:t>–</w:t>
      </w:r>
      <w:r>
        <w:t xml:space="preserve"> </w:t>
      </w:r>
      <w:r w:rsidR="00FB728F">
        <w:t>Oversea</w:t>
      </w:r>
      <w:r>
        <w:t>s trade (Part 5B). However, no changes are required to the current animal commodity MRLs, and an ESI is not required for the use considered here.</w:t>
      </w:r>
    </w:p>
    <w:p w14:paraId="3EC6D648" w14:textId="4F3CD01D" w:rsidR="006D36C8" w:rsidRDefault="007B1953" w:rsidP="00032787">
      <w:pPr>
        <w:pStyle w:val="Heading2"/>
      </w:pPr>
      <w:bookmarkStart w:id="18" w:name="_Toc231889746"/>
      <w:bookmarkStart w:id="19" w:name="_Toc2243849"/>
      <w:bookmarkStart w:id="20" w:name="_Toc155278365"/>
      <w:r>
        <w:t xml:space="preserve">Proposed Australian use </w:t>
      </w:r>
      <w:r w:rsidR="006D36C8">
        <w:t>pattern</w:t>
      </w:r>
      <w:bookmarkEnd w:id="18"/>
      <w:bookmarkEnd w:id="19"/>
      <w:bookmarkEnd w:id="20"/>
    </w:p>
    <w:p w14:paraId="3AED2408" w14:textId="3EB92D7C" w:rsidR="006D36C8" w:rsidRDefault="00063A19" w:rsidP="00957A91">
      <w:pPr>
        <w:pStyle w:val="Caption"/>
      </w:pPr>
      <w:bookmarkStart w:id="21" w:name="_Toc155278376"/>
      <w:bookmarkStart w:id="22" w:name="_Toc252955168"/>
      <w:r w:rsidRPr="007051D9">
        <w:t xml:space="preserve">Table </w:t>
      </w:r>
      <w:fldSimple w:instr=" SEQ Table \* ARABIC ">
        <w:r>
          <w:rPr>
            <w:noProof/>
          </w:rPr>
          <w:t>1</w:t>
        </w:r>
      </w:fldSimple>
      <w:r w:rsidRPr="007051D9">
        <w:t>:</w:t>
      </w:r>
      <w:r w:rsidR="006D36C8">
        <w:tab/>
        <w:t>Proposed use pattern</w:t>
      </w:r>
      <w:bookmarkEnd w:id="21"/>
      <w:r w:rsidR="006D36C8">
        <w:t xml:space="preserve"> </w:t>
      </w:r>
      <w:bookmarkEnd w:id="22"/>
    </w:p>
    <w:tbl>
      <w:tblPr>
        <w:tblW w:w="5000" w:type="pct"/>
        <w:tblBorders>
          <w:bottom w:val="single" w:sz="4" w:space="0" w:color="auto"/>
          <w:insideH w:val="single" w:sz="4" w:space="0" w:color="auto"/>
        </w:tblBorders>
        <w:tblLook w:val="0020" w:firstRow="1" w:lastRow="0" w:firstColumn="0" w:lastColumn="0" w:noHBand="0" w:noVBand="0"/>
      </w:tblPr>
      <w:tblGrid>
        <w:gridCol w:w="1303"/>
        <w:gridCol w:w="1224"/>
        <w:gridCol w:w="2575"/>
        <w:gridCol w:w="4536"/>
      </w:tblGrid>
      <w:tr w:rsidR="006D36C8" w14:paraId="72B660C5" w14:textId="77777777" w:rsidTr="00204739">
        <w:trPr>
          <w:tblHeader/>
        </w:trPr>
        <w:tc>
          <w:tcPr>
            <w:tcW w:w="676" w:type="pct"/>
            <w:tcBorders>
              <w:top w:val="single" w:sz="4" w:space="0" w:color="auto"/>
            </w:tcBorders>
            <w:shd w:val="clear" w:color="auto" w:fill="00747A" w:themeFill="background2"/>
          </w:tcPr>
          <w:p w14:paraId="368C10F0" w14:textId="77777777" w:rsidR="006D36C8" w:rsidRDefault="006D36C8" w:rsidP="00790A8E">
            <w:pPr>
              <w:pStyle w:val="APVMATableHead"/>
            </w:pPr>
            <w:r>
              <w:t>Crop</w:t>
            </w:r>
          </w:p>
        </w:tc>
        <w:tc>
          <w:tcPr>
            <w:tcW w:w="635" w:type="pct"/>
            <w:tcBorders>
              <w:top w:val="single" w:sz="4" w:space="0" w:color="auto"/>
            </w:tcBorders>
            <w:shd w:val="clear" w:color="auto" w:fill="00747A" w:themeFill="background2"/>
          </w:tcPr>
          <w:p w14:paraId="36728C59" w14:textId="77777777" w:rsidR="006D36C8" w:rsidRDefault="006D36C8" w:rsidP="00790A8E">
            <w:pPr>
              <w:pStyle w:val="APVMATableHead"/>
            </w:pPr>
            <w:r>
              <w:t>Pest</w:t>
            </w:r>
          </w:p>
        </w:tc>
        <w:tc>
          <w:tcPr>
            <w:tcW w:w="1336" w:type="pct"/>
            <w:tcBorders>
              <w:top w:val="single" w:sz="4" w:space="0" w:color="auto"/>
            </w:tcBorders>
            <w:shd w:val="clear" w:color="auto" w:fill="00747A" w:themeFill="background2"/>
          </w:tcPr>
          <w:p w14:paraId="637EFEE8" w14:textId="2E89F565" w:rsidR="006D36C8" w:rsidRDefault="006D36C8" w:rsidP="00063A19">
            <w:pPr>
              <w:pStyle w:val="APVMATableHead"/>
            </w:pPr>
            <w:r>
              <w:t>Rate/</w:t>
            </w:r>
            <w:r w:rsidR="007368E2">
              <w:t>concentration</w:t>
            </w:r>
          </w:p>
        </w:tc>
        <w:tc>
          <w:tcPr>
            <w:tcW w:w="2353" w:type="pct"/>
            <w:tcBorders>
              <w:top w:val="single" w:sz="4" w:space="0" w:color="auto"/>
            </w:tcBorders>
            <w:shd w:val="clear" w:color="auto" w:fill="00747A" w:themeFill="background2"/>
          </w:tcPr>
          <w:p w14:paraId="1A05FC8D" w14:textId="77777777" w:rsidR="006D36C8" w:rsidRDefault="006D36C8" w:rsidP="00790A8E">
            <w:pPr>
              <w:pStyle w:val="APVMATableHead"/>
            </w:pPr>
            <w:r>
              <w:t>Critical comments</w:t>
            </w:r>
          </w:p>
        </w:tc>
      </w:tr>
      <w:tr w:rsidR="006D36C8" w14:paraId="779381D3" w14:textId="77777777" w:rsidTr="00204739">
        <w:trPr>
          <w:cantSplit/>
        </w:trPr>
        <w:tc>
          <w:tcPr>
            <w:tcW w:w="676" w:type="pct"/>
          </w:tcPr>
          <w:p w14:paraId="6EF90788" w14:textId="0A5683E9" w:rsidR="00204739" w:rsidRPr="00204739" w:rsidRDefault="00204739" w:rsidP="00204739">
            <w:pPr>
              <w:pStyle w:val="APVMATableText"/>
            </w:pPr>
            <w:r w:rsidRPr="00204739">
              <w:t>Cotton</w:t>
            </w:r>
            <w:r w:rsidR="00063A19">
              <w:br/>
            </w:r>
            <w:r w:rsidRPr="00204739">
              <w:t>(field)</w:t>
            </w:r>
          </w:p>
          <w:p w14:paraId="59AB6492" w14:textId="62A2E62A" w:rsidR="006D36C8" w:rsidRDefault="00204739" w:rsidP="00204739">
            <w:pPr>
              <w:pStyle w:val="APVMATableText"/>
            </w:pPr>
            <w:r w:rsidRPr="00204739">
              <w:t>Incl. genetically modified crops</w:t>
            </w:r>
          </w:p>
        </w:tc>
        <w:tc>
          <w:tcPr>
            <w:tcW w:w="635" w:type="pct"/>
          </w:tcPr>
          <w:p w14:paraId="1F3E0A62" w14:textId="4779C34E" w:rsidR="006D36C8" w:rsidRPr="00B4338F" w:rsidRDefault="00204739" w:rsidP="00790A8E">
            <w:pPr>
              <w:pStyle w:val="APVMATableText"/>
            </w:pPr>
            <w:r w:rsidRPr="00204739">
              <w:rPr>
                <w:i/>
                <w:iCs/>
              </w:rPr>
              <w:t xml:space="preserve">Ramularia </w:t>
            </w:r>
            <w:r w:rsidRPr="00204739">
              <w:t>Leaf spot</w:t>
            </w:r>
          </w:p>
        </w:tc>
        <w:tc>
          <w:tcPr>
            <w:tcW w:w="1336" w:type="pct"/>
          </w:tcPr>
          <w:p w14:paraId="1B4238A7" w14:textId="2ECB3C3E" w:rsidR="00204739" w:rsidRPr="00204739" w:rsidRDefault="00204739" w:rsidP="00204739">
            <w:pPr>
              <w:pStyle w:val="APVMATableText"/>
            </w:pPr>
            <w:r w:rsidRPr="00204739">
              <w:t>1.</w:t>
            </w:r>
            <w:r w:rsidR="00063A19" w:rsidRPr="00204739">
              <w:t>25</w:t>
            </w:r>
            <w:r w:rsidR="00063A19">
              <w:t> </w:t>
            </w:r>
            <w:r w:rsidRPr="00204739">
              <w:t xml:space="preserve">L/ha </w:t>
            </w:r>
          </w:p>
          <w:p w14:paraId="2A21272C" w14:textId="43F24448" w:rsidR="006D36C8" w:rsidRPr="008141E6" w:rsidRDefault="00204739" w:rsidP="00204739">
            <w:pPr>
              <w:pStyle w:val="APVMATableText"/>
            </w:pPr>
            <w:r w:rsidRPr="00204739">
              <w:t>(93.</w:t>
            </w:r>
            <w:r w:rsidR="00063A19" w:rsidRPr="00204739">
              <w:t>75</w:t>
            </w:r>
            <w:r w:rsidR="00063A19">
              <w:t> </w:t>
            </w:r>
            <w:r w:rsidR="00063A19" w:rsidRPr="00204739">
              <w:t>g</w:t>
            </w:r>
            <w:r w:rsidR="00063A19">
              <w:t> </w:t>
            </w:r>
            <w:r w:rsidRPr="00204739">
              <w:t>ai/ha)</w:t>
            </w:r>
          </w:p>
        </w:tc>
        <w:tc>
          <w:tcPr>
            <w:tcW w:w="2353" w:type="pct"/>
          </w:tcPr>
          <w:p w14:paraId="5326F17B" w14:textId="77777777" w:rsidR="00204739" w:rsidRPr="00204739" w:rsidRDefault="00204739" w:rsidP="00204739">
            <w:pPr>
              <w:pStyle w:val="APVMATableText"/>
            </w:pPr>
            <w:r w:rsidRPr="00204739">
              <w:t>Apply BELANTY prior to an infection period when conditions favour the development of disease.</w:t>
            </w:r>
          </w:p>
          <w:p w14:paraId="7E672A34" w14:textId="679475BA" w:rsidR="00541125" w:rsidRPr="00541125" w:rsidRDefault="00541125" w:rsidP="00541125">
            <w:pPr>
              <w:pStyle w:val="APVMATableText"/>
            </w:pPr>
            <w:r>
              <w:t xml:space="preserve">Apply by aircraft in a minimum spray volume of </w:t>
            </w:r>
            <w:r w:rsidR="00063A19">
              <w:t>30 </w:t>
            </w:r>
            <w:r>
              <w:t>L/ha.</w:t>
            </w:r>
          </w:p>
          <w:p w14:paraId="54E88718" w14:textId="6F724F25" w:rsidR="006D36C8" w:rsidRPr="000D72C3" w:rsidRDefault="00541125" w:rsidP="00204739">
            <w:pPr>
              <w:pStyle w:val="APVMATableText"/>
            </w:pPr>
            <w:r>
              <w:t>Apply by boom sprayer in spray volumes of</w:t>
            </w:r>
            <w:r w:rsidR="00BF6983">
              <w:br/>
            </w:r>
            <w:r w:rsidR="00063A19">
              <w:t>70–100 </w:t>
            </w:r>
            <w:r>
              <w:t>L/ha.</w:t>
            </w:r>
          </w:p>
        </w:tc>
      </w:tr>
    </w:tbl>
    <w:p w14:paraId="77F79A84" w14:textId="47270340" w:rsidR="00204739" w:rsidRDefault="00204739" w:rsidP="00BF6983">
      <w:pPr>
        <w:pStyle w:val="Heading3"/>
      </w:pPr>
      <w:bookmarkStart w:id="23" w:name="_Toc155278366"/>
      <w:r>
        <w:t>Restraints</w:t>
      </w:r>
      <w:bookmarkEnd w:id="23"/>
    </w:p>
    <w:p w14:paraId="70EFA9AB" w14:textId="77777777" w:rsidR="00204739" w:rsidRDefault="00204739" w:rsidP="00204739">
      <w:pPr>
        <w:pStyle w:val="APVMAText"/>
      </w:pPr>
      <w:r w:rsidRPr="00BF5B71">
        <w:t>DO NOT apply if heavy rains or storms are forecast within 3 days.</w:t>
      </w:r>
    </w:p>
    <w:p w14:paraId="65D51E47" w14:textId="77777777" w:rsidR="00204739" w:rsidRPr="00BF5B71" w:rsidRDefault="00204739" w:rsidP="00204739">
      <w:pPr>
        <w:pStyle w:val="APVMAText"/>
      </w:pPr>
      <w:r w:rsidRPr="00BF5B71">
        <w:t>DO NOT apply more than 3 applications per crop.</w:t>
      </w:r>
    </w:p>
    <w:p w14:paraId="3BF77B89" w14:textId="77777777" w:rsidR="00204739" w:rsidRPr="00BF5B71" w:rsidRDefault="00204739" w:rsidP="00204739">
      <w:pPr>
        <w:pStyle w:val="APVMAText"/>
      </w:pPr>
      <w:r w:rsidRPr="00BF5B71">
        <w:lastRenderedPageBreak/>
        <w:t>DO NOT apply less than 15-day intervals between applications.</w:t>
      </w:r>
    </w:p>
    <w:p w14:paraId="204B0645" w14:textId="77777777" w:rsidR="00204739" w:rsidRPr="00BF5B71" w:rsidRDefault="00204739" w:rsidP="00204739">
      <w:pPr>
        <w:pStyle w:val="APVMAText"/>
      </w:pPr>
      <w:r w:rsidRPr="00BF5B71">
        <w:t>DO NOT irrigate to the point of field runoff for at least 3 days after application.</w:t>
      </w:r>
    </w:p>
    <w:p w14:paraId="793C5430" w14:textId="77777777" w:rsidR="00204739" w:rsidRPr="00BF5B71" w:rsidRDefault="00204739" w:rsidP="00204739">
      <w:pPr>
        <w:pStyle w:val="APVMAText"/>
      </w:pPr>
      <w:r w:rsidRPr="00BF5B71">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A76AE73" w14:textId="77777777" w:rsidR="00204739" w:rsidRPr="00BF5B71" w:rsidRDefault="00204739" w:rsidP="00204739">
      <w:pPr>
        <w:pStyle w:val="APVMAText"/>
      </w:pPr>
      <w:r w:rsidRPr="00BF5B71">
        <w:t>DO NOT apply unless the wind speed is between 3 and 20 kilometres per hour at the application site during the time of application.</w:t>
      </w:r>
    </w:p>
    <w:p w14:paraId="560F32BD" w14:textId="3A4F1EBC" w:rsidR="00204739" w:rsidRPr="00BF5B71" w:rsidRDefault="00204739" w:rsidP="00204739">
      <w:pPr>
        <w:pStyle w:val="APVMAText"/>
      </w:pPr>
      <w:r w:rsidRPr="00BF5B71">
        <w:t xml:space="preserve">DO NOT apply if there are hazardous surface temperature inversion conditions present at the application site during the time of application. Surface temperature inversion conditions exist most evenings one to </w:t>
      </w:r>
      <w:r w:rsidR="00063A19">
        <w:t>2</w:t>
      </w:r>
      <w:r w:rsidR="00063A19" w:rsidRPr="00BF5B71">
        <w:t xml:space="preserve"> </w:t>
      </w:r>
      <w:r w:rsidRPr="00BF5B71">
        <w:t xml:space="preserve">hours before sunset and persist until one to </w:t>
      </w:r>
      <w:r w:rsidR="00063A19">
        <w:t>2</w:t>
      </w:r>
      <w:r w:rsidR="00063A19" w:rsidRPr="00BF5B71">
        <w:t xml:space="preserve"> </w:t>
      </w:r>
      <w:r w:rsidRPr="00BF5B71">
        <w:t>hours after sunrise.</w:t>
      </w:r>
    </w:p>
    <w:p w14:paraId="201A6902" w14:textId="085ADD4E" w:rsidR="00204739" w:rsidRPr="00204739" w:rsidRDefault="00204739" w:rsidP="00204739">
      <w:pPr>
        <w:pStyle w:val="APVMAText"/>
      </w:pPr>
      <w:r w:rsidRPr="00BF5B71">
        <w:t xml:space="preserve">BELANTY is not compatible with </w:t>
      </w:r>
      <w:proofErr w:type="spellStart"/>
      <w:r w:rsidRPr="00BF5B71">
        <w:t>Dithane</w:t>
      </w:r>
      <w:proofErr w:type="spellEnd"/>
      <w:r w:rsidRPr="00BF5B71">
        <w:t xml:space="preserve"> </w:t>
      </w:r>
      <w:proofErr w:type="spellStart"/>
      <w:r w:rsidRPr="00BF5B71">
        <w:t>Rainshield</w:t>
      </w:r>
      <w:proofErr w:type="spellEnd"/>
      <w:r w:rsidRPr="00BF5B71">
        <w:t xml:space="preserve"> Neo Tech </w:t>
      </w:r>
      <w:r w:rsidR="00063A19" w:rsidRPr="00BF5B71">
        <w:t>750</w:t>
      </w:r>
      <w:r w:rsidR="00063A19">
        <w:t> </w:t>
      </w:r>
      <w:r w:rsidRPr="00BF5B71">
        <w:t>WG</w:t>
      </w:r>
      <w:r w:rsidRPr="00204739">
        <w:t>.</w:t>
      </w:r>
    </w:p>
    <w:p w14:paraId="303B3E3B" w14:textId="20E8A5FF" w:rsidR="00204739" w:rsidRDefault="00204739" w:rsidP="00BF6983">
      <w:pPr>
        <w:pStyle w:val="Heading3"/>
      </w:pPr>
      <w:bookmarkStart w:id="24" w:name="_Toc155278367"/>
      <w:r>
        <w:t>Withholding periods</w:t>
      </w:r>
      <w:bookmarkEnd w:id="24"/>
    </w:p>
    <w:p w14:paraId="5351667A" w14:textId="1834E501" w:rsidR="00063A19" w:rsidRDefault="00204739" w:rsidP="00BF6983">
      <w:pPr>
        <w:pStyle w:val="Heading4"/>
      </w:pPr>
      <w:r>
        <w:t>Harvest</w:t>
      </w:r>
    </w:p>
    <w:p w14:paraId="6BCF225E" w14:textId="40422823" w:rsidR="00204739" w:rsidRDefault="00204739" w:rsidP="00204739">
      <w:pPr>
        <w:pStyle w:val="APVMAText"/>
      </w:pPr>
      <w:r w:rsidRPr="00081158">
        <w:t xml:space="preserve">Do not harvest for </w:t>
      </w:r>
      <w:r w:rsidR="00C3498F">
        <w:t>30</w:t>
      </w:r>
      <w:r w:rsidRPr="00081158">
        <w:t xml:space="preserve"> days after </w:t>
      </w:r>
      <w:r w:rsidR="00C3498F">
        <w:t xml:space="preserve">the last </w:t>
      </w:r>
      <w:r w:rsidRPr="00081158">
        <w:t>application.</w:t>
      </w:r>
    </w:p>
    <w:p w14:paraId="1EA98989" w14:textId="77777777" w:rsidR="00063A19" w:rsidRDefault="00204739" w:rsidP="00BF6983">
      <w:pPr>
        <w:pStyle w:val="Heading4"/>
      </w:pPr>
      <w:r>
        <w:t>Grazing</w:t>
      </w:r>
    </w:p>
    <w:p w14:paraId="04664E30" w14:textId="450A9936" w:rsidR="00204739" w:rsidRDefault="00C3498F" w:rsidP="00204739">
      <w:pPr>
        <w:pStyle w:val="APVMAText"/>
      </w:pPr>
      <w:r>
        <w:t>DO NOT feed cotton fodder, stubble or trash to livestock.</w:t>
      </w:r>
    </w:p>
    <w:p w14:paraId="28529C15" w14:textId="77777777" w:rsidR="006D36C8" w:rsidRDefault="006D36C8" w:rsidP="00032787">
      <w:pPr>
        <w:pStyle w:val="Heading2"/>
      </w:pPr>
      <w:bookmarkStart w:id="25" w:name="_Toc231889747"/>
      <w:bookmarkStart w:id="26" w:name="_Toc2243850"/>
      <w:bookmarkStart w:id="27" w:name="_Toc155278368"/>
      <w:r>
        <w:t>Results from residues trials presented to the APVMA</w:t>
      </w:r>
      <w:bookmarkEnd w:id="25"/>
      <w:bookmarkEnd w:id="26"/>
      <w:bookmarkEnd w:id="27"/>
    </w:p>
    <w:p w14:paraId="6AC93456" w14:textId="1EA2B259" w:rsidR="00C3498F" w:rsidRPr="00BF3D89" w:rsidRDefault="00C3498F" w:rsidP="00C3498F">
      <w:pPr>
        <w:pStyle w:val="APVMAText"/>
      </w:pPr>
      <w:r w:rsidRPr="00BF3D89">
        <w:t xml:space="preserve">Mefentrifluconazole residues in undelinted cottonseed following </w:t>
      </w:r>
      <w:r w:rsidR="00BF6983">
        <w:t>3</w:t>
      </w:r>
      <w:r w:rsidR="00BF6983" w:rsidRPr="00BF3D89">
        <w:t xml:space="preserve"> </w:t>
      </w:r>
      <w:r w:rsidRPr="00BF3D89">
        <w:t xml:space="preserve">applications at </w:t>
      </w:r>
      <w:r w:rsidRPr="00BF3D89">
        <w:rPr>
          <w:rFonts w:ascii="Cambria Math" w:hAnsi="Cambria Math" w:cs="Cambria Math"/>
        </w:rPr>
        <w:t>∼</w:t>
      </w:r>
      <w:r w:rsidRPr="00BF3D89">
        <w:t>1.6× the proposed rate, at a re-treatment interval of 6</w:t>
      </w:r>
      <w:r w:rsidR="00BF6983">
        <w:t>–</w:t>
      </w:r>
      <w:r w:rsidRPr="00BF3D89">
        <w:t>9 days, at 29</w:t>
      </w:r>
      <w:r w:rsidR="00BF6983">
        <w:t>–</w:t>
      </w:r>
      <w:r w:rsidRPr="00BF3D89">
        <w:t>31 days PHI, in rank order, were: &lt;0.01, 0.01, 0.03 (2), 0.05, 0.</w:t>
      </w:r>
      <w:r w:rsidR="00063A19" w:rsidRPr="00BF3D89">
        <w:t>06</w:t>
      </w:r>
      <w:r w:rsidR="00063A19">
        <w:t> </w:t>
      </w:r>
      <w:r w:rsidRPr="00BF3D89">
        <w:t>(2), 0.</w:t>
      </w:r>
      <w:r w:rsidR="00063A19" w:rsidRPr="00BF3D89">
        <w:t>07</w:t>
      </w:r>
      <w:r w:rsidR="00063A19">
        <w:t> </w:t>
      </w:r>
      <w:r w:rsidRPr="00BF3D89">
        <w:t>(2), 0.10, 0.12 and 0.</w:t>
      </w:r>
      <w:r w:rsidR="00063A19" w:rsidRPr="00BF3D89">
        <w:t>16</w:t>
      </w:r>
      <w:r w:rsidR="00063A19">
        <w:t> </w:t>
      </w:r>
      <w:r w:rsidRPr="00BF3D89">
        <w:t>mg/kg (n=12). Scaling down to the proposed rate, mefentrifluconazole residues in undelinted cottonseeds were: &lt;0.01 (2), 0.02 (2), 0.03, 0.04 (4), 0.06, 0.08 and 0.</w:t>
      </w:r>
      <w:r w:rsidR="00063A19" w:rsidRPr="00BF3D89">
        <w:t>10</w:t>
      </w:r>
      <w:r w:rsidR="00063A19">
        <w:t> </w:t>
      </w:r>
      <w:r w:rsidRPr="00BF3D89">
        <w:t>mg/kg (n=12).</w:t>
      </w:r>
    </w:p>
    <w:p w14:paraId="43E9C8DE" w14:textId="54423C11" w:rsidR="00C3498F" w:rsidRPr="00BF3D89" w:rsidRDefault="00C3498F" w:rsidP="00C3498F">
      <w:pPr>
        <w:pStyle w:val="APVMAText"/>
      </w:pPr>
      <w:r w:rsidRPr="00BF3D89">
        <w:t>The OECD MRL calculator estimates an MRL of 0.15 mg/kg. The STMR was 0.04 mg/kg.</w:t>
      </w:r>
    </w:p>
    <w:p w14:paraId="7ACBCFC6" w14:textId="0D2C188B" w:rsidR="00C3498F" w:rsidRDefault="00C3498F" w:rsidP="00C3498F">
      <w:pPr>
        <w:pStyle w:val="APVMAText"/>
      </w:pPr>
      <w:r w:rsidRPr="00BF3D89">
        <w:t>Based on the available information and noting a re-treatment interval of 6</w:t>
      </w:r>
      <w:r w:rsidR="00063A19">
        <w:t>–</w:t>
      </w:r>
      <w:r w:rsidRPr="00BF3D89">
        <w:t>9 days in the submitted trials compared with a re-treatment interval of 15 days, a mefentrifluconazole MRL of T0.</w:t>
      </w:r>
      <w:r w:rsidR="00063A19" w:rsidRPr="00BF3D89">
        <w:t>2</w:t>
      </w:r>
      <w:r w:rsidR="00063A19">
        <w:t> </w:t>
      </w:r>
      <w:r w:rsidRPr="00BF3D89">
        <w:t xml:space="preserve">mg/kg for </w:t>
      </w:r>
      <w:r w:rsidR="00607E30">
        <w:t>(</w:t>
      </w:r>
      <w:r w:rsidRPr="00BF3D89">
        <w:t>SO 0691</w:t>
      </w:r>
      <w:r w:rsidR="00607E30">
        <w:t>)</w:t>
      </w:r>
      <w:r w:rsidR="00607E30" w:rsidRPr="00BF3D89">
        <w:t xml:space="preserve"> </w:t>
      </w:r>
      <w:r w:rsidRPr="00BF3D89">
        <w:t xml:space="preserve">Cotton seed is recommended to cover mefentrifluconazole residues arising in cottonseed </w:t>
      </w:r>
      <w:proofErr w:type="gramStart"/>
      <w:r w:rsidRPr="00BF3D89">
        <w:t>as a result of</w:t>
      </w:r>
      <w:proofErr w:type="gramEnd"/>
      <w:r w:rsidRPr="00BF3D89">
        <w:t xml:space="preserve"> the proposed use in conjunction with a harvest withholding period of 30 days</w:t>
      </w:r>
      <w:r>
        <w:t>.</w:t>
      </w:r>
    </w:p>
    <w:p w14:paraId="61F9FC16" w14:textId="77777777" w:rsidR="00C3498F" w:rsidRPr="00BF3D89" w:rsidRDefault="00C3498F" w:rsidP="00063A19">
      <w:pPr>
        <w:pStyle w:val="Heading3"/>
      </w:pPr>
      <w:bookmarkStart w:id="28" w:name="_Toc155278369"/>
      <w:r w:rsidRPr="00BF3D89">
        <w:lastRenderedPageBreak/>
        <w:t>Cotton gin-byproducts</w:t>
      </w:r>
      <w:bookmarkEnd w:id="28"/>
    </w:p>
    <w:p w14:paraId="4E48C397" w14:textId="5C8A3110" w:rsidR="00C3498F" w:rsidRDefault="00C3498F" w:rsidP="00C3498F">
      <w:pPr>
        <w:pStyle w:val="APVMAText"/>
      </w:pPr>
      <w:r>
        <w:t xml:space="preserve">Mefentrifluconazole residues in cotton trash following </w:t>
      </w:r>
      <w:r w:rsidR="00607E30">
        <w:t xml:space="preserve">3 </w:t>
      </w:r>
      <w:r>
        <w:t xml:space="preserve">applications at </w:t>
      </w:r>
      <w:r w:rsidRPr="00BF3D89">
        <w:rPr>
          <w:rFonts w:ascii="Cambria Math" w:hAnsi="Cambria Math" w:cs="Cambria Math"/>
        </w:rPr>
        <w:t>∼</w:t>
      </w:r>
      <w:r>
        <w:t>1.6× the proposed rate, at a</w:t>
      </w:r>
      <w:r w:rsidR="00063A19">
        <w:br/>
      </w:r>
      <w:r>
        <w:t>re-treatment interval of 6</w:t>
      </w:r>
      <w:r w:rsidR="00063A19">
        <w:t>–</w:t>
      </w:r>
      <w:r>
        <w:t>9 days, at 29</w:t>
      </w:r>
      <w:r w:rsidR="00063A19">
        <w:t>–</w:t>
      </w:r>
      <w:r>
        <w:t>31 days PHI, in rank order, were: 1.64, 3.80 and 4.</w:t>
      </w:r>
      <w:r w:rsidR="00063A19">
        <w:t>14 </w:t>
      </w:r>
      <w:r>
        <w:t xml:space="preserve">mg/kg. Scaling down to the proposed rate, mefentrifluconazole residues in </w:t>
      </w:r>
      <w:r w:rsidR="005637ED">
        <w:t xml:space="preserve">cotton trash </w:t>
      </w:r>
      <w:r>
        <w:t>were: 1.03, 2.38 and 2.</w:t>
      </w:r>
      <w:r w:rsidR="00063A19">
        <w:t>59 </w:t>
      </w:r>
      <w:r>
        <w:t>mg/</w:t>
      </w:r>
      <w:r w:rsidR="00007E23">
        <w:t>kg </w:t>
      </w:r>
      <w:r>
        <w:t>(n=3).</w:t>
      </w:r>
    </w:p>
    <w:p w14:paraId="58844B66" w14:textId="44B1BE70" w:rsidR="00C3498F" w:rsidRDefault="00C3498F" w:rsidP="00C3498F">
      <w:pPr>
        <w:pStyle w:val="APVMAText"/>
      </w:pPr>
      <w:r>
        <w:t xml:space="preserve">Cotton forage and fodder data was not provided. It is not considered good practice to feed cotton fodder, stubble or trash to livestock. </w:t>
      </w:r>
      <w:r w:rsidR="00160692">
        <w:t>‘</w:t>
      </w:r>
      <w:r>
        <w:t xml:space="preserve">Table 4 </w:t>
      </w:r>
      <w:r w:rsidR="00160692">
        <w:t xml:space="preserve">– Animal Feed Commodities’ </w:t>
      </w:r>
      <w:r>
        <w:t xml:space="preserve">entries </w:t>
      </w:r>
      <w:r w:rsidR="00160692">
        <w:t xml:space="preserve">for the MRL Standard </w:t>
      </w:r>
      <w:r>
        <w:t xml:space="preserve">will not be established for these commodities at this time (an MRL of </w:t>
      </w:r>
      <w:r w:rsidR="00063A19">
        <w:t>T5 </w:t>
      </w:r>
      <w:r>
        <w:t xml:space="preserve">mg/kg would be required for mefentrifluconazole on cotton trash should this practice be changed in the future). It is recommended that the following restraint be included on the permit: </w:t>
      </w:r>
      <w:r w:rsidR="00063A19">
        <w:t>‘</w:t>
      </w:r>
      <w:r>
        <w:t>DO NOT feed cotton fodder, stubble or trash to livestock</w:t>
      </w:r>
      <w:r w:rsidR="00063A19">
        <w:t>’.</w:t>
      </w:r>
    </w:p>
    <w:p w14:paraId="262B7679" w14:textId="77777777" w:rsidR="00C3498F" w:rsidRPr="00C3498F" w:rsidRDefault="00C3498F" w:rsidP="00063A19">
      <w:pPr>
        <w:pStyle w:val="Heading3"/>
      </w:pPr>
      <w:bookmarkStart w:id="29" w:name="_Toc389674353"/>
      <w:bookmarkStart w:id="30" w:name="_Toc155278370"/>
      <w:r w:rsidRPr="00C3498F">
        <w:t xml:space="preserve">Processing </w:t>
      </w:r>
      <w:r w:rsidRPr="00AC35AB">
        <w:t>studies</w:t>
      </w:r>
      <w:bookmarkEnd w:id="29"/>
      <w:bookmarkEnd w:id="30"/>
    </w:p>
    <w:p w14:paraId="6C6CBFDE" w14:textId="5A429ABC" w:rsidR="00C3498F" w:rsidRPr="00C3498F" w:rsidRDefault="00C3498F" w:rsidP="00C3498F">
      <w:pPr>
        <w:pStyle w:val="APVMAText"/>
      </w:pPr>
      <w:r w:rsidRPr="00C3498F">
        <w:t>Processing studies have not been provided. The highest scaled residue in cotton seed is at the 0.</w:t>
      </w:r>
      <w:r w:rsidR="00063A19" w:rsidRPr="00C3498F">
        <w:t>1</w:t>
      </w:r>
      <w:r w:rsidR="00063A19">
        <w:t> </w:t>
      </w:r>
      <w:r w:rsidRPr="00C3498F">
        <w:t>mg/kg threshold for requirement of a processing study. However, the STMR is significantly lower. Processing factors reported by the 2022 JMPR for cotton hulls, meal and refined oil were all &lt;1.</w:t>
      </w:r>
    </w:p>
    <w:p w14:paraId="5472EA15" w14:textId="77777777" w:rsidR="006D36C8" w:rsidRDefault="006D36C8" w:rsidP="00032787">
      <w:pPr>
        <w:pStyle w:val="Heading2"/>
      </w:pPr>
      <w:bookmarkStart w:id="31" w:name="_Toc231889748"/>
      <w:bookmarkStart w:id="32" w:name="_Toc2243851"/>
      <w:bookmarkStart w:id="33" w:name="_Toc155278371"/>
      <w:r>
        <w:t>Overseas registration and approved label instructions</w:t>
      </w:r>
      <w:bookmarkEnd w:id="31"/>
      <w:bookmarkEnd w:id="32"/>
      <w:bookmarkEnd w:id="33"/>
    </w:p>
    <w:p w14:paraId="578B0E5B" w14:textId="62C532BF" w:rsidR="006D36C8" w:rsidRDefault="006D36C8" w:rsidP="006D36C8">
      <w:pPr>
        <w:pStyle w:val="APVMAText"/>
      </w:pPr>
      <w:r>
        <w:t>The applicant indicated that</w:t>
      </w:r>
      <w:r w:rsidR="00832996">
        <w:t xml:space="preserve"> Belanty</w:t>
      </w:r>
      <w:r w:rsidR="00832996" w:rsidRPr="00832996">
        <w:rPr>
          <w:vertAlign w:val="superscript"/>
        </w:rPr>
        <w:t>®</w:t>
      </w:r>
      <w:r w:rsidR="00832996">
        <w:t xml:space="preserve"> Fungicide is </w:t>
      </w:r>
      <w:r>
        <w:t>registered for use on</w:t>
      </w:r>
      <w:r w:rsidR="00832996">
        <w:t xml:space="preserve"> rice, banana, tomato, soy and grapes in Brazil</w:t>
      </w:r>
      <w:r w:rsidR="007B1953">
        <w:t>.</w:t>
      </w:r>
    </w:p>
    <w:p w14:paraId="0CB29406" w14:textId="12455002" w:rsidR="006D36C8" w:rsidRDefault="00957A91" w:rsidP="00032787">
      <w:pPr>
        <w:pStyle w:val="Heading2"/>
      </w:pPr>
      <w:bookmarkStart w:id="34" w:name="_Toc231889749"/>
      <w:bookmarkStart w:id="35" w:name="_Toc2243852"/>
      <w:bookmarkStart w:id="36" w:name="_Toc155278372"/>
      <w:r>
        <w:t>Codex Alimentarius C</w:t>
      </w:r>
      <w:r w:rsidR="006D36C8">
        <w:t>ommission and overseas MRLs</w:t>
      </w:r>
      <w:bookmarkEnd w:id="34"/>
      <w:bookmarkEnd w:id="35"/>
      <w:bookmarkEnd w:id="36"/>
    </w:p>
    <w:p w14:paraId="799FFF6B" w14:textId="442CF3A6" w:rsidR="00C3498F" w:rsidRDefault="006D36C8" w:rsidP="006D36C8">
      <w:pPr>
        <w:pStyle w:val="APVMAText"/>
        <w:sectPr w:rsidR="00C3498F">
          <w:pgSz w:w="11906" w:h="16838" w:code="9"/>
          <w:pgMar w:top="2835" w:right="1134" w:bottom="1134" w:left="1134" w:header="1701" w:footer="680" w:gutter="0"/>
          <w:cols w:space="708"/>
          <w:docGrid w:linePitch="360"/>
        </w:sectPr>
      </w:pPr>
      <w:r>
        <w:t>The Codex Alimentarius Commission (Codex) is responsible for establishing Codex Maximum Residue Limits (CXLs) for pesticides</w:t>
      </w:r>
      <w:r w:rsidR="00B061D3">
        <w:t xml:space="preserve"> and veterinary medicines</w:t>
      </w:r>
      <w:r>
        <w:t xml:space="preserve">. Codex CXLs are primarily intended to facilitate international </w:t>
      </w:r>
      <w:r w:rsidR="00C3498F">
        <w:t>trade and</w:t>
      </w:r>
      <w:r>
        <w:t xml:space="preserve"> accommodate differences in Good Agricultural Practice (GAP) employed by various countries. Some countries may accept Codex CXLs when importing foods. </w:t>
      </w:r>
      <w:r w:rsidR="00C3498F">
        <w:t>M</w:t>
      </w:r>
      <w:r w:rsidR="00C3498F" w:rsidRPr="00E43FD5">
        <w:t xml:space="preserve">efentrifluconazole </w:t>
      </w:r>
      <w:r w:rsidR="00C3498F">
        <w:t>MRLs recommended by the 2022 JMPR are being</w:t>
      </w:r>
      <w:r w:rsidR="00C3498F" w:rsidRPr="00E43FD5">
        <w:t xml:space="preserve"> considered by Codex.</w:t>
      </w:r>
      <w:r w:rsidR="00BA67F0">
        <w:t xml:space="preserve"> </w:t>
      </w:r>
      <w:r>
        <w:t xml:space="preserve">The following relevant Codex CXLs have been established for </w:t>
      </w:r>
      <w:r w:rsidR="00C3498F">
        <w:t xml:space="preserve">mefentrifluconazole. </w:t>
      </w:r>
    </w:p>
    <w:p w14:paraId="2BE26F1E" w14:textId="483701F4" w:rsidR="00C3498F" w:rsidRPr="00007E23" w:rsidRDefault="00063A19" w:rsidP="00BF6983">
      <w:pPr>
        <w:pStyle w:val="Caption"/>
      </w:pPr>
      <w:bookmarkStart w:id="37" w:name="_Toc252955169"/>
      <w:bookmarkStart w:id="38" w:name="_Toc155278377"/>
      <w:r w:rsidRPr="00007E23">
        <w:lastRenderedPageBreak/>
        <w:t xml:space="preserve">Table </w:t>
      </w:r>
      <w:fldSimple w:instr=" SEQ Table \* ARABIC ">
        <w:r w:rsidRPr="00BF6983">
          <w:t>2</w:t>
        </w:r>
      </w:fldSimple>
      <w:r w:rsidRPr="00007E23">
        <w:t>:</w:t>
      </w:r>
      <w:r w:rsidR="00C3498F" w:rsidRPr="00007E23">
        <w:tab/>
      </w:r>
      <w:bookmarkEnd w:id="37"/>
      <w:r w:rsidR="00C3498F" w:rsidRPr="00007E23">
        <w:t>Current and proposed Australian and overseas MRLs/tolerances for mefentrifluconazole.</w:t>
      </w:r>
      <w:bookmarkEnd w:id="3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2"/>
        <w:gridCol w:w="2015"/>
        <w:gridCol w:w="2347"/>
        <w:gridCol w:w="2420"/>
        <w:gridCol w:w="2347"/>
        <w:gridCol w:w="2231"/>
        <w:gridCol w:w="1278"/>
      </w:tblGrid>
      <w:tr w:rsidR="00063A19" w:rsidRPr="00D53622" w14:paraId="25E2205D" w14:textId="77777777" w:rsidTr="00BF6983">
        <w:trPr>
          <w:trHeight w:val="408"/>
          <w:tblHeader/>
        </w:trPr>
        <w:tc>
          <w:tcPr>
            <w:tcW w:w="660" w:type="pct"/>
            <w:vMerge w:val="restart"/>
            <w:tcBorders>
              <w:top w:val="single" w:sz="4" w:space="0" w:color="auto"/>
              <w:left w:val="single" w:sz="4" w:space="0" w:color="auto"/>
              <w:bottom w:val="single" w:sz="4" w:space="0" w:color="291427" w:themeColor="accent5" w:themeShade="80"/>
              <w:right w:val="nil"/>
            </w:tcBorders>
            <w:shd w:val="clear" w:color="auto" w:fill="00686E" w:themeFill="background2" w:themeFillShade="E6"/>
            <w:vAlign w:val="center"/>
          </w:tcPr>
          <w:p w14:paraId="28CD92DD" w14:textId="77777777" w:rsidR="00063A19" w:rsidRPr="00C3498F" w:rsidRDefault="00063A19" w:rsidP="00E500BB">
            <w:pPr>
              <w:pStyle w:val="APVMATableHead"/>
              <w:rPr>
                <w:sz w:val="17"/>
                <w:szCs w:val="17"/>
              </w:rPr>
            </w:pPr>
            <w:r w:rsidRPr="00985E58">
              <w:rPr>
                <w:szCs w:val="18"/>
              </w:rPr>
              <w:t>Commodity</w:t>
            </w:r>
          </w:p>
        </w:tc>
        <w:tc>
          <w:tcPr>
            <w:tcW w:w="4340" w:type="pct"/>
            <w:gridSpan w:val="6"/>
            <w:tcBorders>
              <w:top w:val="single" w:sz="4" w:space="0" w:color="auto"/>
              <w:left w:val="nil"/>
              <w:bottom w:val="single" w:sz="4" w:space="0" w:color="291427" w:themeColor="accent5" w:themeShade="80"/>
              <w:right w:val="single" w:sz="4" w:space="0" w:color="auto"/>
            </w:tcBorders>
            <w:shd w:val="clear" w:color="auto" w:fill="00686E" w:themeFill="background2" w:themeFillShade="E6"/>
          </w:tcPr>
          <w:p w14:paraId="722C3B0C" w14:textId="11339AE6" w:rsidR="00063A19" w:rsidRPr="00C3498F" w:rsidRDefault="00063A19" w:rsidP="00063A19">
            <w:pPr>
              <w:pStyle w:val="APVMATableHeadRight"/>
            </w:pPr>
            <w:r w:rsidRPr="00C3498F">
              <w:t>Tolerance for residues arising from the use of mefentrifluconazole (mg/kg)</w:t>
            </w:r>
          </w:p>
        </w:tc>
      </w:tr>
      <w:tr w:rsidR="00C3498F" w:rsidRPr="00D53622" w14:paraId="57A38EC2" w14:textId="77777777" w:rsidTr="00BF6983">
        <w:trPr>
          <w:trHeight w:val="128"/>
          <w:tblHeader/>
        </w:trPr>
        <w:tc>
          <w:tcPr>
            <w:tcW w:w="660" w:type="pct"/>
            <w:vMerge/>
            <w:tcBorders>
              <w:top w:val="single" w:sz="4" w:space="0" w:color="291427" w:themeColor="accent5" w:themeShade="80"/>
              <w:left w:val="single" w:sz="4" w:space="0" w:color="auto"/>
              <w:bottom w:val="single" w:sz="4" w:space="0" w:color="auto"/>
              <w:right w:val="nil"/>
            </w:tcBorders>
            <w:shd w:val="clear" w:color="auto" w:fill="00686E" w:themeFill="background2" w:themeFillShade="E6"/>
          </w:tcPr>
          <w:p w14:paraId="6F0063ED" w14:textId="77777777" w:rsidR="00C3498F" w:rsidRPr="00C3498F" w:rsidRDefault="00C3498F" w:rsidP="00E500BB">
            <w:pPr>
              <w:pStyle w:val="APVMATableHead"/>
              <w:rPr>
                <w:sz w:val="17"/>
                <w:szCs w:val="17"/>
              </w:rPr>
            </w:pPr>
          </w:p>
        </w:tc>
        <w:tc>
          <w:tcPr>
            <w:tcW w:w="692" w:type="pct"/>
            <w:tcBorders>
              <w:top w:val="single" w:sz="4" w:space="0" w:color="291427" w:themeColor="accent5" w:themeShade="80"/>
              <w:left w:val="nil"/>
              <w:bottom w:val="single" w:sz="4" w:space="0" w:color="auto"/>
              <w:right w:val="nil"/>
            </w:tcBorders>
            <w:shd w:val="clear" w:color="auto" w:fill="00686E" w:themeFill="background2" w:themeFillShade="E6"/>
          </w:tcPr>
          <w:p w14:paraId="7D067A9F" w14:textId="77777777" w:rsidR="00C3498F" w:rsidRPr="00C3498F" w:rsidRDefault="00C3498F" w:rsidP="00063A19">
            <w:pPr>
              <w:pStyle w:val="APVMATableHeadRight"/>
            </w:pPr>
            <w:r w:rsidRPr="00C3498F">
              <w:t>Australia</w:t>
            </w:r>
          </w:p>
        </w:tc>
        <w:tc>
          <w:tcPr>
            <w:tcW w:w="806" w:type="pct"/>
            <w:tcBorders>
              <w:top w:val="single" w:sz="4" w:space="0" w:color="291427" w:themeColor="accent5" w:themeShade="80"/>
              <w:left w:val="nil"/>
              <w:bottom w:val="single" w:sz="4" w:space="0" w:color="auto"/>
              <w:right w:val="nil"/>
            </w:tcBorders>
            <w:shd w:val="clear" w:color="auto" w:fill="00686E" w:themeFill="background2" w:themeFillShade="E6"/>
          </w:tcPr>
          <w:p w14:paraId="7C9B2BF4" w14:textId="77777777" w:rsidR="00C3498F" w:rsidRPr="00C3498F" w:rsidRDefault="00C3498F" w:rsidP="00063A19">
            <w:pPr>
              <w:pStyle w:val="APVMATableHeadRight"/>
            </w:pPr>
            <w:r w:rsidRPr="00C3498F">
              <w:t>China</w:t>
            </w:r>
            <w:r w:rsidRPr="00C3498F">
              <w:rPr>
                <w:vertAlign w:val="superscript"/>
              </w:rPr>
              <w:footnoteReference w:id="4"/>
            </w:r>
          </w:p>
        </w:tc>
        <w:tc>
          <w:tcPr>
            <w:tcW w:w="831" w:type="pct"/>
            <w:tcBorders>
              <w:top w:val="single" w:sz="4" w:space="0" w:color="291427" w:themeColor="accent5" w:themeShade="80"/>
              <w:left w:val="nil"/>
              <w:bottom w:val="single" w:sz="4" w:space="0" w:color="auto"/>
              <w:right w:val="nil"/>
            </w:tcBorders>
            <w:shd w:val="clear" w:color="auto" w:fill="00686E" w:themeFill="background2" w:themeFillShade="E6"/>
          </w:tcPr>
          <w:p w14:paraId="67F23C21" w14:textId="77777777" w:rsidR="00C3498F" w:rsidRPr="00C3498F" w:rsidRDefault="00C3498F" w:rsidP="00063A19">
            <w:pPr>
              <w:pStyle w:val="APVMATableHeadRight"/>
            </w:pPr>
            <w:r w:rsidRPr="00C3498F">
              <w:t>Codex</w:t>
            </w:r>
          </w:p>
        </w:tc>
        <w:tc>
          <w:tcPr>
            <w:tcW w:w="806" w:type="pct"/>
            <w:tcBorders>
              <w:top w:val="single" w:sz="4" w:space="0" w:color="291427" w:themeColor="accent5" w:themeShade="80"/>
              <w:left w:val="nil"/>
              <w:bottom w:val="single" w:sz="4" w:space="0" w:color="auto"/>
              <w:right w:val="nil"/>
            </w:tcBorders>
            <w:shd w:val="clear" w:color="auto" w:fill="00686E" w:themeFill="background2" w:themeFillShade="E6"/>
          </w:tcPr>
          <w:p w14:paraId="52F9AE01" w14:textId="77777777" w:rsidR="00C3498F" w:rsidRPr="00C3498F" w:rsidRDefault="00C3498F" w:rsidP="00063A19">
            <w:pPr>
              <w:pStyle w:val="APVMATableHeadRight"/>
            </w:pPr>
            <w:r w:rsidRPr="00C3498F">
              <w:t>EU</w:t>
            </w:r>
            <w:r w:rsidRPr="00C3498F">
              <w:rPr>
                <w:vertAlign w:val="superscript"/>
              </w:rPr>
              <w:footnoteReference w:id="5"/>
            </w:r>
          </w:p>
        </w:tc>
        <w:tc>
          <w:tcPr>
            <w:tcW w:w="766" w:type="pct"/>
            <w:tcBorders>
              <w:top w:val="single" w:sz="4" w:space="0" w:color="291427" w:themeColor="accent5" w:themeShade="80"/>
              <w:left w:val="nil"/>
              <w:bottom w:val="single" w:sz="4" w:space="0" w:color="auto"/>
              <w:right w:val="nil"/>
            </w:tcBorders>
            <w:shd w:val="clear" w:color="auto" w:fill="00686E" w:themeFill="background2" w:themeFillShade="E6"/>
          </w:tcPr>
          <w:p w14:paraId="4F954B68" w14:textId="77777777" w:rsidR="00C3498F" w:rsidRPr="00C3498F" w:rsidRDefault="00C3498F" w:rsidP="00063A19">
            <w:pPr>
              <w:pStyle w:val="APVMATableHeadRight"/>
            </w:pPr>
            <w:r w:rsidRPr="00C3498F">
              <w:t>Japan</w:t>
            </w:r>
            <w:r w:rsidRPr="00C3498F">
              <w:rPr>
                <w:vertAlign w:val="superscript"/>
              </w:rPr>
              <w:footnoteReference w:id="6"/>
            </w:r>
          </w:p>
        </w:tc>
        <w:tc>
          <w:tcPr>
            <w:tcW w:w="439" w:type="pct"/>
            <w:tcBorders>
              <w:top w:val="single" w:sz="4" w:space="0" w:color="291427" w:themeColor="accent5" w:themeShade="80"/>
              <w:left w:val="nil"/>
              <w:bottom w:val="single" w:sz="4" w:space="0" w:color="auto"/>
              <w:right w:val="single" w:sz="4" w:space="0" w:color="auto"/>
            </w:tcBorders>
            <w:shd w:val="clear" w:color="auto" w:fill="00686E" w:themeFill="background2" w:themeFillShade="E6"/>
          </w:tcPr>
          <w:p w14:paraId="2D7AB5F7" w14:textId="77777777" w:rsidR="00C3498F" w:rsidRPr="00C3498F" w:rsidRDefault="00C3498F" w:rsidP="00063A19">
            <w:pPr>
              <w:pStyle w:val="APVMATableHeadRight"/>
            </w:pPr>
            <w:r w:rsidRPr="00C3498F">
              <w:t>Korea</w:t>
            </w:r>
            <w:r w:rsidRPr="00C3498F">
              <w:rPr>
                <w:vertAlign w:val="superscript"/>
              </w:rPr>
              <w:footnoteReference w:id="7"/>
            </w:r>
            <w:r w:rsidRPr="00C3498F">
              <w:t xml:space="preserve"> </w:t>
            </w:r>
          </w:p>
        </w:tc>
      </w:tr>
      <w:tr w:rsidR="00C3498F" w:rsidRPr="00D53622" w14:paraId="53ED46FA" w14:textId="77777777" w:rsidTr="00BF6983">
        <w:trPr>
          <w:trHeight w:val="1177"/>
        </w:trPr>
        <w:tc>
          <w:tcPr>
            <w:tcW w:w="660" w:type="pct"/>
            <w:tcBorders>
              <w:top w:val="single" w:sz="4" w:space="0" w:color="auto"/>
              <w:left w:val="single" w:sz="4" w:space="0" w:color="auto"/>
              <w:bottom w:val="single" w:sz="4" w:space="0" w:color="291427" w:themeColor="accent5" w:themeShade="80"/>
              <w:right w:val="nil"/>
            </w:tcBorders>
          </w:tcPr>
          <w:p w14:paraId="38A89400" w14:textId="0152B773" w:rsidR="00C3498F" w:rsidRPr="00C3498F" w:rsidRDefault="00C3498F" w:rsidP="00E500BB">
            <w:pPr>
              <w:pStyle w:val="APVMATableText"/>
              <w:rPr>
                <w:szCs w:val="17"/>
              </w:rPr>
            </w:pPr>
            <w:r w:rsidRPr="00C3498F">
              <w:rPr>
                <w:szCs w:val="17"/>
              </w:rPr>
              <w:t xml:space="preserve">Residue </w:t>
            </w:r>
            <w:r w:rsidR="00063A19">
              <w:rPr>
                <w:szCs w:val="17"/>
              </w:rPr>
              <w:t>d</w:t>
            </w:r>
            <w:r w:rsidRPr="00C3498F">
              <w:rPr>
                <w:szCs w:val="17"/>
              </w:rPr>
              <w:t>efinition</w:t>
            </w:r>
          </w:p>
        </w:tc>
        <w:tc>
          <w:tcPr>
            <w:tcW w:w="692" w:type="pct"/>
            <w:tcBorders>
              <w:top w:val="single" w:sz="4" w:space="0" w:color="auto"/>
              <w:left w:val="nil"/>
              <w:bottom w:val="single" w:sz="4" w:space="0" w:color="291427" w:themeColor="accent5" w:themeShade="80"/>
              <w:right w:val="nil"/>
            </w:tcBorders>
          </w:tcPr>
          <w:p w14:paraId="36429094" w14:textId="5D546708" w:rsidR="00C3498F" w:rsidRPr="00C3498F" w:rsidRDefault="00C3498F" w:rsidP="00063A19">
            <w:pPr>
              <w:pStyle w:val="APVMATableTextRight"/>
            </w:pPr>
            <w:proofErr w:type="spellStart"/>
            <w:r w:rsidRPr="00C3498F">
              <w:t>Mefentrifluconazoe</w:t>
            </w:r>
            <w:proofErr w:type="spellEnd"/>
          </w:p>
        </w:tc>
        <w:tc>
          <w:tcPr>
            <w:tcW w:w="806" w:type="pct"/>
            <w:tcBorders>
              <w:top w:val="single" w:sz="4" w:space="0" w:color="auto"/>
              <w:left w:val="nil"/>
              <w:bottom w:val="single" w:sz="4" w:space="0" w:color="291427" w:themeColor="accent5" w:themeShade="80"/>
              <w:right w:val="nil"/>
            </w:tcBorders>
          </w:tcPr>
          <w:p w14:paraId="32B149AB" w14:textId="77777777" w:rsidR="00C3498F" w:rsidRPr="00C3498F" w:rsidRDefault="00C3498F" w:rsidP="00063A19">
            <w:pPr>
              <w:pStyle w:val="APVMATableTextRight"/>
            </w:pPr>
            <w:r w:rsidRPr="00C3498F">
              <w:t>Mefentrifluconazole</w:t>
            </w:r>
          </w:p>
        </w:tc>
        <w:tc>
          <w:tcPr>
            <w:tcW w:w="831" w:type="pct"/>
            <w:tcBorders>
              <w:top w:val="single" w:sz="4" w:space="0" w:color="auto"/>
              <w:left w:val="nil"/>
              <w:bottom w:val="single" w:sz="4" w:space="0" w:color="291427" w:themeColor="accent5" w:themeShade="80"/>
              <w:right w:val="nil"/>
            </w:tcBorders>
          </w:tcPr>
          <w:p w14:paraId="5663FF09" w14:textId="77777777" w:rsidR="00C3498F" w:rsidRPr="00C3498F" w:rsidRDefault="00C3498F" w:rsidP="00063A19">
            <w:pPr>
              <w:pStyle w:val="APVMATableTextRight"/>
            </w:pPr>
            <w:r w:rsidRPr="00C3498F">
              <w:t>Mefentrifluconazole</w:t>
            </w:r>
            <w:r w:rsidRPr="00C3498F">
              <w:rPr>
                <w:rStyle w:val="FootnoteReference"/>
                <w:szCs w:val="17"/>
              </w:rPr>
              <w:footnoteReference w:id="8"/>
            </w:r>
          </w:p>
        </w:tc>
        <w:tc>
          <w:tcPr>
            <w:tcW w:w="806" w:type="pct"/>
            <w:tcBorders>
              <w:top w:val="single" w:sz="4" w:space="0" w:color="auto"/>
              <w:left w:val="nil"/>
              <w:bottom w:val="single" w:sz="4" w:space="0" w:color="291427" w:themeColor="accent5" w:themeShade="80"/>
              <w:right w:val="nil"/>
            </w:tcBorders>
          </w:tcPr>
          <w:p w14:paraId="553BD4E9" w14:textId="77777777" w:rsidR="00C3498F" w:rsidRPr="00C3498F" w:rsidRDefault="00C3498F" w:rsidP="00063A19">
            <w:pPr>
              <w:pStyle w:val="APVMATableTextRight"/>
            </w:pPr>
            <w:r w:rsidRPr="00C3498F">
              <w:t>Mefentrifluconazole</w:t>
            </w:r>
          </w:p>
        </w:tc>
        <w:tc>
          <w:tcPr>
            <w:tcW w:w="766" w:type="pct"/>
            <w:tcBorders>
              <w:top w:val="single" w:sz="4" w:space="0" w:color="auto"/>
              <w:left w:val="nil"/>
              <w:bottom w:val="single" w:sz="4" w:space="0" w:color="291427" w:themeColor="accent5" w:themeShade="80"/>
              <w:right w:val="nil"/>
            </w:tcBorders>
          </w:tcPr>
          <w:p w14:paraId="7363C3E9" w14:textId="77777777" w:rsidR="00C3498F" w:rsidRPr="00C3498F" w:rsidRDefault="00C3498F" w:rsidP="00063A19">
            <w:pPr>
              <w:pStyle w:val="APVMATableTextRight"/>
            </w:pPr>
            <w:r w:rsidRPr="00C3498F">
              <w:t>Mefentrifluconazole</w:t>
            </w:r>
          </w:p>
        </w:tc>
        <w:tc>
          <w:tcPr>
            <w:tcW w:w="439" w:type="pct"/>
            <w:tcBorders>
              <w:top w:val="single" w:sz="4" w:space="0" w:color="auto"/>
              <w:left w:val="nil"/>
              <w:bottom w:val="single" w:sz="4" w:space="0" w:color="291427" w:themeColor="accent5" w:themeShade="80"/>
              <w:right w:val="single" w:sz="4" w:space="0" w:color="auto"/>
            </w:tcBorders>
          </w:tcPr>
          <w:p w14:paraId="555FB69B" w14:textId="7256EE72" w:rsidR="00C3498F" w:rsidRPr="00C3498F" w:rsidRDefault="00BF6983" w:rsidP="00063A19">
            <w:pPr>
              <w:pStyle w:val="APVMATableTextRight"/>
            </w:pPr>
            <w:r>
              <w:t>–</w:t>
            </w:r>
          </w:p>
        </w:tc>
      </w:tr>
      <w:tr w:rsidR="00C3498F" w:rsidRPr="00D53622" w14:paraId="302944C4" w14:textId="77777777" w:rsidTr="00BF6983">
        <w:trPr>
          <w:trHeight w:val="594"/>
        </w:trPr>
        <w:tc>
          <w:tcPr>
            <w:tcW w:w="660" w:type="pct"/>
            <w:tcBorders>
              <w:top w:val="single" w:sz="4" w:space="0" w:color="291427" w:themeColor="accent5" w:themeShade="80"/>
              <w:left w:val="single" w:sz="4" w:space="0" w:color="auto"/>
              <w:bottom w:val="single" w:sz="4" w:space="0" w:color="auto"/>
              <w:right w:val="nil"/>
            </w:tcBorders>
            <w:vAlign w:val="center"/>
          </w:tcPr>
          <w:p w14:paraId="50C8C986" w14:textId="77777777" w:rsidR="00C3498F" w:rsidRPr="00C3498F" w:rsidRDefault="00C3498F" w:rsidP="00E500BB">
            <w:pPr>
              <w:pStyle w:val="APVMATableText"/>
              <w:rPr>
                <w:szCs w:val="17"/>
              </w:rPr>
            </w:pPr>
            <w:r w:rsidRPr="00C3498F">
              <w:rPr>
                <w:szCs w:val="17"/>
              </w:rPr>
              <w:t xml:space="preserve">Cotton seed </w:t>
            </w:r>
          </w:p>
        </w:tc>
        <w:tc>
          <w:tcPr>
            <w:tcW w:w="692" w:type="pct"/>
            <w:tcBorders>
              <w:top w:val="single" w:sz="4" w:space="0" w:color="291427" w:themeColor="accent5" w:themeShade="80"/>
              <w:left w:val="nil"/>
              <w:bottom w:val="single" w:sz="4" w:space="0" w:color="auto"/>
              <w:right w:val="nil"/>
            </w:tcBorders>
          </w:tcPr>
          <w:p w14:paraId="7B2DFEB5" w14:textId="0A0176DA" w:rsidR="00C3498F" w:rsidRPr="00C3498F" w:rsidRDefault="00C3498F" w:rsidP="00063A19">
            <w:pPr>
              <w:pStyle w:val="APVMATableTextRight"/>
              <w:rPr>
                <w:bCs/>
                <w:caps/>
              </w:rPr>
            </w:pPr>
            <w:r w:rsidRPr="00C3498F">
              <w:rPr>
                <w:bCs/>
                <w:caps/>
              </w:rPr>
              <w:t>T0.2</w:t>
            </w:r>
            <w:r w:rsidR="00063A19">
              <w:rPr>
                <w:bCs/>
                <w:caps/>
              </w:rPr>
              <w:br/>
            </w:r>
            <w:r w:rsidRPr="00C3498F">
              <w:rPr>
                <w:bCs/>
                <w:caps/>
              </w:rPr>
              <w:t>(proposed)</w:t>
            </w:r>
          </w:p>
        </w:tc>
        <w:tc>
          <w:tcPr>
            <w:tcW w:w="806" w:type="pct"/>
            <w:tcBorders>
              <w:top w:val="single" w:sz="4" w:space="0" w:color="291427" w:themeColor="accent5" w:themeShade="80"/>
              <w:left w:val="nil"/>
              <w:bottom w:val="single" w:sz="4" w:space="0" w:color="auto"/>
              <w:right w:val="nil"/>
            </w:tcBorders>
          </w:tcPr>
          <w:p w14:paraId="2E916A4E" w14:textId="77777777" w:rsidR="00C3498F" w:rsidRPr="00C3498F" w:rsidRDefault="00C3498F" w:rsidP="00063A19">
            <w:pPr>
              <w:pStyle w:val="APVMATableTextRight"/>
            </w:pPr>
          </w:p>
        </w:tc>
        <w:tc>
          <w:tcPr>
            <w:tcW w:w="831" w:type="pct"/>
            <w:tcBorders>
              <w:top w:val="single" w:sz="4" w:space="0" w:color="291427" w:themeColor="accent5" w:themeShade="80"/>
              <w:left w:val="nil"/>
              <w:bottom w:val="single" w:sz="4" w:space="0" w:color="auto"/>
              <w:right w:val="nil"/>
            </w:tcBorders>
          </w:tcPr>
          <w:p w14:paraId="1BA7F241" w14:textId="77777777" w:rsidR="00C3498F" w:rsidRPr="00C3498F" w:rsidRDefault="00C3498F" w:rsidP="00063A19">
            <w:pPr>
              <w:pStyle w:val="APVMATableTextRight"/>
            </w:pPr>
            <w:r w:rsidRPr="00C3498F">
              <w:t>0.2 (proposed by 2022 JMPR, based on same dataset considered here, but different GAP)</w:t>
            </w:r>
          </w:p>
        </w:tc>
        <w:tc>
          <w:tcPr>
            <w:tcW w:w="806" w:type="pct"/>
            <w:tcBorders>
              <w:top w:val="single" w:sz="4" w:space="0" w:color="291427" w:themeColor="accent5" w:themeShade="80"/>
              <w:left w:val="nil"/>
              <w:bottom w:val="single" w:sz="4" w:space="0" w:color="auto"/>
              <w:right w:val="nil"/>
            </w:tcBorders>
          </w:tcPr>
          <w:p w14:paraId="150558C5" w14:textId="77777777" w:rsidR="00C3498F" w:rsidRPr="00C3498F" w:rsidRDefault="00C3498F" w:rsidP="00063A19">
            <w:pPr>
              <w:pStyle w:val="APVMATableTextRight"/>
            </w:pPr>
            <w:r w:rsidRPr="00C3498F">
              <w:t>*0.01</w:t>
            </w:r>
          </w:p>
        </w:tc>
        <w:tc>
          <w:tcPr>
            <w:tcW w:w="766" w:type="pct"/>
            <w:tcBorders>
              <w:top w:val="single" w:sz="4" w:space="0" w:color="291427" w:themeColor="accent5" w:themeShade="80"/>
              <w:left w:val="nil"/>
              <w:bottom w:val="single" w:sz="4" w:space="0" w:color="auto"/>
              <w:right w:val="nil"/>
            </w:tcBorders>
          </w:tcPr>
          <w:p w14:paraId="092B370A" w14:textId="77777777" w:rsidR="00C3498F" w:rsidRPr="00C3498F" w:rsidRDefault="00C3498F" w:rsidP="00063A19">
            <w:pPr>
              <w:pStyle w:val="APVMATableTextRight"/>
            </w:pPr>
            <w:r w:rsidRPr="00C3498F">
              <w:t>0.2</w:t>
            </w:r>
          </w:p>
        </w:tc>
        <w:tc>
          <w:tcPr>
            <w:tcW w:w="439" w:type="pct"/>
            <w:tcBorders>
              <w:top w:val="single" w:sz="4" w:space="0" w:color="291427" w:themeColor="accent5" w:themeShade="80"/>
              <w:left w:val="nil"/>
              <w:bottom w:val="single" w:sz="4" w:space="0" w:color="auto"/>
              <w:right w:val="single" w:sz="4" w:space="0" w:color="auto"/>
            </w:tcBorders>
          </w:tcPr>
          <w:p w14:paraId="59EB3A52" w14:textId="22B37496" w:rsidR="00C3498F" w:rsidRPr="00C3498F" w:rsidRDefault="00BF6983" w:rsidP="00063A19">
            <w:pPr>
              <w:pStyle w:val="APVMATableTextRight"/>
            </w:pPr>
            <w:r>
              <w:t>–</w:t>
            </w:r>
          </w:p>
        </w:tc>
      </w:tr>
    </w:tbl>
    <w:p w14:paraId="0A16AAD7" w14:textId="77777777" w:rsidR="00C3498F" w:rsidRDefault="00C3498F" w:rsidP="006D36C8">
      <w:pPr>
        <w:pStyle w:val="APVMAText"/>
        <w:sectPr w:rsidR="00C3498F" w:rsidSect="00BF6983">
          <w:headerReference w:type="default" r:id="rId26"/>
          <w:pgSz w:w="16838" w:h="11906" w:orient="landscape" w:code="9"/>
          <w:pgMar w:top="2835" w:right="1134" w:bottom="1134" w:left="1134" w:header="1701" w:footer="680" w:gutter="0"/>
          <w:cols w:space="708"/>
          <w:docGrid w:linePitch="360"/>
        </w:sectPr>
      </w:pPr>
    </w:p>
    <w:p w14:paraId="506BD913" w14:textId="7FE81137" w:rsidR="006D36C8" w:rsidRDefault="006D36C8" w:rsidP="00BF3D89">
      <w:pPr>
        <w:pStyle w:val="Heading2"/>
      </w:pPr>
      <w:bookmarkStart w:id="39" w:name="_Toc231889750"/>
      <w:bookmarkStart w:id="40" w:name="_Toc2243853"/>
      <w:bookmarkStart w:id="41" w:name="_Toc155278373"/>
      <w:r>
        <w:lastRenderedPageBreak/>
        <w:t xml:space="preserve">Current and proposed Australian MRLs for </w:t>
      </w:r>
      <w:bookmarkEnd w:id="39"/>
      <w:bookmarkEnd w:id="40"/>
      <w:r w:rsidR="00BF3D89">
        <w:t>mefentrifluconazole</w:t>
      </w:r>
      <w:bookmarkEnd w:id="41"/>
    </w:p>
    <w:p w14:paraId="54739A9F" w14:textId="142032AF" w:rsidR="006D36C8" w:rsidRDefault="00063A19" w:rsidP="006D36C8">
      <w:pPr>
        <w:pStyle w:val="Caption"/>
      </w:pPr>
      <w:bookmarkStart w:id="42" w:name="_Toc252955170"/>
      <w:bookmarkStart w:id="43" w:name="_Toc155278378"/>
      <w:r w:rsidRPr="007051D9">
        <w:t xml:space="preserve">Table </w:t>
      </w:r>
      <w:fldSimple w:instr=" SEQ Table \* ARABIC ">
        <w:r>
          <w:rPr>
            <w:noProof/>
          </w:rPr>
          <w:t>3</w:t>
        </w:r>
      </w:fldSimple>
      <w:r w:rsidRPr="007051D9">
        <w:t>:</w:t>
      </w:r>
      <w:r w:rsidR="00383003">
        <w:tab/>
        <w:t>Current MRL Standard</w:t>
      </w:r>
      <w:r w:rsidR="00696A51">
        <w:t xml:space="preserve"> – </w:t>
      </w:r>
      <w:r w:rsidR="006D36C8">
        <w:t>Table1</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3B5A73C0" w14:textId="77777777" w:rsidTr="00790A8E">
        <w:trPr>
          <w:tblHeader/>
        </w:trPr>
        <w:tc>
          <w:tcPr>
            <w:tcW w:w="1613" w:type="pct"/>
            <w:tcBorders>
              <w:top w:val="single" w:sz="4" w:space="0" w:color="auto"/>
              <w:left w:val="nil"/>
              <w:bottom w:val="single" w:sz="4" w:space="0" w:color="auto"/>
              <w:right w:val="nil"/>
            </w:tcBorders>
            <w:shd w:val="clear" w:color="auto" w:fill="00747A" w:themeFill="background2"/>
          </w:tcPr>
          <w:p w14:paraId="71FFB51A" w14:textId="3EAC0D70" w:rsidR="006D36C8" w:rsidRDefault="007B1953" w:rsidP="00790A8E">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79D3A37F" w14:textId="451C8F33" w:rsidR="006D36C8" w:rsidRDefault="007B1953" w:rsidP="00790A8E">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734457C" w14:textId="77777777" w:rsidR="006D36C8" w:rsidRDefault="006D36C8" w:rsidP="00790A8E">
            <w:pPr>
              <w:pStyle w:val="APVMATableHeadRight"/>
            </w:pPr>
            <w:r>
              <w:t>MRL (mg/kg)</w:t>
            </w:r>
          </w:p>
        </w:tc>
      </w:tr>
      <w:tr w:rsidR="006D36C8" w14:paraId="511B8AD1" w14:textId="77777777" w:rsidTr="00E63AC3">
        <w:tc>
          <w:tcPr>
            <w:tcW w:w="5000" w:type="pct"/>
            <w:gridSpan w:val="3"/>
            <w:tcBorders>
              <w:top w:val="single" w:sz="4" w:space="0" w:color="auto"/>
              <w:left w:val="nil"/>
              <w:bottom w:val="single" w:sz="4" w:space="0" w:color="auto"/>
              <w:right w:val="nil"/>
            </w:tcBorders>
          </w:tcPr>
          <w:p w14:paraId="18174E17" w14:textId="65F37A0C" w:rsidR="006D36C8" w:rsidRDefault="00BF3D89" w:rsidP="00BA67F0">
            <w:pPr>
              <w:pStyle w:val="MRLActiveName"/>
            </w:pPr>
            <w:r>
              <w:t>Mefentrifluconazole</w:t>
            </w:r>
          </w:p>
        </w:tc>
      </w:tr>
      <w:tr w:rsidR="006D36C8" w14:paraId="715F5C64" w14:textId="77777777" w:rsidTr="00E63AC3">
        <w:tc>
          <w:tcPr>
            <w:tcW w:w="1613" w:type="pct"/>
            <w:tcBorders>
              <w:top w:val="single" w:sz="4" w:space="0" w:color="auto"/>
              <w:left w:val="nil"/>
              <w:bottom w:val="single" w:sz="4" w:space="0" w:color="auto"/>
              <w:right w:val="nil"/>
            </w:tcBorders>
          </w:tcPr>
          <w:p w14:paraId="28A95230" w14:textId="17627096" w:rsidR="006D36C8" w:rsidRDefault="00BF3D89" w:rsidP="007368E2">
            <w:pPr>
              <w:pStyle w:val="APVMATableText"/>
            </w:pPr>
            <w:r>
              <w:t xml:space="preserve">SO </w:t>
            </w:r>
            <w:r w:rsidR="006D36C8">
              <w:tab/>
            </w:r>
            <w:r>
              <w:t>0495</w:t>
            </w:r>
          </w:p>
        </w:tc>
        <w:tc>
          <w:tcPr>
            <w:tcW w:w="2392" w:type="pct"/>
            <w:tcBorders>
              <w:top w:val="single" w:sz="4" w:space="0" w:color="auto"/>
              <w:left w:val="nil"/>
              <w:bottom w:val="single" w:sz="4" w:space="0" w:color="auto"/>
              <w:right w:val="nil"/>
            </w:tcBorders>
          </w:tcPr>
          <w:p w14:paraId="02C2C240" w14:textId="2F4F6A5D" w:rsidR="006D36C8" w:rsidRDefault="00BF3D89" w:rsidP="007368E2">
            <w:pPr>
              <w:pStyle w:val="APVMATableText"/>
            </w:pPr>
            <w:r>
              <w:t xml:space="preserve">Rape seed </w:t>
            </w:r>
            <w:r w:rsidR="00607E30">
              <w:t>(</w:t>
            </w:r>
            <w:r>
              <w:t>canola</w:t>
            </w:r>
            <w:r w:rsidR="00607E30">
              <w:t>)</w:t>
            </w:r>
          </w:p>
        </w:tc>
        <w:tc>
          <w:tcPr>
            <w:tcW w:w="995" w:type="pct"/>
            <w:tcBorders>
              <w:top w:val="single" w:sz="4" w:space="0" w:color="auto"/>
              <w:left w:val="nil"/>
              <w:bottom w:val="single" w:sz="4" w:space="0" w:color="auto"/>
              <w:right w:val="nil"/>
            </w:tcBorders>
          </w:tcPr>
          <w:p w14:paraId="04A2B751" w14:textId="4D26F5FD" w:rsidR="006D36C8" w:rsidRDefault="00BF3D89" w:rsidP="00790A8E">
            <w:pPr>
              <w:pStyle w:val="APVMATableTextRight"/>
            </w:pPr>
            <w:r>
              <w:t>T</w:t>
            </w:r>
            <w:r w:rsidR="006D36C8">
              <w:t>0.0</w:t>
            </w:r>
            <w:r>
              <w:t>5</w:t>
            </w:r>
          </w:p>
        </w:tc>
      </w:tr>
    </w:tbl>
    <w:p w14:paraId="670E5BD5" w14:textId="4998CA99" w:rsidR="006D36C8" w:rsidRDefault="00063A19" w:rsidP="006D36C8">
      <w:pPr>
        <w:pStyle w:val="Caption"/>
      </w:pPr>
      <w:bookmarkStart w:id="44" w:name="_Toc252955171"/>
      <w:bookmarkStart w:id="45" w:name="_Toc155278379"/>
      <w:r w:rsidRPr="007051D9">
        <w:t xml:space="preserve">Table </w:t>
      </w:r>
      <w:fldSimple w:instr=" SEQ Table \* ARABIC ">
        <w:r>
          <w:rPr>
            <w:noProof/>
          </w:rPr>
          <w:t>4</w:t>
        </w:r>
      </w:fldSimple>
      <w:r w:rsidRPr="007051D9">
        <w:t>:</w:t>
      </w:r>
      <w:r w:rsidR="00383003">
        <w:tab/>
        <w:t>Proposed MRL Standard</w:t>
      </w:r>
      <w:r w:rsidR="00696A51">
        <w:t xml:space="preserve"> – </w:t>
      </w:r>
      <w:r w:rsidR="006D36C8">
        <w:t>Table1</w:t>
      </w:r>
      <w:bookmarkEnd w:id="44"/>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790A8E">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790A8E">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790A8E">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790A8E">
            <w:pPr>
              <w:pStyle w:val="APVMATableHeadRight"/>
            </w:pPr>
            <w:r>
              <w:t>MRL (mg/kg)</w:t>
            </w:r>
          </w:p>
        </w:tc>
      </w:tr>
      <w:tr w:rsidR="006D36C8" w14:paraId="2D825219" w14:textId="77777777" w:rsidTr="00E63AC3">
        <w:trPr>
          <w:cantSplit/>
        </w:trPr>
        <w:tc>
          <w:tcPr>
            <w:tcW w:w="5000" w:type="pct"/>
            <w:gridSpan w:val="3"/>
            <w:tcBorders>
              <w:top w:val="single" w:sz="4" w:space="0" w:color="auto"/>
              <w:left w:val="nil"/>
              <w:bottom w:val="single" w:sz="4" w:space="0" w:color="auto"/>
              <w:right w:val="nil"/>
            </w:tcBorders>
          </w:tcPr>
          <w:p w14:paraId="74A65E73" w14:textId="3BB4E753" w:rsidR="006D36C8" w:rsidRDefault="00BF3D89" w:rsidP="00BA67F0">
            <w:pPr>
              <w:pStyle w:val="MRLActiveName"/>
            </w:pPr>
            <w:r>
              <w:t>Mefentrifluconazole</w:t>
            </w:r>
          </w:p>
        </w:tc>
      </w:tr>
      <w:tr w:rsidR="006D36C8" w14:paraId="24561D69" w14:textId="77777777" w:rsidTr="00E63AC3">
        <w:trPr>
          <w:cantSplit/>
        </w:trPr>
        <w:tc>
          <w:tcPr>
            <w:tcW w:w="1613" w:type="pct"/>
            <w:tcBorders>
              <w:top w:val="single" w:sz="4" w:space="0" w:color="auto"/>
              <w:left w:val="nil"/>
              <w:bottom w:val="single" w:sz="4" w:space="0" w:color="auto"/>
              <w:right w:val="nil"/>
            </w:tcBorders>
          </w:tcPr>
          <w:p w14:paraId="5C9698E7" w14:textId="2B41CC6B" w:rsidR="006D36C8" w:rsidRDefault="007B1953" w:rsidP="007368E2">
            <w:pPr>
              <w:pStyle w:val="APVMATableText"/>
            </w:pPr>
            <w:r>
              <w:t>Add:</w:t>
            </w:r>
          </w:p>
        </w:tc>
        <w:tc>
          <w:tcPr>
            <w:tcW w:w="2392" w:type="pct"/>
            <w:tcBorders>
              <w:top w:val="single" w:sz="4" w:space="0" w:color="auto"/>
              <w:left w:val="nil"/>
              <w:bottom w:val="single" w:sz="4" w:space="0" w:color="auto"/>
              <w:right w:val="nil"/>
            </w:tcBorders>
          </w:tcPr>
          <w:p w14:paraId="1874C21E" w14:textId="77777777" w:rsidR="006D36C8" w:rsidRDefault="006D36C8" w:rsidP="007368E2">
            <w:pPr>
              <w:pStyle w:val="APVMATableText"/>
            </w:pPr>
          </w:p>
        </w:tc>
        <w:tc>
          <w:tcPr>
            <w:tcW w:w="995" w:type="pct"/>
            <w:tcBorders>
              <w:top w:val="single" w:sz="4" w:space="0" w:color="auto"/>
              <w:left w:val="nil"/>
              <w:bottom w:val="single" w:sz="4" w:space="0" w:color="auto"/>
              <w:right w:val="nil"/>
            </w:tcBorders>
          </w:tcPr>
          <w:p w14:paraId="5247B776" w14:textId="77777777" w:rsidR="006D36C8" w:rsidRDefault="006D36C8" w:rsidP="00790A8E">
            <w:pPr>
              <w:pStyle w:val="APVMATableTextRight"/>
            </w:pPr>
          </w:p>
        </w:tc>
      </w:tr>
      <w:tr w:rsidR="006D36C8" w14:paraId="10ABB81C" w14:textId="77777777" w:rsidTr="00E63AC3">
        <w:trPr>
          <w:cantSplit/>
        </w:trPr>
        <w:tc>
          <w:tcPr>
            <w:tcW w:w="1613" w:type="pct"/>
            <w:tcBorders>
              <w:top w:val="single" w:sz="4" w:space="0" w:color="auto"/>
              <w:left w:val="nil"/>
              <w:bottom w:val="single" w:sz="4" w:space="0" w:color="auto"/>
              <w:right w:val="nil"/>
            </w:tcBorders>
          </w:tcPr>
          <w:p w14:paraId="16B2FC12" w14:textId="261B2615" w:rsidR="006D36C8" w:rsidRDefault="00BF3D89" w:rsidP="007368E2">
            <w:pPr>
              <w:pStyle w:val="APVMATableText"/>
            </w:pPr>
            <w:r>
              <w:t>SO</w:t>
            </w:r>
            <w:r w:rsidR="006D36C8">
              <w:tab/>
              <w:t>0</w:t>
            </w:r>
            <w:r>
              <w:t>691</w:t>
            </w:r>
          </w:p>
        </w:tc>
        <w:tc>
          <w:tcPr>
            <w:tcW w:w="2392" w:type="pct"/>
            <w:tcBorders>
              <w:top w:val="single" w:sz="4" w:space="0" w:color="auto"/>
              <w:left w:val="nil"/>
              <w:bottom w:val="single" w:sz="4" w:space="0" w:color="auto"/>
              <w:right w:val="nil"/>
            </w:tcBorders>
          </w:tcPr>
          <w:p w14:paraId="6B7CF77B" w14:textId="7A90BFAE" w:rsidR="006D36C8" w:rsidRDefault="00BF3D89" w:rsidP="007368E2">
            <w:pPr>
              <w:pStyle w:val="APVMATableText"/>
            </w:pPr>
            <w:r>
              <w:t>Cotton seed</w:t>
            </w:r>
          </w:p>
        </w:tc>
        <w:tc>
          <w:tcPr>
            <w:tcW w:w="995" w:type="pct"/>
            <w:tcBorders>
              <w:top w:val="single" w:sz="4" w:space="0" w:color="auto"/>
              <w:left w:val="nil"/>
              <w:bottom w:val="single" w:sz="4" w:space="0" w:color="auto"/>
              <w:right w:val="nil"/>
            </w:tcBorders>
          </w:tcPr>
          <w:p w14:paraId="342F2BAF" w14:textId="5020ACC4" w:rsidR="006D36C8" w:rsidRDefault="00BF3D89" w:rsidP="00790A8E">
            <w:pPr>
              <w:pStyle w:val="APVMATableTextRight"/>
            </w:pPr>
            <w:r>
              <w:t>T0.2</w:t>
            </w:r>
          </w:p>
        </w:tc>
      </w:tr>
    </w:tbl>
    <w:p w14:paraId="41970C0B" w14:textId="77777777" w:rsidR="006D36C8" w:rsidRDefault="006D36C8" w:rsidP="007B1953">
      <w:pPr>
        <w:pStyle w:val="Heading2"/>
      </w:pPr>
      <w:bookmarkStart w:id="46" w:name="_Toc231889751"/>
      <w:bookmarkStart w:id="47" w:name="_Toc2243854"/>
      <w:bookmarkStart w:id="48" w:name="_Toc155278374"/>
      <w:r w:rsidRPr="00032787">
        <w:t>Potential</w:t>
      </w:r>
      <w:r>
        <w:t xml:space="preserve"> risk to trade</w:t>
      </w:r>
      <w:bookmarkEnd w:id="46"/>
      <w:bookmarkEnd w:id="47"/>
      <w:bookmarkEnd w:id="48"/>
    </w:p>
    <w:p w14:paraId="02E3511D" w14:textId="5D063012" w:rsidR="00063A19" w:rsidRDefault="00BF3D89" w:rsidP="00BF3D89">
      <w:pPr>
        <w:pStyle w:val="APVMAText"/>
      </w:pPr>
      <w:r w:rsidRPr="00D332C4">
        <w:t xml:space="preserve">Export of treated produce containing finite (measurable) residues of </w:t>
      </w:r>
      <w:r>
        <w:t>mefentrifluconazole</w:t>
      </w:r>
      <w:r w:rsidRPr="00D332C4">
        <w:t xml:space="preserve"> may pose a risk to Australian trade in situations where</w:t>
      </w:r>
      <w:r w:rsidR="00063A19">
        <w:t>:</w:t>
      </w:r>
    </w:p>
    <w:p w14:paraId="7FFD665D" w14:textId="1E165E10" w:rsidR="00063A19" w:rsidRDefault="00BF3D89" w:rsidP="00985E58">
      <w:pPr>
        <w:pStyle w:val="Bullet1"/>
      </w:pPr>
      <w:r w:rsidRPr="00D332C4">
        <w:t>no residue tolerance (import tolerance) is established in the importing country</w:t>
      </w:r>
    </w:p>
    <w:p w14:paraId="1261D6C6" w14:textId="5B235C5C" w:rsidR="00BF3D89" w:rsidRPr="00D332C4" w:rsidRDefault="00BF3D89" w:rsidP="00985E58">
      <w:pPr>
        <w:pStyle w:val="Bullet1"/>
      </w:pPr>
      <w:r w:rsidRPr="00D332C4">
        <w:t>residues in Australian produce are likely to exceed a residue tolerance (import tolerance) established in the importing country.</w:t>
      </w:r>
    </w:p>
    <w:p w14:paraId="4E793528" w14:textId="14B05152" w:rsidR="00BF3D89" w:rsidRDefault="00BF3D89" w:rsidP="00BF3D89">
      <w:pPr>
        <w:pStyle w:val="APVMAText"/>
      </w:pPr>
      <w:r>
        <w:t>The overall risk to export trade in animal commodities is considered to be unaffected by the proposed use in cotton seed. Therefore, no changes are required to the current animal commodity MRLs, and an ESI is not required.</w:t>
      </w:r>
    </w:p>
    <w:p w14:paraId="1AF92776" w14:textId="2E6F5C5E" w:rsidR="00BF3D89" w:rsidRDefault="00BF3D89" w:rsidP="00BF3D89">
      <w:pPr>
        <w:pStyle w:val="APVMAText"/>
      </w:pPr>
      <w:r>
        <w:t>The EU has established a cotton seed MRL for mefentrifluconazole at *0.</w:t>
      </w:r>
      <w:r w:rsidR="00063A19">
        <w:t>01 </w:t>
      </w:r>
      <w:r>
        <w:t>mg/kg. Japan is one of the major export markets for Australian cotton seed. The Japanese cotton seed MRL is currently established at 0.</w:t>
      </w:r>
      <w:r w:rsidR="00063A19">
        <w:t>2 </w:t>
      </w:r>
      <w:r>
        <w:t xml:space="preserve">mg/kg, which is the same as the proposed Australian MRL. It is noted that the other </w:t>
      </w:r>
      <w:r w:rsidR="00607E30">
        <w:t xml:space="preserve">2 </w:t>
      </w:r>
      <w:r>
        <w:t>important export markets, China, and Korea, have not established a cotton seed MRL for mefentrifluconazole. An MRL of 0.</w:t>
      </w:r>
      <w:r w:rsidR="00063A19">
        <w:t>2 </w:t>
      </w:r>
      <w:r>
        <w:t>mg/kg for cotton seed has been proposed by the 2022 JMPR and is being considered by Codex.</w:t>
      </w:r>
    </w:p>
    <w:p w14:paraId="782E70B6" w14:textId="01375506" w:rsidR="00C61821" w:rsidRDefault="00C61821" w:rsidP="00C61821">
      <w:pPr>
        <w:pStyle w:val="APVMAText"/>
      </w:pPr>
      <w:bookmarkStart w:id="49" w:name="_Hlk155170419"/>
      <w:r>
        <w:t>The applicant has requested aerial application. None of the registered mefentrifluconazole products are approved for application by air. However, there are buffer zones for ground application in place for the protection of international trade.</w:t>
      </w:r>
    </w:p>
    <w:p w14:paraId="25649AA5" w14:textId="769B1960" w:rsidR="00C61821" w:rsidRDefault="00C61821" w:rsidP="00C61821">
      <w:pPr>
        <w:pStyle w:val="APVMAText"/>
      </w:pPr>
      <w:r w:rsidRPr="004C000B">
        <w:t>For residues of parent to be at the LOQ (0.</w:t>
      </w:r>
      <w:r w:rsidR="00063A19" w:rsidRPr="004C000B">
        <w:t>01</w:t>
      </w:r>
      <w:r w:rsidR="00063A19">
        <w:t> </w:t>
      </w:r>
      <w:r w:rsidRPr="004C000B">
        <w:t>mg/kg), the maximum feeding level is 0.</w:t>
      </w:r>
      <w:r w:rsidR="00063A19" w:rsidRPr="004C000B">
        <w:t>46</w:t>
      </w:r>
      <w:r w:rsidR="00063A19">
        <w:t> </w:t>
      </w:r>
      <w:r w:rsidRPr="004C000B">
        <w:t>ppm.</w:t>
      </w:r>
      <w:r>
        <w:t xml:space="preserve"> </w:t>
      </w:r>
      <w:r w:rsidRPr="004C000B">
        <w:t>If the RAL for mefentrifluconazole is used in the APVMA Spray Drift Risk Assessment tool, the following label statements are required for protection of international trade</w:t>
      </w:r>
      <w:r>
        <w:t>, assuming droplets are not smaller than medium</w:t>
      </w:r>
      <w:r w:rsidR="00BF6983">
        <w:t>.</w:t>
      </w:r>
    </w:p>
    <w:bookmarkEnd w:id="49"/>
    <w:p w14:paraId="4693A54D" w14:textId="77777777" w:rsidR="00BF3D89" w:rsidRDefault="00BF3D89" w:rsidP="00BF3D89">
      <w:pPr>
        <w:pStyle w:val="APVMAText"/>
      </w:pPr>
      <w:r>
        <w:lastRenderedPageBreak/>
        <w:t>The following advice in relation to spray drift and protection of international trade should be added to the permit:</w:t>
      </w:r>
    </w:p>
    <w:tbl>
      <w:tblPr>
        <w:tblW w:w="9634" w:type="dxa"/>
        <w:tblLook w:val="04A0" w:firstRow="1" w:lastRow="0" w:firstColumn="1" w:lastColumn="0" w:noHBand="0" w:noVBand="1"/>
      </w:tblPr>
      <w:tblGrid>
        <w:gridCol w:w="2645"/>
        <w:gridCol w:w="1745"/>
        <w:gridCol w:w="4006"/>
        <w:gridCol w:w="1238"/>
      </w:tblGrid>
      <w:tr w:rsidR="00BF3D89" w:rsidRPr="00FC4D11" w14:paraId="68A49CEE" w14:textId="77777777" w:rsidTr="00867F4A">
        <w:trPr>
          <w:trHeight w:val="292"/>
        </w:trPr>
        <w:tc>
          <w:tcPr>
            <w:tcW w:w="9634" w:type="dxa"/>
            <w:gridSpan w:val="4"/>
            <w:tcBorders>
              <w:top w:val="single" w:sz="4" w:space="0" w:color="auto"/>
              <w:left w:val="single" w:sz="4" w:space="0" w:color="auto"/>
              <w:bottom w:val="nil"/>
              <w:right w:val="single" w:sz="4" w:space="0" w:color="auto"/>
            </w:tcBorders>
            <w:shd w:val="clear" w:color="auto" w:fill="CFE0F3"/>
            <w:noWrap/>
            <w:vAlign w:val="center"/>
            <w:hideMark/>
          </w:tcPr>
          <w:p w14:paraId="16918B95"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SPRAY DRIFT RESTRAINTS</w:t>
            </w:r>
          </w:p>
        </w:tc>
      </w:tr>
      <w:tr w:rsidR="00BF3D89" w:rsidRPr="00FC4D11" w14:paraId="48FEEEFE"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0E255372"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Specific definitions for terms used in this section of the label can be found at apvma.gov.au/spraydrift</w:t>
            </w:r>
          </w:p>
        </w:tc>
      </w:tr>
      <w:tr w:rsidR="00BF3D89" w:rsidRPr="00FC4D11" w14:paraId="20E94434"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7723510D"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DO NOT</w:t>
            </w:r>
            <w:r w:rsidRPr="00FC4D11">
              <w:rPr>
                <w:rFonts w:cs="Arial"/>
                <w:color w:val="000000"/>
                <w:sz w:val="17"/>
                <w:szCs w:val="17"/>
                <w:lang w:eastAsia="en-AU"/>
              </w:rPr>
              <w:t xml:space="preserve"> allow bystanders to come into contact with the spray cloud.</w:t>
            </w:r>
          </w:p>
        </w:tc>
      </w:tr>
      <w:tr w:rsidR="00BF3D89" w:rsidRPr="00FC4D11" w14:paraId="49F3AB48" w14:textId="77777777" w:rsidTr="00867F4A">
        <w:trPr>
          <w:trHeight w:val="1098"/>
        </w:trPr>
        <w:tc>
          <w:tcPr>
            <w:tcW w:w="9634" w:type="dxa"/>
            <w:gridSpan w:val="4"/>
            <w:tcBorders>
              <w:top w:val="nil"/>
              <w:left w:val="single" w:sz="4" w:space="0" w:color="auto"/>
              <w:bottom w:val="nil"/>
              <w:right w:val="single" w:sz="4" w:space="0" w:color="auto"/>
            </w:tcBorders>
            <w:shd w:val="clear" w:color="auto" w:fill="CFE0F3"/>
            <w:vAlign w:val="center"/>
            <w:hideMark/>
          </w:tcPr>
          <w:p w14:paraId="2FEA48B2"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DO NOT a</w:t>
            </w:r>
            <w:r w:rsidRPr="00FC4D11">
              <w:rPr>
                <w:rFonts w:cs="Arial"/>
                <w:color w:val="000000"/>
                <w:sz w:val="17"/>
                <w:szCs w:val="17"/>
                <w:lang w:eastAsia="en-AU"/>
              </w:rPr>
              <w:t>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tc>
      </w:tr>
      <w:tr w:rsidR="00BF3D89" w:rsidRPr="00FC4D11" w14:paraId="7F6903DB"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23FEC219"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DO NOT</w:t>
            </w:r>
            <w:r w:rsidRPr="00FC4D11">
              <w:rPr>
                <w:rFonts w:cs="Arial"/>
                <w:color w:val="000000"/>
                <w:sz w:val="17"/>
                <w:szCs w:val="17"/>
                <w:lang w:eastAsia="en-AU"/>
              </w:rPr>
              <w:t xml:space="preserve"> apply unless the wind speed is between 3 and 20 kilometres per hour at the application site during the time of application.</w:t>
            </w:r>
          </w:p>
        </w:tc>
      </w:tr>
      <w:tr w:rsidR="00BF3D89" w:rsidRPr="00FC4D11" w14:paraId="1717803A" w14:textId="77777777" w:rsidTr="00867F4A">
        <w:trPr>
          <w:trHeight w:val="487"/>
        </w:trPr>
        <w:tc>
          <w:tcPr>
            <w:tcW w:w="9634" w:type="dxa"/>
            <w:gridSpan w:val="4"/>
            <w:tcBorders>
              <w:top w:val="nil"/>
              <w:left w:val="single" w:sz="4" w:space="0" w:color="auto"/>
              <w:bottom w:val="nil"/>
              <w:right w:val="single" w:sz="4" w:space="0" w:color="auto"/>
            </w:tcBorders>
            <w:shd w:val="clear" w:color="auto" w:fill="CFE0F3"/>
            <w:vAlign w:val="center"/>
            <w:hideMark/>
          </w:tcPr>
          <w:p w14:paraId="7AC5F366"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DO NOT</w:t>
            </w:r>
            <w:r w:rsidRPr="00FC4D11">
              <w:rPr>
                <w:rFonts w:cs="Arial"/>
                <w:color w:val="000000"/>
                <w:sz w:val="17"/>
                <w:szCs w:val="17"/>
                <w:lang w:eastAsia="en-AU"/>
              </w:rPr>
              <w:t xml:space="preserve"> apply if there are surface temperature inversion conditions present at the application site during the time of application. These conditions exist most evenings one to two hours before sunset and persist until one to two hours after sunrise.</w:t>
            </w:r>
          </w:p>
        </w:tc>
      </w:tr>
      <w:tr w:rsidR="00BF3D89" w:rsidRPr="00FC4D11" w14:paraId="1939E5F7"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vAlign w:val="center"/>
            <w:hideMark/>
          </w:tcPr>
          <w:p w14:paraId="7B9EE165"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DO NOT apply by a boom sprayer unless the following requirements are met:</w:t>
            </w:r>
          </w:p>
        </w:tc>
      </w:tr>
      <w:tr w:rsidR="00BF3D89" w:rsidRPr="00FC4D11" w14:paraId="47B3E9D1"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5D37FB63"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 xml:space="preserve"> - spray droplets not smaller than a MEDIUM spray droplet size category</w:t>
            </w:r>
          </w:p>
        </w:tc>
      </w:tr>
      <w:tr w:rsidR="00BF3D89" w:rsidRPr="00FC4D11" w14:paraId="01AD608C" w14:textId="77777777" w:rsidTr="00867F4A">
        <w:trPr>
          <w:trHeight w:val="487"/>
        </w:trPr>
        <w:tc>
          <w:tcPr>
            <w:tcW w:w="9634" w:type="dxa"/>
            <w:gridSpan w:val="4"/>
            <w:tcBorders>
              <w:top w:val="nil"/>
              <w:left w:val="single" w:sz="4" w:space="0" w:color="auto"/>
              <w:bottom w:val="nil"/>
              <w:right w:val="single" w:sz="4" w:space="0" w:color="auto"/>
            </w:tcBorders>
            <w:shd w:val="clear" w:color="auto" w:fill="CFE0F3"/>
            <w:vAlign w:val="bottom"/>
            <w:hideMark/>
          </w:tcPr>
          <w:p w14:paraId="5C1DE37F"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 xml:space="preserve"> - minimum distances between the application site and downwind sensitive areas (see ‘Mandatory buffer zones’ section of the following table titled ‘Buffer zones for boom sprayers’) are observed.</w:t>
            </w:r>
          </w:p>
        </w:tc>
      </w:tr>
      <w:tr w:rsidR="00BF3D89" w:rsidRPr="00FC4D11" w14:paraId="67EDC21F" w14:textId="77777777" w:rsidTr="00867F4A">
        <w:trPr>
          <w:trHeight w:val="292"/>
        </w:trPr>
        <w:tc>
          <w:tcPr>
            <w:tcW w:w="9634" w:type="dxa"/>
            <w:gridSpan w:val="4"/>
            <w:tcBorders>
              <w:top w:val="single" w:sz="4" w:space="0" w:color="auto"/>
              <w:left w:val="single" w:sz="4" w:space="0" w:color="auto"/>
              <w:bottom w:val="single" w:sz="4" w:space="0" w:color="auto"/>
              <w:right w:val="single" w:sz="4" w:space="0" w:color="auto"/>
            </w:tcBorders>
            <w:shd w:val="clear" w:color="auto" w:fill="CFE0F3"/>
            <w:vAlign w:val="center"/>
            <w:hideMark/>
          </w:tcPr>
          <w:p w14:paraId="735D936D"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Buffer zones for boom sprayers</w:t>
            </w:r>
          </w:p>
        </w:tc>
      </w:tr>
      <w:tr w:rsidR="00BF3D89" w:rsidRPr="00FC4D11" w14:paraId="26EE26CA" w14:textId="77777777" w:rsidTr="00867F4A">
        <w:trPr>
          <w:trHeight w:val="717"/>
        </w:trPr>
        <w:tc>
          <w:tcPr>
            <w:tcW w:w="26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273D040B"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Application rate</w:t>
            </w:r>
          </w:p>
        </w:tc>
        <w:tc>
          <w:tcPr>
            <w:tcW w:w="17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6AD0D93C"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Boom height above the target canopy</w:t>
            </w:r>
          </w:p>
        </w:tc>
        <w:tc>
          <w:tcPr>
            <w:tcW w:w="5244" w:type="dxa"/>
            <w:gridSpan w:val="2"/>
            <w:tcBorders>
              <w:top w:val="single" w:sz="4" w:space="0" w:color="auto"/>
              <w:left w:val="single" w:sz="4" w:space="0" w:color="auto"/>
              <w:bottom w:val="single" w:sz="4" w:space="0" w:color="auto"/>
              <w:right w:val="single" w:sz="4" w:space="0" w:color="auto"/>
            </w:tcBorders>
            <w:shd w:val="clear" w:color="auto" w:fill="CFE0F3"/>
            <w:vAlign w:val="center"/>
          </w:tcPr>
          <w:p w14:paraId="692AB853"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Livestock areas</w:t>
            </w:r>
          </w:p>
        </w:tc>
      </w:tr>
      <w:tr w:rsidR="00BF3D89" w:rsidRPr="00FC4D11" w14:paraId="6F6118AE" w14:textId="77777777" w:rsidTr="00867F4A">
        <w:trPr>
          <w:trHeight w:val="292"/>
        </w:trPr>
        <w:tc>
          <w:tcPr>
            <w:tcW w:w="2645" w:type="dxa"/>
            <w:vMerge w:val="restart"/>
            <w:tcBorders>
              <w:top w:val="single" w:sz="4" w:space="0" w:color="auto"/>
              <w:left w:val="single" w:sz="4" w:space="0" w:color="auto"/>
              <w:bottom w:val="single" w:sz="4" w:space="0" w:color="auto"/>
              <w:right w:val="single" w:sz="4" w:space="0" w:color="auto"/>
            </w:tcBorders>
            <w:shd w:val="clear" w:color="auto" w:fill="CFE0F3"/>
            <w:vAlign w:val="center"/>
            <w:hideMark/>
          </w:tcPr>
          <w:p w14:paraId="1952D6AC"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Up to maximum label rate</w:t>
            </w:r>
          </w:p>
        </w:tc>
        <w:tc>
          <w:tcPr>
            <w:tcW w:w="17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1A023C4F"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0.5 m or lower</w:t>
            </w:r>
          </w:p>
        </w:tc>
        <w:tc>
          <w:tcPr>
            <w:tcW w:w="5244" w:type="dxa"/>
            <w:gridSpan w:val="2"/>
            <w:tcBorders>
              <w:top w:val="single" w:sz="4" w:space="0" w:color="auto"/>
              <w:left w:val="single" w:sz="4" w:space="0" w:color="auto"/>
              <w:bottom w:val="single" w:sz="4" w:space="0" w:color="auto"/>
              <w:right w:val="single" w:sz="4" w:space="0" w:color="auto"/>
            </w:tcBorders>
            <w:shd w:val="clear" w:color="auto" w:fill="CFE0F3"/>
            <w:vAlign w:val="center"/>
          </w:tcPr>
          <w:p w14:paraId="62D06289"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Not required</w:t>
            </w:r>
          </w:p>
        </w:tc>
      </w:tr>
      <w:tr w:rsidR="00BF3D89" w:rsidRPr="00FC4D11" w14:paraId="5D939BE1" w14:textId="77777777" w:rsidTr="00867F4A">
        <w:trPr>
          <w:trHeight w:val="292"/>
        </w:trPr>
        <w:tc>
          <w:tcPr>
            <w:tcW w:w="2645" w:type="dxa"/>
            <w:vMerge/>
            <w:tcBorders>
              <w:top w:val="single" w:sz="4" w:space="0" w:color="auto"/>
              <w:left w:val="single" w:sz="4" w:space="0" w:color="auto"/>
              <w:bottom w:val="single" w:sz="4" w:space="0" w:color="auto"/>
              <w:right w:val="single" w:sz="4" w:space="0" w:color="auto"/>
            </w:tcBorders>
            <w:shd w:val="clear" w:color="auto" w:fill="CFE0F3"/>
            <w:vAlign w:val="center"/>
            <w:hideMark/>
          </w:tcPr>
          <w:p w14:paraId="7AFCAF29" w14:textId="77777777" w:rsidR="00BF3D89" w:rsidRPr="00FC4D11" w:rsidRDefault="00BF3D89" w:rsidP="00E500BB">
            <w:pPr>
              <w:rPr>
                <w:rFonts w:cs="Arial"/>
                <w:b/>
                <w:bCs/>
                <w:color w:val="000000"/>
                <w:sz w:val="17"/>
                <w:szCs w:val="17"/>
                <w:lang w:eastAsia="en-AU"/>
              </w:rPr>
            </w:pPr>
          </w:p>
        </w:tc>
        <w:tc>
          <w:tcPr>
            <w:tcW w:w="17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4AD8C416"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1.0 m or lower</w:t>
            </w:r>
          </w:p>
        </w:tc>
        <w:tc>
          <w:tcPr>
            <w:tcW w:w="5244" w:type="dxa"/>
            <w:gridSpan w:val="2"/>
            <w:tcBorders>
              <w:top w:val="single" w:sz="4" w:space="0" w:color="auto"/>
              <w:left w:val="single" w:sz="4" w:space="0" w:color="auto"/>
              <w:bottom w:val="single" w:sz="4" w:space="0" w:color="auto"/>
              <w:right w:val="single" w:sz="4" w:space="0" w:color="auto"/>
            </w:tcBorders>
            <w:shd w:val="clear" w:color="auto" w:fill="CFE0F3"/>
            <w:noWrap/>
            <w:vAlign w:val="center"/>
          </w:tcPr>
          <w:p w14:paraId="78E75422"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30 metres</w:t>
            </w:r>
          </w:p>
        </w:tc>
      </w:tr>
      <w:tr w:rsidR="00BF3D89" w:rsidRPr="00FC4D11" w14:paraId="7CCD5517"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02CFE693"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DO NOT apply by a vertical sprayer.</w:t>
            </w:r>
          </w:p>
        </w:tc>
      </w:tr>
      <w:tr w:rsidR="00BF3D89" w:rsidRPr="00FC4D11" w14:paraId="5D8565B7"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vAlign w:val="center"/>
            <w:hideMark/>
          </w:tcPr>
          <w:p w14:paraId="6C463C54"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DO NOT apply by aircraft unless the following requirements are met:</w:t>
            </w:r>
          </w:p>
        </w:tc>
      </w:tr>
      <w:tr w:rsidR="00BF3D89" w:rsidRPr="00FC4D11" w14:paraId="37BC52D7" w14:textId="77777777" w:rsidTr="00867F4A">
        <w:trPr>
          <w:trHeight w:val="292"/>
        </w:trPr>
        <w:tc>
          <w:tcPr>
            <w:tcW w:w="9634" w:type="dxa"/>
            <w:gridSpan w:val="4"/>
            <w:tcBorders>
              <w:top w:val="nil"/>
              <w:left w:val="single" w:sz="4" w:space="0" w:color="auto"/>
              <w:bottom w:val="nil"/>
              <w:right w:val="single" w:sz="4" w:space="0" w:color="auto"/>
            </w:tcBorders>
            <w:shd w:val="clear" w:color="auto" w:fill="CFE0F3"/>
            <w:noWrap/>
            <w:vAlign w:val="center"/>
            <w:hideMark/>
          </w:tcPr>
          <w:p w14:paraId="619BF96A"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 xml:space="preserve"> - spray droplets not smaller than a MEDIUM spray droplet size category</w:t>
            </w:r>
          </w:p>
        </w:tc>
      </w:tr>
      <w:tr w:rsidR="00BF3D89" w:rsidRPr="00FC4D11" w14:paraId="245FE5E2" w14:textId="77777777" w:rsidTr="00867F4A">
        <w:trPr>
          <w:trHeight w:val="629"/>
        </w:trPr>
        <w:tc>
          <w:tcPr>
            <w:tcW w:w="9634" w:type="dxa"/>
            <w:gridSpan w:val="4"/>
            <w:tcBorders>
              <w:top w:val="nil"/>
              <w:left w:val="single" w:sz="4" w:space="0" w:color="auto"/>
              <w:bottom w:val="nil"/>
              <w:right w:val="single" w:sz="4" w:space="0" w:color="auto"/>
            </w:tcBorders>
            <w:shd w:val="clear" w:color="auto" w:fill="CFE0F3"/>
            <w:vAlign w:val="center"/>
            <w:hideMark/>
          </w:tcPr>
          <w:p w14:paraId="4EC2DB32"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 xml:space="preserve"> - for maximum release heights above the target canopy of 3m or 25% of wingspan or 25% of rotor diameter whichever is the greatest, minimum distances between the application site and downwind sensitive areas (see ‘Mandatory buffer zones’ section of the following table titled ‘Buffer zones for aircraft’) are observed.</w:t>
            </w:r>
          </w:p>
        </w:tc>
      </w:tr>
      <w:tr w:rsidR="00BF3D89" w:rsidRPr="00FC4D11" w14:paraId="38DFD394" w14:textId="77777777" w:rsidTr="00867F4A">
        <w:trPr>
          <w:trHeight w:val="292"/>
        </w:trPr>
        <w:tc>
          <w:tcPr>
            <w:tcW w:w="8396" w:type="dxa"/>
            <w:gridSpan w:val="3"/>
            <w:tcBorders>
              <w:top w:val="single" w:sz="4" w:space="0" w:color="auto"/>
              <w:left w:val="single" w:sz="4" w:space="0" w:color="auto"/>
              <w:bottom w:val="single" w:sz="4" w:space="0" w:color="auto"/>
              <w:right w:val="single" w:sz="4" w:space="0" w:color="auto"/>
            </w:tcBorders>
            <w:shd w:val="clear" w:color="auto" w:fill="CFE0F3"/>
            <w:vAlign w:val="center"/>
            <w:hideMark/>
          </w:tcPr>
          <w:p w14:paraId="0E02C4FA"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Buffer zones for aircraft</w:t>
            </w:r>
          </w:p>
        </w:tc>
        <w:tc>
          <w:tcPr>
            <w:tcW w:w="1238" w:type="dxa"/>
            <w:tcBorders>
              <w:top w:val="nil"/>
              <w:left w:val="nil"/>
              <w:bottom w:val="nil"/>
              <w:right w:val="single" w:sz="4" w:space="0" w:color="auto"/>
            </w:tcBorders>
            <w:shd w:val="clear" w:color="auto" w:fill="CFE0F3"/>
            <w:noWrap/>
            <w:vAlign w:val="bottom"/>
            <w:hideMark/>
          </w:tcPr>
          <w:p w14:paraId="1B4B754D" w14:textId="77777777" w:rsidR="00BF3D89" w:rsidRPr="00FC4D11" w:rsidRDefault="00BF3D89" w:rsidP="00E500BB">
            <w:pPr>
              <w:rPr>
                <w:rFonts w:ascii="Calibri" w:hAnsi="Calibri" w:cs="Calibri"/>
                <w:color w:val="000000"/>
                <w:sz w:val="22"/>
                <w:szCs w:val="22"/>
                <w:lang w:eastAsia="en-AU"/>
              </w:rPr>
            </w:pPr>
            <w:r w:rsidRPr="00FC4D11">
              <w:rPr>
                <w:rFonts w:ascii="Calibri" w:hAnsi="Calibri" w:cs="Calibri"/>
                <w:color w:val="000000"/>
                <w:sz w:val="22"/>
                <w:szCs w:val="22"/>
                <w:lang w:eastAsia="en-AU"/>
              </w:rPr>
              <w:t> </w:t>
            </w:r>
          </w:p>
        </w:tc>
      </w:tr>
      <w:tr w:rsidR="00BF3D89" w:rsidRPr="00FC4D11" w14:paraId="31AF2D97" w14:textId="77777777" w:rsidTr="00867F4A">
        <w:trPr>
          <w:trHeight w:val="468"/>
        </w:trPr>
        <w:tc>
          <w:tcPr>
            <w:tcW w:w="26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7DC4AEFA"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Type of aircraft</w:t>
            </w:r>
          </w:p>
        </w:tc>
        <w:tc>
          <w:tcPr>
            <w:tcW w:w="5751" w:type="dxa"/>
            <w:gridSpan w:val="2"/>
            <w:tcBorders>
              <w:top w:val="single" w:sz="4" w:space="0" w:color="auto"/>
              <w:left w:val="single" w:sz="4" w:space="0" w:color="auto"/>
              <w:bottom w:val="single" w:sz="4" w:space="0" w:color="auto"/>
              <w:right w:val="single" w:sz="4" w:space="0" w:color="auto"/>
            </w:tcBorders>
            <w:shd w:val="clear" w:color="auto" w:fill="CFE0F3"/>
            <w:vAlign w:val="center"/>
          </w:tcPr>
          <w:p w14:paraId="7D79A155"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Livestock areas</w:t>
            </w:r>
          </w:p>
        </w:tc>
        <w:tc>
          <w:tcPr>
            <w:tcW w:w="1238" w:type="dxa"/>
            <w:tcBorders>
              <w:top w:val="nil"/>
              <w:left w:val="nil"/>
              <w:bottom w:val="nil"/>
              <w:right w:val="single" w:sz="4" w:space="0" w:color="auto"/>
            </w:tcBorders>
            <w:shd w:val="clear" w:color="auto" w:fill="CFE0F3"/>
            <w:noWrap/>
            <w:vAlign w:val="bottom"/>
            <w:hideMark/>
          </w:tcPr>
          <w:p w14:paraId="3E2F251A" w14:textId="77777777" w:rsidR="00BF3D89" w:rsidRPr="00FC4D11" w:rsidRDefault="00BF3D89" w:rsidP="00E500BB">
            <w:pPr>
              <w:rPr>
                <w:rFonts w:ascii="Calibri" w:hAnsi="Calibri" w:cs="Calibri"/>
                <w:color w:val="000000"/>
                <w:sz w:val="22"/>
                <w:szCs w:val="22"/>
                <w:lang w:eastAsia="en-AU"/>
              </w:rPr>
            </w:pPr>
            <w:r w:rsidRPr="00FC4D11">
              <w:rPr>
                <w:rFonts w:ascii="Calibri" w:hAnsi="Calibri" w:cs="Calibri"/>
                <w:color w:val="000000"/>
                <w:sz w:val="22"/>
                <w:szCs w:val="22"/>
                <w:lang w:eastAsia="en-AU"/>
              </w:rPr>
              <w:t> </w:t>
            </w:r>
          </w:p>
        </w:tc>
      </w:tr>
      <w:tr w:rsidR="00BF3D89" w:rsidRPr="00FC4D11" w14:paraId="43C9D003" w14:textId="77777777" w:rsidTr="00867F4A">
        <w:trPr>
          <w:trHeight w:val="292"/>
        </w:trPr>
        <w:tc>
          <w:tcPr>
            <w:tcW w:w="26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2874B6D9" w14:textId="47696970"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Fixed wing</w:t>
            </w:r>
          </w:p>
        </w:tc>
        <w:tc>
          <w:tcPr>
            <w:tcW w:w="5751" w:type="dxa"/>
            <w:gridSpan w:val="2"/>
            <w:tcBorders>
              <w:top w:val="single" w:sz="4" w:space="0" w:color="auto"/>
              <w:left w:val="single" w:sz="4" w:space="0" w:color="auto"/>
              <w:bottom w:val="single" w:sz="4" w:space="0" w:color="auto"/>
              <w:right w:val="single" w:sz="4" w:space="0" w:color="auto"/>
            </w:tcBorders>
            <w:shd w:val="clear" w:color="auto" w:fill="CFE0F3"/>
            <w:vAlign w:val="center"/>
          </w:tcPr>
          <w:p w14:paraId="20977721"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220 metres</w:t>
            </w:r>
          </w:p>
        </w:tc>
        <w:tc>
          <w:tcPr>
            <w:tcW w:w="1238" w:type="dxa"/>
            <w:tcBorders>
              <w:top w:val="nil"/>
              <w:left w:val="nil"/>
              <w:bottom w:val="nil"/>
              <w:right w:val="single" w:sz="4" w:space="0" w:color="auto"/>
            </w:tcBorders>
            <w:shd w:val="clear" w:color="auto" w:fill="CFE0F3"/>
            <w:noWrap/>
            <w:vAlign w:val="bottom"/>
            <w:hideMark/>
          </w:tcPr>
          <w:p w14:paraId="6DC1EDB9" w14:textId="77777777" w:rsidR="00BF3D89" w:rsidRPr="00FC4D11" w:rsidRDefault="00BF3D89" w:rsidP="00E500BB">
            <w:pPr>
              <w:rPr>
                <w:rFonts w:ascii="Calibri" w:hAnsi="Calibri" w:cs="Calibri"/>
                <w:color w:val="000000"/>
                <w:sz w:val="22"/>
                <w:szCs w:val="22"/>
                <w:lang w:eastAsia="en-AU"/>
              </w:rPr>
            </w:pPr>
            <w:r w:rsidRPr="00FC4D11">
              <w:rPr>
                <w:rFonts w:ascii="Calibri" w:hAnsi="Calibri" w:cs="Calibri"/>
                <w:color w:val="000000"/>
                <w:sz w:val="22"/>
                <w:szCs w:val="22"/>
                <w:lang w:eastAsia="en-AU"/>
              </w:rPr>
              <w:t> </w:t>
            </w:r>
          </w:p>
        </w:tc>
      </w:tr>
      <w:tr w:rsidR="00BF3D89" w:rsidRPr="00FC4D11" w14:paraId="3492B9D1" w14:textId="77777777" w:rsidTr="00867F4A">
        <w:trPr>
          <w:trHeight w:val="292"/>
        </w:trPr>
        <w:tc>
          <w:tcPr>
            <w:tcW w:w="2645" w:type="dxa"/>
            <w:tcBorders>
              <w:top w:val="single" w:sz="4" w:space="0" w:color="auto"/>
              <w:left w:val="single" w:sz="4" w:space="0" w:color="auto"/>
              <w:bottom w:val="single" w:sz="4" w:space="0" w:color="auto"/>
              <w:right w:val="single" w:sz="4" w:space="0" w:color="auto"/>
            </w:tcBorders>
            <w:shd w:val="clear" w:color="auto" w:fill="CFE0F3"/>
            <w:vAlign w:val="center"/>
            <w:hideMark/>
          </w:tcPr>
          <w:p w14:paraId="303DDC08" w14:textId="77777777" w:rsidR="00BF3D89" w:rsidRPr="00FC4D11" w:rsidRDefault="00BF3D89" w:rsidP="00E500BB">
            <w:pPr>
              <w:rPr>
                <w:rFonts w:cs="Arial"/>
                <w:b/>
                <w:bCs/>
                <w:color w:val="000000"/>
                <w:sz w:val="17"/>
                <w:szCs w:val="17"/>
                <w:lang w:eastAsia="en-AU"/>
              </w:rPr>
            </w:pPr>
            <w:r w:rsidRPr="00FC4D11">
              <w:rPr>
                <w:rFonts w:cs="Arial"/>
                <w:b/>
                <w:bCs/>
                <w:color w:val="000000"/>
                <w:sz w:val="17"/>
                <w:szCs w:val="17"/>
                <w:lang w:eastAsia="en-AU"/>
              </w:rPr>
              <w:t>Helicopter</w:t>
            </w:r>
          </w:p>
        </w:tc>
        <w:tc>
          <w:tcPr>
            <w:tcW w:w="5751" w:type="dxa"/>
            <w:gridSpan w:val="2"/>
            <w:tcBorders>
              <w:top w:val="single" w:sz="4" w:space="0" w:color="auto"/>
              <w:left w:val="single" w:sz="4" w:space="0" w:color="auto"/>
              <w:bottom w:val="single" w:sz="4" w:space="0" w:color="auto"/>
              <w:right w:val="single" w:sz="4" w:space="0" w:color="auto"/>
            </w:tcBorders>
            <w:shd w:val="clear" w:color="auto" w:fill="CFE0F3"/>
            <w:vAlign w:val="center"/>
          </w:tcPr>
          <w:p w14:paraId="502EE9AF" w14:textId="77777777" w:rsidR="00BF3D89" w:rsidRPr="00FC4D11" w:rsidRDefault="00BF3D89" w:rsidP="00E500BB">
            <w:pPr>
              <w:rPr>
                <w:rFonts w:cs="Arial"/>
                <w:color w:val="000000"/>
                <w:sz w:val="17"/>
                <w:szCs w:val="17"/>
                <w:lang w:eastAsia="en-AU"/>
              </w:rPr>
            </w:pPr>
            <w:r w:rsidRPr="00FC4D11">
              <w:rPr>
                <w:rFonts w:cs="Arial"/>
                <w:color w:val="000000"/>
                <w:sz w:val="17"/>
                <w:szCs w:val="17"/>
                <w:lang w:eastAsia="en-AU"/>
              </w:rPr>
              <w:t>140 metres</w:t>
            </w:r>
          </w:p>
        </w:tc>
        <w:tc>
          <w:tcPr>
            <w:tcW w:w="1238" w:type="dxa"/>
            <w:tcBorders>
              <w:top w:val="nil"/>
              <w:left w:val="nil"/>
              <w:bottom w:val="single" w:sz="4" w:space="0" w:color="auto"/>
              <w:right w:val="single" w:sz="4" w:space="0" w:color="auto"/>
            </w:tcBorders>
            <w:shd w:val="clear" w:color="auto" w:fill="CFE0F3"/>
            <w:noWrap/>
            <w:vAlign w:val="bottom"/>
            <w:hideMark/>
          </w:tcPr>
          <w:p w14:paraId="32C7C30E" w14:textId="77777777" w:rsidR="00BF3D89" w:rsidRPr="00FC4D11" w:rsidRDefault="00BF3D89" w:rsidP="00E500BB">
            <w:pPr>
              <w:rPr>
                <w:rFonts w:ascii="Calibri" w:hAnsi="Calibri" w:cs="Calibri"/>
                <w:color w:val="000000"/>
                <w:sz w:val="22"/>
                <w:szCs w:val="22"/>
                <w:lang w:eastAsia="en-AU"/>
              </w:rPr>
            </w:pPr>
            <w:r w:rsidRPr="00FC4D11">
              <w:rPr>
                <w:rFonts w:ascii="Calibri" w:hAnsi="Calibri" w:cs="Calibri"/>
                <w:color w:val="000000"/>
                <w:sz w:val="22"/>
                <w:szCs w:val="22"/>
                <w:lang w:eastAsia="en-AU"/>
              </w:rPr>
              <w:t> </w:t>
            </w:r>
          </w:p>
        </w:tc>
      </w:tr>
    </w:tbl>
    <w:p w14:paraId="0751BEE5" w14:textId="1471DF96" w:rsidR="00BF3D89" w:rsidRPr="00BF3D89" w:rsidRDefault="00BF3D89" w:rsidP="00BF3D89">
      <w:pPr>
        <w:pStyle w:val="APVMAText"/>
        <w:sectPr w:rsidR="00BF3D89" w:rsidRPr="00BF3D89">
          <w:pgSz w:w="11906" w:h="16838" w:code="9"/>
          <w:pgMar w:top="2835" w:right="1134" w:bottom="1134" w:left="1134" w:header="1701" w:footer="680" w:gutter="0"/>
          <w:cols w:space="708"/>
          <w:docGrid w:linePitch="360"/>
        </w:sectPr>
      </w:pPr>
    </w:p>
    <w:p w14:paraId="66150D10" w14:textId="664325A4" w:rsidR="002E20AC" w:rsidRDefault="007B1953" w:rsidP="007B1953">
      <w:pPr>
        <w:pStyle w:val="Heading1"/>
      </w:pPr>
      <w:bookmarkStart w:id="50" w:name="_Toc155278375"/>
      <w:r>
        <w:lastRenderedPageBreak/>
        <w:t>C</w:t>
      </w:r>
      <w:r w:rsidR="006D36C8">
        <w:t>onclusion</w:t>
      </w:r>
      <w:bookmarkEnd w:id="50"/>
    </w:p>
    <w:p w14:paraId="1A9C68A4" w14:textId="030EE534" w:rsidR="009D452E" w:rsidRDefault="00AC0684" w:rsidP="009D452E">
      <w:pPr>
        <w:pStyle w:val="NormalText"/>
      </w:pPr>
      <w:r>
        <w:t>Cotton Australian Limited</w:t>
      </w:r>
      <w:r w:rsidRPr="0034195B">
        <w:rPr>
          <w:color w:val="BD3632" w:themeColor="accent6"/>
        </w:rPr>
        <w:t xml:space="preserve"> </w:t>
      </w:r>
      <w:r w:rsidRPr="0034195B">
        <w:t>has applied for a</w:t>
      </w:r>
      <w:r>
        <w:t>n</w:t>
      </w:r>
      <w:r w:rsidRPr="0034195B">
        <w:t xml:space="preserve"> emergency permit for </w:t>
      </w:r>
      <w:r>
        <w:t xml:space="preserve">the </w:t>
      </w:r>
      <w:r w:rsidRPr="00C13A4C">
        <w:t>use</w:t>
      </w:r>
      <w:r w:rsidRPr="0034195B">
        <w:rPr>
          <w:color w:val="BD3632" w:themeColor="accent6"/>
        </w:rPr>
        <w:t xml:space="preserve"> </w:t>
      </w:r>
      <w:r w:rsidRPr="0034195B">
        <w:t xml:space="preserve">of </w:t>
      </w:r>
      <w:r>
        <w:t xml:space="preserve">Belanty® Fungicide </w:t>
      </w:r>
      <w:r w:rsidRPr="0034195B">
        <w:t xml:space="preserve">containing </w:t>
      </w:r>
      <w:r w:rsidR="00063A19">
        <w:t>75 </w:t>
      </w:r>
      <w:r>
        <w:t>g/L mefentrifluconazole on cotton. Comment is sough</w:t>
      </w:r>
      <w:r w:rsidR="00867F4A">
        <w:t>t</w:t>
      </w:r>
      <w:r>
        <w:t xml:space="preserve"> on the potential for the proposed use to pose a risk to Australian trade.</w:t>
      </w:r>
    </w:p>
    <w:sectPr w:rsidR="009D452E">
      <w:headerReference w:type="even" r:id="rId27"/>
      <w:headerReference w:type="default" r:id="rId28"/>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85C5" w14:textId="77777777" w:rsidR="00D46019" w:rsidRDefault="00D46019">
      <w:r>
        <w:separator/>
      </w:r>
    </w:p>
    <w:p w14:paraId="40F9C17D" w14:textId="77777777" w:rsidR="00D46019" w:rsidRDefault="00D46019"/>
    <w:p w14:paraId="4880B9F7" w14:textId="77777777" w:rsidR="00D46019" w:rsidRDefault="00D46019"/>
  </w:endnote>
  <w:endnote w:type="continuationSeparator" w:id="0">
    <w:p w14:paraId="628E5BDC" w14:textId="77777777" w:rsidR="00D46019" w:rsidRDefault="00D46019">
      <w:r>
        <w:continuationSeparator/>
      </w:r>
    </w:p>
    <w:p w14:paraId="0A66FBBD" w14:textId="77777777" w:rsidR="00D46019" w:rsidRDefault="00D46019"/>
    <w:p w14:paraId="2BD43BF5" w14:textId="77777777" w:rsidR="00D46019" w:rsidRDefault="00D4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AAF4" w14:textId="77777777" w:rsidR="00D46019" w:rsidRDefault="00D46019">
      <w:r>
        <w:separator/>
      </w:r>
    </w:p>
  </w:footnote>
  <w:footnote w:type="continuationSeparator" w:id="0">
    <w:p w14:paraId="7199597E" w14:textId="77777777" w:rsidR="00D46019" w:rsidRDefault="00D46019">
      <w:pPr>
        <w:spacing w:line="180" w:lineRule="exact"/>
        <w:rPr>
          <w:sz w:val="16"/>
        </w:rPr>
      </w:pPr>
      <w:r>
        <w:rPr>
          <w:sz w:val="16"/>
        </w:rPr>
        <w:continuationSeparator/>
      </w:r>
    </w:p>
    <w:p w14:paraId="230B21EC" w14:textId="77777777" w:rsidR="00D46019" w:rsidRDefault="00D46019"/>
    <w:p w14:paraId="7D212AFB" w14:textId="77777777" w:rsidR="00D46019" w:rsidRDefault="00D46019"/>
  </w:footnote>
  <w:footnote w:type="continuationNotice" w:id="1">
    <w:p w14:paraId="0E2F6971" w14:textId="77777777" w:rsidR="00D46019" w:rsidRDefault="00D46019"/>
    <w:p w14:paraId="4BECC055" w14:textId="77777777" w:rsidR="00D46019" w:rsidRDefault="00D46019"/>
    <w:p w14:paraId="549B6421" w14:textId="77777777" w:rsidR="00D46019" w:rsidRDefault="00D46019"/>
  </w:footnote>
  <w:footnote w:id="2">
    <w:p w14:paraId="2F644008" w14:textId="77777777" w:rsidR="00204739" w:rsidRPr="003D29F4" w:rsidRDefault="00204739" w:rsidP="00AC35AB">
      <w:pPr>
        <w:pStyle w:val="FootnoteText"/>
        <w:spacing w:after="240" w:line="280" w:lineRule="exact"/>
        <w:rPr>
          <w:sz w:val="18"/>
          <w:szCs w:val="18"/>
        </w:rPr>
      </w:pPr>
      <w:r>
        <w:rPr>
          <w:rStyle w:val="FootnoteReference"/>
        </w:rPr>
        <w:footnoteRef/>
      </w:r>
      <w:r>
        <w:t xml:space="preserve"> </w:t>
      </w:r>
      <w:r w:rsidRPr="00985E58">
        <w:t>APVMA Regulatory Guidelines – Data Guidelines: Agricultural - Overseas trade (Part 5B)</w:t>
      </w:r>
    </w:p>
  </w:footnote>
  <w:footnote w:id="3">
    <w:p w14:paraId="6C68051E" w14:textId="3E9EFC48" w:rsidR="00204739" w:rsidRPr="003D29F4" w:rsidRDefault="00204739" w:rsidP="00AC35AB">
      <w:pPr>
        <w:pStyle w:val="FootnoteText"/>
        <w:spacing w:after="240" w:line="280" w:lineRule="exact"/>
        <w:rPr>
          <w:sz w:val="18"/>
          <w:szCs w:val="18"/>
        </w:rPr>
      </w:pPr>
      <w:r w:rsidRPr="003D29F4">
        <w:rPr>
          <w:rStyle w:val="FootnoteReference"/>
          <w:szCs w:val="18"/>
        </w:rPr>
        <w:footnoteRef/>
      </w:r>
      <w:r w:rsidRPr="003D29F4">
        <w:rPr>
          <w:sz w:val="18"/>
          <w:szCs w:val="18"/>
        </w:rPr>
        <w:t xml:space="preserve"> </w:t>
      </w:r>
      <w:r w:rsidR="00607E30" w:rsidRPr="00BF6983">
        <w:t xml:space="preserve">Australian Bureau of Agricultural and Resource Economics – </w:t>
      </w:r>
      <w:hyperlink r:id="rId1" w:anchor="_2022" w:history="1">
        <w:r w:rsidR="00607E30" w:rsidRPr="00607E30">
          <w:rPr>
            <w:rStyle w:val="Hyperlink"/>
            <w:sz w:val="18"/>
            <w:szCs w:val="18"/>
          </w:rPr>
          <w:t>Agricultural Commodity Statistics</w:t>
        </w:r>
      </w:hyperlink>
      <w:r w:rsidR="00607E30" w:rsidRPr="00BF6983">
        <w:t xml:space="preserve">, </w:t>
      </w:r>
      <w:r w:rsidR="00607E30">
        <w:rPr>
          <w:sz w:val="18"/>
          <w:szCs w:val="18"/>
        </w:rPr>
        <w:t>website</w:t>
      </w:r>
      <w:r w:rsidRPr="003D29F4">
        <w:rPr>
          <w:sz w:val="18"/>
          <w:szCs w:val="18"/>
        </w:rPr>
        <w:t xml:space="preserve"> accessed 5</w:t>
      </w:r>
      <w:r w:rsidR="00607E30">
        <w:rPr>
          <w:sz w:val="18"/>
          <w:szCs w:val="18"/>
        </w:rPr>
        <w:t xml:space="preserve"> December </w:t>
      </w:r>
      <w:r w:rsidRPr="003D29F4">
        <w:rPr>
          <w:sz w:val="18"/>
          <w:szCs w:val="18"/>
        </w:rPr>
        <w:t xml:space="preserve">2023. </w:t>
      </w:r>
    </w:p>
  </w:footnote>
  <w:footnote w:id="4">
    <w:p w14:paraId="3A3FD909" w14:textId="17E34830" w:rsidR="00C3498F" w:rsidRDefault="00C3498F" w:rsidP="00C3498F">
      <w:pPr>
        <w:pStyle w:val="FootnoteText"/>
      </w:pPr>
      <w:r>
        <w:rPr>
          <w:rStyle w:val="FootnoteReference"/>
        </w:rPr>
        <w:footnoteRef/>
      </w:r>
      <w:r>
        <w:t xml:space="preserve"> </w:t>
      </w:r>
      <w:r w:rsidR="00607E30" w:rsidRPr="00BF6983">
        <w:t>United States Department of Agriculture</w:t>
      </w:r>
      <w:r w:rsidR="00607E30">
        <w:t xml:space="preserve"> (USDA) 2023</w:t>
      </w:r>
      <w:r w:rsidR="00607E30" w:rsidRPr="00BF6983">
        <w:t xml:space="preserve">, </w:t>
      </w:r>
      <w:hyperlink r:id="rId2" w:history="1">
        <w:r w:rsidR="00607E30" w:rsidRPr="00607E30">
          <w:rPr>
            <w:rStyle w:val="Hyperlink"/>
          </w:rPr>
          <w:t>National Food Safety Standard for Maximum Residue Limits of 112 Pesticides in Foods Released</w:t>
        </w:r>
      </w:hyperlink>
      <w:r>
        <w:t>,</w:t>
      </w:r>
      <w:r w:rsidR="00607E30">
        <w:t xml:space="preserve"> </w:t>
      </w:r>
      <w:r>
        <w:t>accessed 5</w:t>
      </w:r>
      <w:r w:rsidR="00607E30">
        <w:t xml:space="preserve"> December </w:t>
      </w:r>
      <w:r>
        <w:t>2023.</w:t>
      </w:r>
    </w:p>
  </w:footnote>
  <w:footnote w:id="5">
    <w:p w14:paraId="3E761333" w14:textId="6B35FA61" w:rsidR="00C3498F" w:rsidRDefault="00C3498F" w:rsidP="00C3498F">
      <w:pPr>
        <w:pStyle w:val="FootnoteText"/>
      </w:pPr>
      <w:r>
        <w:rPr>
          <w:rStyle w:val="FootnoteReference"/>
        </w:rPr>
        <w:footnoteRef/>
      </w:r>
      <w:r>
        <w:t xml:space="preserve"> </w:t>
      </w:r>
      <w:r w:rsidR="00607E30" w:rsidRPr="00BF6983">
        <w:t xml:space="preserve">European Commission </w:t>
      </w:r>
      <w:r w:rsidR="00607E30">
        <w:t>–</w:t>
      </w:r>
      <w:r w:rsidR="00607E30" w:rsidRPr="00BF6983">
        <w:t xml:space="preserve"> </w:t>
      </w:r>
      <w:hyperlink r:id="rId3" w:history="1">
        <w:r w:rsidR="00607E30" w:rsidRPr="00607E30">
          <w:rPr>
            <w:rStyle w:val="Hyperlink"/>
          </w:rPr>
          <w:t>Pesticide residues and maximum residues levels</w:t>
        </w:r>
      </w:hyperlink>
      <w:r w:rsidR="00607E30">
        <w:t xml:space="preserve">, website </w:t>
      </w:r>
      <w:r>
        <w:t xml:space="preserve">accessed </w:t>
      </w:r>
      <w:r w:rsidR="00607E30">
        <w:t>5 December 2023</w:t>
      </w:r>
      <w:r>
        <w:t>.</w:t>
      </w:r>
    </w:p>
  </w:footnote>
  <w:footnote w:id="6">
    <w:p w14:paraId="52CB58B4" w14:textId="1707B61B" w:rsidR="00C3498F" w:rsidRDefault="00C3498F" w:rsidP="00C3498F">
      <w:pPr>
        <w:pStyle w:val="FootnoteText"/>
      </w:pPr>
      <w:r>
        <w:rPr>
          <w:rStyle w:val="FootnoteReference"/>
        </w:rPr>
        <w:footnoteRef/>
      </w:r>
      <w:r>
        <w:t xml:space="preserve"> </w:t>
      </w:r>
      <w:r w:rsidR="00607E30" w:rsidRPr="00BF6983">
        <w:t xml:space="preserve">The Japan Food Chemical Research Foundation </w:t>
      </w:r>
      <w:r w:rsidR="00607E30">
        <w:t>–</w:t>
      </w:r>
      <w:r w:rsidR="00607E30" w:rsidRPr="00BF6983">
        <w:t xml:space="preserve"> </w:t>
      </w:r>
      <w:hyperlink r:id="rId4" w:history="1">
        <w:r w:rsidR="00607E30" w:rsidRPr="00607E30">
          <w:rPr>
            <w:rStyle w:val="Hyperlink"/>
          </w:rPr>
          <w:t>Pesticides Database</w:t>
        </w:r>
      </w:hyperlink>
      <w:r w:rsidR="00BF6983">
        <w:t xml:space="preserve">, </w:t>
      </w:r>
      <w:r w:rsidR="00607E30">
        <w:t xml:space="preserve">website </w:t>
      </w:r>
      <w:r>
        <w:t xml:space="preserve">accessed </w:t>
      </w:r>
      <w:r w:rsidR="00607E30">
        <w:t>5 December 2023</w:t>
      </w:r>
      <w:r>
        <w:t>.</w:t>
      </w:r>
    </w:p>
  </w:footnote>
  <w:footnote w:id="7">
    <w:p w14:paraId="5E16CEAD" w14:textId="07960399" w:rsidR="00C3498F" w:rsidRDefault="00C3498F" w:rsidP="00C3498F">
      <w:pPr>
        <w:pStyle w:val="FootnoteText"/>
      </w:pPr>
      <w:r>
        <w:rPr>
          <w:rStyle w:val="FootnoteReference"/>
        </w:rPr>
        <w:footnoteRef/>
      </w:r>
      <w:r>
        <w:t xml:space="preserve"> </w:t>
      </w:r>
      <w:r w:rsidR="00607E30" w:rsidRPr="00BF6983">
        <w:t xml:space="preserve">Food Safety Korea </w:t>
      </w:r>
      <w:r w:rsidR="00607E30">
        <w:t>–</w:t>
      </w:r>
      <w:r w:rsidR="00607E30" w:rsidRPr="00BF6983">
        <w:t xml:space="preserve"> </w:t>
      </w:r>
      <w:hyperlink r:id="rId5" w:history="1">
        <w:r w:rsidR="00607E30" w:rsidRPr="00607E30">
          <w:rPr>
            <w:rStyle w:val="Hyperlink"/>
          </w:rPr>
          <w:t>Pesticides and Veterinary Drugs Information</w:t>
        </w:r>
      </w:hyperlink>
      <w:r>
        <w:t xml:space="preserve">, </w:t>
      </w:r>
      <w:r w:rsidR="00607E30">
        <w:t xml:space="preserve">website </w:t>
      </w:r>
      <w:r>
        <w:t xml:space="preserve">accessed </w:t>
      </w:r>
      <w:r w:rsidR="00607E30">
        <w:t>5 December 2023</w:t>
      </w:r>
      <w:r>
        <w:t>.</w:t>
      </w:r>
    </w:p>
  </w:footnote>
  <w:footnote w:id="8">
    <w:p w14:paraId="2C03A228" w14:textId="7DBF2201" w:rsidR="00C3498F" w:rsidRDefault="00C3498F" w:rsidP="00C3498F">
      <w:pPr>
        <w:pStyle w:val="FootnoteText"/>
      </w:pPr>
      <w:r>
        <w:rPr>
          <w:rStyle w:val="FootnoteReference"/>
        </w:rPr>
        <w:footnoteRef/>
      </w:r>
      <w:r>
        <w:t xml:space="preserve"> </w:t>
      </w:r>
      <w:r w:rsidR="00607E30" w:rsidRPr="00BF6983">
        <w:t>World Health Organi</w:t>
      </w:r>
      <w:r w:rsidR="00BF6983">
        <w:t>z</w:t>
      </w:r>
      <w:r w:rsidR="00607E30" w:rsidRPr="00BF6983">
        <w:t>ation</w:t>
      </w:r>
      <w:r w:rsidR="00607E30">
        <w:t xml:space="preserve"> (WHO)</w:t>
      </w:r>
      <w:r w:rsidR="00607E30" w:rsidRPr="00BF6983">
        <w:t xml:space="preserve"> </w:t>
      </w:r>
      <w:r w:rsidR="00607E30">
        <w:t>–</w:t>
      </w:r>
      <w:r w:rsidR="00607E30" w:rsidRPr="00BF6983">
        <w:t xml:space="preserve"> </w:t>
      </w:r>
      <w:hyperlink r:id="rId6" w:history="1">
        <w:r w:rsidR="00607E30" w:rsidRPr="00607E30">
          <w:rPr>
            <w:rStyle w:val="Hyperlink"/>
          </w:rPr>
          <w:t>FAO Plant Production and Protection Paper series</w:t>
        </w:r>
      </w:hyperlink>
      <w:r w:rsidR="00BF6983">
        <w:t xml:space="preserve">, </w:t>
      </w:r>
      <w:r w:rsidR="00607E30">
        <w:t xml:space="preserve">website </w:t>
      </w:r>
      <w:r>
        <w:t xml:space="preserve">accessed </w:t>
      </w:r>
      <w:r w:rsidR="00607E30">
        <w:t>5 December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D1A" w14:textId="37295D8E" w:rsidR="007B1953" w:rsidRDefault="007B1953" w:rsidP="007B1953">
    <w:pPr>
      <w:pStyle w:val="APVMAOddHeader"/>
    </w:pPr>
    <w:r>
      <w:tab/>
    </w:r>
    <w:r w:rsidR="00BF6983">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5641" w14:textId="48F6D6CB"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on </w:t>
    </w:r>
    <w:r w:rsidR="00D22F83">
      <w:t>mefentrifluconazole in the product Belanty</w:t>
    </w:r>
    <w:r w:rsidR="00D22F83" w:rsidRPr="00D22F83">
      <w:rPr>
        <w:vertAlign w:val="superscript"/>
      </w:rPr>
      <w:t>®</w:t>
    </w:r>
    <w:r w:rsidR="00D22F83">
      <w:t xml:space="preserve"> </w:t>
    </w:r>
    <w:r w:rsidR="00BF6983">
      <w:t>Fungicide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073" w14:textId="397A7035" w:rsidR="00696A51" w:rsidRDefault="00696A51" w:rsidP="007B1953">
    <w:pPr>
      <w:pStyle w:val="APVMAOddHeader"/>
    </w:pPr>
    <w:r>
      <w:tab/>
    </w:r>
    <w:r w:rsidR="00D22F83">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63D" w14:textId="765F2771" w:rsidR="00007E23" w:rsidRDefault="00007E23" w:rsidP="00BF6983">
    <w:pPr>
      <w:pStyle w:val="APVMAEvenHeader"/>
      <w:pBdr>
        <w:bottom w:val="single" w:sz="4" w:space="6"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Pr>
        <w:rStyle w:val="PageNumber"/>
        <w:b/>
        <w:noProof/>
        <w:szCs w:val="24"/>
      </w:rPr>
      <w:t>1</w:t>
    </w:r>
    <w:r>
      <w:rPr>
        <w:rStyle w:val="PageNumber"/>
        <w:b/>
        <w:caps/>
        <w:szCs w:val="24"/>
      </w:rPr>
      <w:fldChar w:fldCharType="end"/>
    </w:r>
    <w:r>
      <w:tab/>
      <w:t>Trade Advice Notice on mefentrifluconazole in the product Belanty</w:t>
    </w:r>
    <w:r w:rsidRPr="00D22F83">
      <w:rPr>
        <w:vertAlign w:val="superscript"/>
      </w:rPr>
      <w:t>®</w:t>
    </w:r>
    <w:r>
      <w:t xml:space="preserve"> Herbicide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0578" w14:textId="409B0B27" w:rsidR="00BF6983" w:rsidRDefault="00BF6983" w:rsidP="007B1953">
    <w:pPr>
      <w:pStyle w:val="APVMAOddHeader"/>
    </w:pPr>
    <w:r>
      <w:tab/>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9BAC" w14:textId="762CABCD" w:rsidR="00BA67F0" w:rsidRDefault="00BA67F0">
    <w:pPr>
      <w:pStyle w:val="APVMAOddHeader"/>
    </w:pPr>
    <w:r>
      <w:tab/>
      <w:t>References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7B1953">
      <w:rPr>
        <w:rStyle w:val="PageNumber"/>
        <w:rFonts w:cs="Times New Roman"/>
        <w:b/>
        <w:bCs w:val="0"/>
        <w:noProof/>
        <w:szCs w:val="24"/>
      </w:rPr>
      <w:t>9</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84301"/>
    <w:multiLevelType w:val="hybridMultilevel"/>
    <w:tmpl w:val="A2984798"/>
    <w:lvl w:ilvl="0" w:tplc="1FFE9B8C">
      <w:start w:val="1"/>
      <w:numFmt w:val="bullet"/>
      <w:pStyle w:val="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C5CFF"/>
    <w:multiLevelType w:val="hybridMultilevel"/>
    <w:tmpl w:val="CD7CC1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3D31C35"/>
    <w:multiLevelType w:val="hybridMultilevel"/>
    <w:tmpl w:val="F10855C0"/>
    <w:lvl w:ilvl="0" w:tplc="5BC2A1F0">
      <w:start w:val="1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CCA0DC4"/>
    <w:multiLevelType w:val="hybridMultilevel"/>
    <w:tmpl w:val="BFEC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470D7"/>
    <w:multiLevelType w:val="hybridMultilevel"/>
    <w:tmpl w:val="F964F8E4"/>
    <w:lvl w:ilvl="0" w:tplc="F848AC7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21599A"/>
    <w:multiLevelType w:val="hybridMultilevel"/>
    <w:tmpl w:val="6F708F36"/>
    <w:lvl w:ilvl="0" w:tplc="07EE8DB4">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num w:numId="1" w16cid:durableId="1561211871">
    <w:abstractNumId w:val="1"/>
  </w:num>
  <w:num w:numId="2" w16cid:durableId="2026588201">
    <w:abstractNumId w:val="4"/>
  </w:num>
  <w:num w:numId="3" w16cid:durableId="1920363156">
    <w:abstractNumId w:val="5"/>
  </w:num>
  <w:num w:numId="4" w16cid:durableId="1280800485">
    <w:abstractNumId w:val="0"/>
  </w:num>
  <w:num w:numId="5" w16cid:durableId="1664970106">
    <w:abstractNumId w:val="2"/>
  </w:num>
  <w:num w:numId="6" w16cid:durableId="859077828">
    <w:abstractNumId w:val="6"/>
  </w:num>
  <w:num w:numId="7" w16cid:durableId="1276712883">
    <w:abstractNumId w:val="9"/>
  </w:num>
  <w:num w:numId="8" w16cid:durableId="405340983">
    <w:abstractNumId w:val="3"/>
  </w:num>
  <w:num w:numId="9" w16cid:durableId="1528519882">
    <w:abstractNumId w:val="12"/>
  </w:num>
  <w:num w:numId="10" w16cid:durableId="668873478">
    <w:abstractNumId w:val="8"/>
  </w:num>
  <w:num w:numId="11" w16cid:durableId="493692028">
    <w:abstractNumId w:val="10"/>
  </w:num>
  <w:num w:numId="12" w16cid:durableId="1452898925">
    <w:abstractNumId w:val="7"/>
  </w:num>
  <w:num w:numId="13" w16cid:durableId="80258109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4F9C"/>
    <w:rsid w:val="00007E23"/>
    <w:rsid w:val="000124F2"/>
    <w:rsid w:val="00021A6A"/>
    <w:rsid w:val="00032787"/>
    <w:rsid w:val="00063A19"/>
    <w:rsid w:val="000642F7"/>
    <w:rsid w:val="00067828"/>
    <w:rsid w:val="000765C1"/>
    <w:rsid w:val="0008350E"/>
    <w:rsid w:val="00096163"/>
    <w:rsid w:val="000A7EF6"/>
    <w:rsid w:val="000C2C1B"/>
    <w:rsid w:val="000C56C2"/>
    <w:rsid w:val="000C5EB1"/>
    <w:rsid w:val="000D49ED"/>
    <w:rsid w:val="001004E6"/>
    <w:rsid w:val="00116540"/>
    <w:rsid w:val="00120E00"/>
    <w:rsid w:val="001232C2"/>
    <w:rsid w:val="00125B8E"/>
    <w:rsid w:val="0013090E"/>
    <w:rsid w:val="001534D8"/>
    <w:rsid w:val="00160692"/>
    <w:rsid w:val="0016652E"/>
    <w:rsid w:val="00167BB3"/>
    <w:rsid w:val="00170F07"/>
    <w:rsid w:val="00174E15"/>
    <w:rsid w:val="00184190"/>
    <w:rsid w:val="00193533"/>
    <w:rsid w:val="001B335C"/>
    <w:rsid w:val="001B7360"/>
    <w:rsid w:val="001C6607"/>
    <w:rsid w:val="001D3257"/>
    <w:rsid w:val="001F0620"/>
    <w:rsid w:val="00204739"/>
    <w:rsid w:val="00216C49"/>
    <w:rsid w:val="0024289A"/>
    <w:rsid w:val="0026493F"/>
    <w:rsid w:val="00273344"/>
    <w:rsid w:val="00280720"/>
    <w:rsid w:val="00282A32"/>
    <w:rsid w:val="002A69DD"/>
    <w:rsid w:val="002B4618"/>
    <w:rsid w:val="002B5703"/>
    <w:rsid w:val="002D7779"/>
    <w:rsid w:val="002E20AC"/>
    <w:rsid w:val="002E49F4"/>
    <w:rsid w:val="002F4591"/>
    <w:rsid w:val="0030255E"/>
    <w:rsid w:val="0031487D"/>
    <w:rsid w:val="003207F2"/>
    <w:rsid w:val="00347883"/>
    <w:rsid w:val="003506C5"/>
    <w:rsid w:val="00364192"/>
    <w:rsid w:val="00381544"/>
    <w:rsid w:val="00382B7C"/>
    <w:rsid w:val="00383003"/>
    <w:rsid w:val="003A1BD7"/>
    <w:rsid w:val="003A2363"/>
    <w:rsid w:val="003A558F"/>
    <w:rsid w:val="003C0891"/>
    <w:rsid w:val="003F2FCE"/>
    <w:rsid w:val="00404649"/>
    <w:rsid w:val="004070E1"/>
    <w:rsid w:val="00407597"/>
    <w:rsid w:val="0041228F"/>
    <w:rsid w:val="00437A9B"/>
    <w:rsid w:val="00444045"/>
    <w:rsid w:val="004616C8"/>
    <w:rsid w:val="00461D26"/>
    <w:rsid w:val="00470304"/>
    <w:rsid w:val="004D2C4F"/>
    <w:rsid w:val="004D48AF"/>
    <w:rsid w:val="004E1991"/>
    <w:rsid w:val="004E4CD7"/>
    <w:rsid w:val="004F66B0"/>
    <w:rsid w:val="005033A8"/>
    <w:rsid w:val="005064D5"/>
    <w:rsid w:val="005148C0"/>
    <w:rsid w:val="00520963"/>
    <w:rsid w:val="00522E27"/>
    <w:rsid w:val="00541125"/>
    <w:rsid w:val="00545A0A"/>
    <w:rsid w:val="005527B9"/>
    <w:rsid w:val="00556804"/>
    <w:rsid w:val="00560E83"/>
    <w:rsid w:val="00563297"/>
    <w:rsid w:val="005637ED"/>
    <w:rsid w:val="005645E9"/>
    <w:rsid w:val="00566590"/>
    <w:rsid w:val="00596F1D"/>
    <w:rsid w:val="005D00D1"/>
    <w:rsid w:val="005D1A47"/>
    <w:rsid w:val="005F4701"/>
    <w:rsid w:val="00606E79"/>
    <w:rsid w:val="00607E30"/>
    <w:rsid w:val="006110AE"/>
    <w:rsid w:val="0062466B"/>
    <w:rsid w:val="00634450"/>
    <w:rsid w:val="00637AB9"/>
    <w:rsid w:val="00641B1B"/>
    <w:rsid w:val="00643052"/>
    <w:rsid w:val="00657A28"/>
    <w:rsid w:val="0066107B"/>
    <w:rsid w:val="00662168"/>
    <w:rsid w:val="00696A51"/>
    <w:rsid w:val="006C08BC"/>
    <w:rsid w:val="006D36C8"/>
    <w:rsid w:val="006E33F7"/>
    <w:rsid w:val="00700C27"/>
    <w:rsid w:val="00702B7D"/>
    <w:rsid w:val="00704C88"/>
    <w:rsid w:val="007275CF"/>
    <w:rsid w:val="00731659"/>
    <w:rsid w:val="007368E2"/>
    <w:rsid w:val="00753ED8"/>
    <w:rsid w:val="00770B96"/>
    <w:rsid w:val="00772D8F"/>
    <w:rsid w:val="00783B12"/>
    <w:rsid w:val="00790A8E"/>
    <w:rsid w:val="0079772A"/>
    <w:rsid w:val="007B17B2"/>
    <w:rsid w:val="007B1953"/>
    <w:rsid w:val="007B2C31"/>
    <w:rsid w:val="007F0146"/>
    <w:rsid w:val="007F6C64"/>
    <w:rsid w:val="00814579"/>
    <w:rsid w:val="00832996"/>
    <w:rsid w:val="00832D38"/>
    <w:rsid w:val="00834ACA"/>
    <w:rsid w:val="008362F6"/>
    <w:rsid w:val="00836556"/>
    <w:rsid w:val="008366A3"/>
    <w:rsid w:val="00847050"/>
    <w:rsid w:val="00860B66"/>
    <w:rsid w:val="00862E63"/>
    <w:rsid w:val="00867F4A"/>
    <w:rsid w:val="008836D1"/>
    <w:rsid w:val="00892292"/>
    <w:rsid w:val="008B2E83"/>
    <w:rsid w:val="008C5C0D"/>
    <w:rsid w:val="008C64FE"/>
    <w:rsid w:val="008C6B9D"/>
    <w:rsid w:val="008D01CF"/>
    <w:rsid w:val="008D1A7E"/>
    <w:rsid w:val="008F14C4"/>
    <w:rsid w:val="00900321"/>
    <w:rsid w:val="009054A8"/>
    <w:rsid w:val="0095647E"/>
    <w:rsid w:val="00957A91"/>
    <w:rsid w:val="00962C66"/>
    <w:rsid w:val="0096305B"/>
    <w:rsid w:val="00966603"/>
    <w:rsid w:val="00972247"/>
    <w:rsid w:val="00985E58"/>
    <w:rsid w:val="009970A0"/>
    <w:rsid w:val="009A4448"/>
    <w:rsid w:val="009A7614"/>
    <w:rsid w:val="009B6ACE"/>
    <w:rsid w:val="009D0E59"/>
    <w:rsid w:val="009D452E"/>
    <w:rsid w:val="009F16FF"/>
    <w:rsid w:val="00A03801"/>
    <w:rsid w:val="00A11221"/>
    <w:rsid w:val="00A1629F"/>
    <w:rsid w:val="00A16D13"/>
    <w:rsid w:val="00A23729"/>
    <w:rsid w:val="00A2448D"/>
    <w:rsid w:val="00A25290"/>
    <w:rsid w:val="00A41DBE"/>
    <w:rsid w:val="00A5136D"/>
    <w:rsid w:val="00A57638"/>
    <w:rsid w:val="00A60905"/>
    <w:rsid w:val="00A6283D"/>
    <w:rsid w:val="00A714E1"/>
    <w:rsid w:val="00A75F34"/>
    <w:rsid w:val="00A77CE7"/>
    <w:rsid w:val="00A81500"/>
    <w:rsid w:val="00A82202"/>
    <w:rsid w:val="00A87101"/>
    <w:rsid w:val="00AB659C"/>
    <w:rsid w:val="00AC0684"/>
    <w:rsid w:val="00AC35AB"/>
    <w:rsid w:val="00AF1ED4"/>
    <w:rsid w:val="00AF232A"/>
    <w:rsid w:val="00B061D3"/>
    <w:rsid w:val="00B15647"/>
    <w:rsid w:val="00B22F9F"/>
    <w:rsid w:val="00B27675"/>
    <w:rsid w:val="00B32E0B"/>
    <w:rsid w:val="00B50074"/>
    <w:rsid w:val="00BA67F0"/>
    <w:rsid w:val="00BC5423"/>
    <w:rsid w:val="00BD021C"/>
    <w:rsid w:val="00BD0287"/>
    <w:rsid w:val="00BD2289"/>
    <w:rsid w:val="00BD55DB"/>
    <w:rsid w:val="00BD62F9"/>
    <w:rsid w:val="00BD70E8"/>
    <w:rsid w:val="00BD7C8B"/>
    <w:rsid w:val="00BF0C7F"/>
    <w:rsid w:val="00BF3D89"/>
    <w:rsid w:val="00BF6983"/>
    <w:rsid w:val="00C01FCE"/>
    <w:rsid w:val="00C2197D"/>
    <w:rsid w:val="00C3498F"/>
    <w:rsid w:val="00C53C96"/>
    <w:rsid w:val="00C61821"/>
    <w:rsid w:val="00C67A8C"/>
    <w:rsid w:val="00C73D24"/>
    <w:rsid w:val="00C93B2D"/>
    <w:rsid w:val="00C95323"/>
    <w:rsid w:val="00C9656F"/>
    <w:rsid w:val="00CA17DC"/>
    <w:rsid w:val="00CD6650"/>
    <w:rsid w:val="00CE3E56"/>
    <w:rsid w:val="00CE456A"/>
    <w:rsid w:val="00CE6C51"/>
    <w:rsid w:val="00D10F59"/>
    <w:rsid w:val="00D11CAA"/>
    <w:rsid w:val="00D22CCB"/>
    <w:rsid w:val="00D22F83"/>
    <w:rsid w:val="00D4143D"/>
    <w:rsid w:val="00D46019"/>
    <w:rsid w:val="00D505AD"/>
    <w:rsid w:val="00D67788"/>
    <w:rsid w:val="00D70A54"/>
    <w:rsid w:val="00D82474"/>
    <w:rsid w:val="00D874AA"/>
    <w:rsid w:val="00D9318E"/>
    <w:rsid w:val="00D942C8"/>
    <w:rsid w:val="00DB3BF5"/>
    <w:rsid w:val="00E203CD"/>
    <w:rsid w:val="00E318E3"/>
    <w:rsid w:val="00E35DE7"/>
    <w:rsid w:val="00E41FED"/>
    <w:rsid w:val="00E63AC3"/>
    <w:rsid w:val="00E70840"/>
    <w:rsid w:val="00E830F0"/>
    <w:rsid w:val="00E84BA9"/>
    <w:rsid w:val="00E97570"/>
    <w:rsid w:val="00EA1757"/>
    <w:rsid w:val="00EE0D34"/>
    <w:rsid w:val="00EE297E"/>
    <w:rsid w:val="00EE5B09"/>
    <w:rsid w:val="00EE6B92"/>
    <w:rsid w:val="00F30BA1"/>
    <w:rsid w:val="00F30BDA"/>
    <w:rsid w:val="00F34959"/>
    <w:rsid w:val="00F453FE"/>
    <w:rsid w:val="00F51AA7"/>
    <w:rsid w:val="00F56C76"/>
    <w:rsid w:val="00F6733A"/>
    <w:rsid w:val="00F74FA6"/>
    <w:rsid w:val="00F81727"/>
    <w:rsid w:val="00FB728F"/>
    <w:rsid w:val="00FC09D2"/>
    <w:rsid w:val="00FC198C"/>
    <w:rsid w:val="00FD344F"/>
    <w:rsid w:val="00FE54CA"/>
    <w:rsid w:val="00FE57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AF1ED4"/>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8"/>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6"/>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790A8E"/>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5"/>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link w:val="Bullet1Char"/>
    <w:uiPriority w:val="4"/>
    <w:qFormat/>
    <w:rsid w:val="00731659"/>
    <w:pPr>
      <w:numPr>
        <w:numId w:val="2"/>
      </w:numPr>
      <w:spacing w:before="120" w:after="120"/>
    </w:pPr>
  </w:style>
  <w:style w:type="paragraph" w:customStyle="1" w:styleId="APVMATableHeadRight">
    <w:name w:val="APVMA_TableHead_Right"/>
    <w:basedOn w:val="APVMATableHead"/>
    <w:rsid w:val="00790A8E"/>
    <w:pPr>
      <w:jc w:val="right"/>
    </w:pPr>
  </w:style>
  <w:style w:type="paragraph" w:customStyle="1" w:styleId="Bullet2">
    <w:name w:val="Bullet2"/>
    <w:basedOn w:val="Bullet1"/>
    <w:link w:val="Bullet2Char"/>
    <w:uiPriority w:val="4"/>
    <w:qFormat/>
    <w:rsid w:val="00790A8E"/>
    <w:pPr>
      <w:numPr>
        <w:numId w:val="1"/>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Table caption,APVMA_Caption,o,o + Links,! Q"/>
    <w:basedOn w:val="Normal"/>
    <w:next w:val="NormalText"/>
    <w:uiPriority w:val="35"/>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4"/>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3"/>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7"/>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696A51"/>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paragraph" w:styleId="Revision">
    <w:name w:val="Revision"/>
    <w:hidden/>
    <w:uiPriority w:val="99"/>
    <w:semiHidden/>
    <w:rsid w:val="00696A51"/>
    <w:rPr>
      <w:rFonts w:ascii="Arial" w:hAnsi="Arial"/>
      <w:szCs w:val="24"/>
      <w:lang w:eastAsia="en-US"/>
    </w:rPr>
  </w:style>
  <w:style w:type="paragraph" w:customStyle="1" w:styleId="Bulletendash">
    <w:name w:val="Bullet en dash"/>
    <w:basedOn w:val="Bullet2"/>
    <w:link w:val="BulletendashChar"/>
    <w:uiPriority w:val="4"/>
    <w:rsid w:val="005033A8"/>
    <w:pPr>
      <w:numPr>
        <w:numId w:val="9"/>
      </w:numPr>
      <w:spacing w:before="1440"/>
      <w:jc w:val="center"/>
    </w:pPr>
    <w:rPr>
      <w:noProof/>
      <w:sz w:val="28"/>
      <w:szCs w:val="28"/>
      <w:lang w:eastAsia="en-AU"/>
    </w:rPr>
  </w:style>
  <w:style w:type="character" w:customStyle="1" w:styleId="NormalTextChar">
    <w:name w:val="Normal Text Char"/>
    <w:basedOn w:val="DefaultParagraphFont"/>
    <w:link w:val="NormalText"/>
    <w:rsid w:val="005033A8"/>
    <w:rPr>
      <w:rFonts w:ascii="Arial" w:hAnsi="Arial" w:cs="Arial"/>
      <w:kern w:val="20"/>
      <w:sz w:val="19"/>
      <w:szCs w:val="24"/>
      <w:u w:color="000000"/>
      <w:lang w:eastAsia="en-US"/>
    </w:rPr>
  </w:style>
  <w:style w:type="character" w:customStyle="1" w:styleId="Bullet1Char">
    <w:name w:val="Bullet1 Char"/>
    <w:basedOn w:val="NormalTextChar"/>
    <w:link w:val="Bullet1"/>
    <w:uiPriority w:val="4"/>
    <w:rsid w:val="005033A8"/>
    <w:rPr>
      <w:rFonts w:ascii="Arial" w:hAnsi="Arial" w:cs="Arial"/>
      <w:kern w:val="20"/>
      <w:sz w:val="19"/>
      <w:szCs w:val="24"/>
      <w:u w:color="000000"/>
      <w:lang w:eastAsia="en-US"/>
    </w:rPr>
  </w:style>
  <w:style w:type="character" w:customStyle="1" w:styleId="Bullet2Char">
    <w:name w:val="Bullet2 Char"/>
    <w:basedOn w:val="Bullet1Char"/>
    <w:link w:val="Bullet2"/>
    <w:uiPriority w:val="4"/>
    <w:rsid w:val="00790A8E"/>
    <w:rPr>
      <w:rFonts w:ascii="Arial" w:hAnsi="Arial" w:cs="Arial"/>
      <w:kern w:val="20"/>
      <w:sz w:val="19"/>
      <w:szCs w:val="24"/>
      <w:u w:color="000000"/>
      <w:lang w:eastAsia="en-US"/>
    </w:rPr>
  </w:style>
  <w:style w:type="character" w:customStyle="1" w:styleId="BulletendashChar">
    <w:name w:val="Bullet en dash Char"/>
    <w:basedOn w:val="Bullet2Char"/>
    <w:link w:val="Bulletendash"/>
    <w:uiPriority w:val="4"/>
    <w:rsid w:val="005033A8"/>
    <w:rPr>
      <w:rFonts w:ascii="Arial" w:hAnsi="Arial" w:cs="Arial"/>
      <w:noProof/>
      <w:kern w:val="20"/>
      <w:sz w:val="28"/>
      <w:szCs w:val="28"/>
      <w:u w:color="000000"/>
      <w:lang w:eastAsia="en-US"/>
    </w:rPr>
  </w:style>
  <w:style w:type="paragraph" w:customStyle="1" w:styleId="Figurecaption">
    <w:name w:val="Figure caption"/>
    <w:basedOn w:val="Caption"/>
    <w:uiPriority w:val="4"/>
    <w:rsid w:val="00790A8E"/>
  </w:style>
  <w:style w:type="character" w:customStyle="1" w:styleId="FootnoteTextChar">
    <w:name w:val="Footnote Text Char"/>
    <w:aliases w:val="APVMA_Footnote Char,DAR001 Char,Tabellenanmerkung Char"/>
    <w:basedOn w:val="DefaultParagraphFont"/>
    <w:link w:val="FootnoteText"/>
    <w:uiPriority w:val="99"/>
    <w:rsid w:val="00204739"/>
    <w:rPr>
      <w:rFonts w:ascii="Arial" w:hAnsi="Arial" w:cs="Arial"/>
      <w:spacing w:val="6"/>
      <w:kern w:val="20"/>
      <w:sz w:val="16"/>
      <w:u w:color="000000"/>
      <w:lang w:eastAsia="en-US"/>
    </w:rPr>
  </w:style>
  <w:style w:type="paragraph" w:customStyle="1" w:styleId="BODYTEXT">
    <w:name w:val="BODYTEXT"/>
    <w:link w:val="BODYTEXTChar"/>
    <w:rsid w:val="00204739"/>
    <w:rPr>
      <w:sz w:val="24"/>
      <w:lang w:eastAsia="en-US"/>
    </w:rPr>
  </w:style>
  <w:style w:type="paragraph" w:customStyle="1" w:styleId="MRLTableHeading">
    <w:name w:val="MRL Table Heading"/>
    <w:basedOn w:val="Normal"/>
    <w:rsid w:val="00204739"/>
    <w:pPr>
      <w:spacing w:before="60" w:after="60" w:line="240" w:lineRule="auto"/>
    </w:pPr>
    <w:rPr>
      <w:rFonts w:ascii="Times New Roman" w:hAnsi="Times New Roman"/>
      <w:b/>
      <w:sz w:val="22"/>
    </w:rPr>
  </w:style>
  <w:style w:type="character" w:customStyle="1" w:styleId="BODYTEXTChar">
    <w:name w:val="BODYTEXT Char"/>
    <w:basedOn w:val="DefaultParagraphFont"/>
    <w:link w:val="BODYTEXT"/>
    <w:rsid w:val="00204739"/>
    <w:rPr>
      <w:sz w:val="24"/>
      <w:lang w:eastAsia="en-US"/>
    </w:rPr>
  </w:style>
  <w:style w:type="paragraph" w:styleId="ListParagraph">
    <w:name w:val="List Paragraph"/>
    <w:basedOn w:val="Normal"/>
    <w:uiPriority w:val="34"/>
    <w:qFormat/>
    <w:rsid w:val="00BF3D89"/>
    <w:pPr>
      <w:spacing w:after="120" w:line="240" w:lineRule="auto"/>
      <w:ind w:left="720"/>
      <w:contextualSpacing/>
    </w:pPr>
    <w:rPr>
      <w:rFonts w:ascii="Times New Roman" w:hAnsi="Times New Roman"/>
      <w:sz w:val="24"/>
    </w:rPr>
  </w:style>
  <w:style w:type="character" w:styleId="UnresolvedMention">
    <w:name w:val="Unresolved Mention"/>
    <w:basedOn w:val="DefaultParagraphFont"/>
    <w:uiPriority w:val="99"/>
    <w:semiHidden/>
    <w:unhideWhenUsed/>
    <w:rsid w:val="00607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7673">
      <w:bodyDiv w:val="1"/>
      <w:marLeft w:val="0"/>
      <w:marRight w:val="0"/>
      <w:marTop w:val="0"/>
      <w:marBottom w:val="0"/>
      <w:divBdr>
        <w:top w:val="none" w:sz="0" w:space="0" w:color="auto"/>
        <w:left w:val="none" w:sz="0" w:space="0" w:color="auto"/>
        <w:bottom w:val="none" w:sz="0" w:space="0" w:color="auto"/>
        <w:right w:val="none" w:sz="0" w:space="0" w:color="auto"/>
      </w:divBdr>
    </w:div>
    <w:div w:id="12188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eader" Target="header3.xml" Id="rId23" /><Relationship Type="http://schemas.openxmlformats.org/officeDocument/2006/relationships/header" Target="header7.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header" Target="header6.xml" Id="rId27" /><Relationship Type="http://schemas.openxmlformats.org/officeDocument/2006/relationships/theme" Target="theme/theme1.xml" Id="rId30" /><Relationship Type="http://schemas.openxmlformats.org/officeDocument/2006/relationships/customXml" Target="/customXML/item3.xml" Id="R4ef818ac0c604ebb" /></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ood/plant/pesticides/eu-pesticides-database/start/screen/mrls/searchpr" TargetMode="External"/><Relationship Id="rId2" Type="http://schemas.openxmlformats.org/officeDocument/2006/relationships/hyperlink" Target="https://apps.fas.usda.gov/newgainapi/api/Report/DownloadReportByFileName?fileName=National%20Food%20Safety%20Standard%20for%20Maximum%20Residue%20Limits%20of%20112%20Pesticides%20in%20Foods%20Released_Beijing_China%20-%20People%27s%20Republic%20of_CH2023-0042" TargetMode="External"/><Relationship Id="rId1" Type="http://schemas.openxmlformats.org/officeDocument/2006/relationships/hyperlink" Target="https://www.agriculture.gov.au/abares/research-topics/agricultural-outlook/data" TargetMode="External"/><Relationship Id="rId6" Type="http://schemas.openxmlformats.org/officeDocument/2006/relationships/hyperlink" Target="https://www.who.int/groups/joint-fao-who-meeting-on-pesticide-residues-(jmpr)/publications/reports" TargetMode="External"/><Relationship Id="rId5" Type="http://schemas.openxmlformats.org/officeDocument/2006/relationships/hyperlink" Target="https://residue.foodsafetykorea.go.kr/prd/progress" TargetMode="External"/><Relationship Id="rId4" Type="http://schemas.openxmlformats.org/officeDocument/2006/relationships/hyperlink" Target="https://db.ffcr.or.jp/fro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A3194605</value>
    </field>
    <field name="Objective-Title">
      <value order="0">Trade Advice Notice on mefentrifluconazole in the product Belanty Fungicide for use on cotton</value>
    </field>
    <field name="Objective-Description">
      <value order="0"/>
    </field>
    <field name="Objective-CreationStamp">
      <value order="0">2024-01-03T00:09:27Z</value>
    </field>
    <field name="Objective-IsApproved">
      <value order="0">false</value>
    </field>
    <field name="Objective-IsPublished">
      <value order="0">false</value>
    </field>
    <field name="Objective-DatePublished">
      <value order="0"/>
    </field>
    <field name="Objective-ModificationStamp">
      <value order="0">2024-01-05T00:01:05Z</value>
    </field>
    <field name="Objective-Owner">
      <value order="0">Jordanna Griffin</value>
    </field>
    <field name="Objective-Path">
      <value order="0">APVMA:PUBLIC AFFAIRS AND COMMUNICATION:03 - Public Affairs and Communications - Digital Communications:04 - Digital Communications - Website - Publishing Records - 2020-2025:2024:004 - TAN on mefentrifluconazole in the product Belanty for use on cotton</value>
    </field>
    <field name="Objective-Parent">
      <value order="0">004 - TAN on mefentrifluconazole in the product Belanty for use on cotton</value>
    </field>
    <field name="Objective-State">
      <value order="0">Being Drafted</value>
    </field>
    <field name="Objective-VersionId">
      <value order="0">vA4742083</value>
    </field>
    <field name="Objective-Version">
      <value order="0">0.12</value>
    </field>
    <field name="Objective-VersionNumber">
      <value order="0">12</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173</TotalTime>
  <Pages>14</Pages>
  <Words>3051</Words>
  <Characters>16904</Characters>
  <Application>Microsoft Office Word</Application>
  <DocSecurity>0</DocSecurity>
  <Lines>384</Lines>
  <Paragraphs>269</Paragraphs>
  <ScaleCrop>false</ScaleCrop>
  <HeadingPairs>
    <vt:vector size="2" baseType="variant">
      <vt:variant>
        <vt:lpstr>Title</vt:lpstr>
      </vt:variant>
      <vt:variant>
        <vt:i4>1</vt:i4>
      </vt:variant>
    </vt:vector>
  </HeadingPairs>
  <TitlesOfParts>
    <vt:vector size="1" baseType="lpstr">
      <vt:lpstr>Trade Advice Notice</vt:lpstr>
    </vt:vector>
  </TitlesOfParts>
  <Manager/>
  <Company>Australian Pesticides and Veterinary Medicines Authority</Company>
  <LinksUpToDate>false</LinksUpToDate>
  <CharactersWithSpaces>19686</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Advice Notice on mefentrifluconazole in the product Belanty Fungicide for use on cotton</dc:title>
  <dc:subject/>
  <dc:creator>APVMA</dc:creator>
  <cp:keywords/>
  <dc:description/>
  <cp:lastModifiedBy>GRIFFIN, Jordanna</cp:lastModifiedBy>
  <cp:revision>12</cp:revision>
  <cp:lastPrinted>2019-04-25T12:55:00Z</cp:lastPrinted>
  <dcterms:created xsi:type="dcterms:W3CDTF">2024-01-03T00:07:00Z</dcterms:created>
  <dcterms:modified xsi:type="dcterms:W3CDTF">2024-01-04T23:44:00Z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A3194605</vt:lpwstr>
  </property>
  <property fmtid="{D5CDD505-2E9C-101B-9397-08002B2CF9AE}" pid="4" name="Objective-Title">
    <vt:lpwstr>Trade Advice Notice on mefentrifluconazole in the product Belanty Fungicide for use on cotton</vt:lpwstr>
  </property>
  <property fmtid="{D5CDD505-2E9C-101B-9397-08002B2CF9AE}" pid="5" name="Objective-Comment">
    <vt:lpwstr/>
  </property>
  <property fmtid="{D5CDD505-2E9C-101B-9397-08002B2CF9AE}" pid="6" name="Objective-CreationStamp">
    <vt:filetime>2024-01-03T03:45:24Z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2024-01-05T00:01:05Z</vt:filetime>
  </property>
  <property fmtid="{D5CDD505-2E9C-101B-9397-08002B2CF9AE}" pid="11" name="Objective-Owner">
    <vt:lpwstr>Jordanna Griffin</vt:lpwstr>
  </property>
  <property fmtid="{D5CDD505-2E9C-101B-9397-08002B2CF9AE}" pid="12" name="Objective-Path">
    <vt:lpwstr>APVMA:PUBLIC AFFAIRS AND COMMUNICATION:03 - Public Affairs and Communications - Digital Communications:04 - Digital Communications - Website - Publishing Records - 2020-2025:2024:004 - TAN on mefentrifluconazole in the product Belanty for use on cotton:</vt:lpwstr>
  </property>
  <property fmtid="{D5CDD505-2E9C-101B-9397-08002B2CF9AE}" pid="13" name="Objective-Parent">
    <vt:lpwstr>004 - TAN on mefentrifluconazole in the product Belanty for use on cotton</vt:lpwstr>
  </property>
  <property fmtid="{D5CDD505-2E9C-101B-9397-08002B2CF9AE}" pid="14" name="Objective-State">
    <vt:lpwstr>Being Drafted</vt:lpwstr>
  </property>
  <property fmtid="{D5CDD505-2E9C-101B-9397-08002B2CF9AE}" pid="15" name="Objective-Version">
    <vt:lpwstr>0.12</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vA4742083</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