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bookmarkStart w:id="1" w:name="_Toc168724484" w:displacedByCustomXml="next"/>
    <w:sdt>
      <w:sdtPr>
        <w:rPr>
          <w:i/>
          <w:noProof/>
          <w:sz w:val="28"/>
          <w:szCs w:val="28"/>
          <w:lang w:eastAsia="en-AU"/>
        </w:rPr>
        <w:id w:val="145790973"/>
        <w:lock w:val="contentLocked"/>
        <w:placeholder>
          <w:docPart w:val="1D136C03497B4A0BAD6DF53006D592B4"/>
        </w:placeholder>
        <w:group/>
      </w:sdtPr>
      <w:sdtEndPr>
        <w:rPr>
          <w:i w:val="0"/>
          <w:noProof w:val="0"/>
          <w:sz w:val="36"/>
          <w:szCs w:val="32"/>
          <w:lang w:eastAsia="en-US"/>
        </w:rPr>
      </w:sdtEndPr>
      <w:sdtContent>
        <w:p w:rsidR="00531D0B" w:rsidRDefault="00531D0B" w:rsidP="0085360B">
          <w:pPr>
            <w:pStyle w:val="APVMACoverTitle"/>
            <w:spacing w:before="1440"/>
            <w:jc w:val="center"/>
            <w:rPr>
              <w:i/>
              <w:noProof/>
              <w:sz w:val="28"/>
              <w:szCs w:val="28"/>
              <w:lang w:eastAsia="en-AU"/>
            </w:rPr>
          </w:pPr>
          <w:r w:rsidRPr="005D1A47">
            <w:rPr>
              <w:i/>
              <w:noProof/>
              <w:lang w:eastAsia="en-AU"/>
            </w:rPr>
            <w:drawing>
              <wp:inline distT="0" distB="0" distL="0" distR="0" wp14:anchorId="13FFD240" wp14:editId="5831A4FC">
                <wp:extent cx="1828800" cy="1104900"/>
                <wp:effectExtent l="0" t="0" r="0" b="0"/>
                <wp:docPr id="6" name="Picture 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rsidR="00531D0B" w:rsidRDefault="00531D0B" w:rsidP="0085360B">
          <w:pPr>
            <w:pStyle w:val="APVMACoverTitle"/>
            <w:spacing w:before="6000"/>
            <w:jc w:val="center"/>
          </w:pPr>
          <w:r w:rsidRPr="005D1A47">
            <w:rPr>
              <w:i/>
              <w:noProof/>
              <w:sz w:val="28"/>
              <w:szCs w:val="28"/>
              <w:lang w:eastAsia="en-AU"/>
            </w:rPr>
            <w:drawing>
              <wp:inline distT="0" distB="0" distL="0" distR="0" wp14:anchorId="0393392F" wp14:editId="42056730">
                <wp:extent cx="2752725" cy="2676525"/>
                <wp:effectExtent l="0" t="0" r="9525" b="9525"/>
                <wp:docPr id="13" name="Picture 13" descr="Front page graphic" title="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676525"/>
                        </a:xfrm>
                        <a:prstGeom prst="rect">
                          <a:avLst/>
                        </a:prstGeom>
                      </pic:spPr>
                    </pic:pic>
                  </a:graphicData>
                </a:graphic>
              </wp:inline>
            </w:drawing>
          </w:r>
        </w:p>
      </w:sdtContent>
    </w:sdt>
    <w:p w:rsidR="00FD1FFE" w:rsidRDefault="00FD1FFE" w:rsidP="00ED61DC">
      <w:pPr>
        <w:pStyle w:val="APVMACoverTitle"/>
        <w:jc w:val="center"/>
        <w:rPr>
          <w:sz w:val="52"/>
        </w:rPr>
      </w:pPr>
    </w:p>
    <w:p w:rsidR="00FD1FFE" w:rsidRDefault="00FD1FFE" w:rsidP="00ED61DC">
      <w:pPr>
        <w:pStyle w:val="APVMACoverTitle"/>
        <w:jc w:val="center"/>
        <w:rPr>
          <w:sz w:val="52"/>
        </w:rPr>
      </w:pPr>
    </w:p>
    <w:p w:rsidR="00FD1FFE" w:rsidRDefault="00FD1FFE" w:rsidP="00ED61DC">
      <w:pPr>
        <w:pStyle w:val="APVMACoverTitle"/>
        <w:jc w:val="center"/>
        <w:rPr>
          <w:sz w:val="52"/>
        </w:rPr>
      </w:pPr>
    </w:p>
    <w:p w:rsidR="00FD1FFE" w:rsidRDefault="00FD1FFE" w:rsidP="00ED61DC">
      <w:pPr>
        <w:pStyle w:val="APVMACoverTitle"/>
        <w:jc w:val="center"/>
        <w:rPr>
          <w:sz w:val="52"/>
        </w:rPr>
      </w:pPr>
    </w:p>
    <w:p w:rsidR="00FD1FFE" w:rsidRDefault="00FD1FFE" w:rsidP="00ED61DC">
      <w:pPr>
        <w:pStyle w:val="APVMACoverTitle"/>
        <w:jc w:val="center"/>
        <w:rPr>
          <w:sz w:val="52"/>
        </w:rPr>
      </w:pPr>
    </w:p>
    <w:p w:rsidR="00531D0B" w:rsidRPr="000861A1" w:rsidRDefault="003E14E0" w:rsidP="002D4A96">
      <w:pPr>
        <w:pStyle w:val="APVMACoverTitle"/>
        <w:spacing w:line="240" w:lineRule="auto"/>
        <w:jc w:val="center"/>
        <w:rPr>
          <w:sz w:val="56"/>
        </w:rPr>
      </w:pPr>
      <w:r>
        <w:rPr>
          <w:sz w:val="56"/>
        </w:rPr>
        <w:t>Environment Risk Assessment</w:t>
      </w:r>
      <w:r w:rsidR="0002139F">
        <w:rPr>
          <w:sz w:val="56"/>
        </w:rPr>
        <w:t xml:space="preserve"> Manual</w:t>
      </w:r>
    </w:p>
    <w:p w:rsidR="00531D0B" w:rsidRDefault="003F4EF5" w:rsidP="0085360B">
      <w:pPr>
        <w:pStyle w:val="APVMACoverSubtitle"/>
        <w:jc w:val="center"/>
      </w:pPr>
      <w:r>
        <w:t xml:space="preserve">Version </w:t>
      </w:r>
      <w:r w:rsidR="004B3D44">
        <w:t>1.0</w:t>
      </w:r>
    </w:p>
    <w:p w:rsidR="00531D0B" w:rsidRPr="00E41FED" w:rsidRDefault="00531D0B" w:rsidP="0085360B">
      <w:pPr>
        <w:pStyle w:val="APVMACoverSubtitle"/>
        <w:jc w:val="left"/>
        <w:sectPr w:rsidR="00531D0B" w:rsidRPr="00E41FED" w:rsidSect="001A19FE">
          <w:footerReference w:type="even" r:id="rId11"/>
          <w:footerReference w:type="default" r:id="rId12"/>
          <w:pgSz w:w="11906" w:h="16838" w:code="9"/>
          <w:pgMar w:top="2552" w:right="1134" w:bottom="1134" w:left="1134" w:header="1701" w:footer="450" w:gutter="0"/>
          <w:pgNumType w:fmt="lowerRoman"/>
          <w:cols w:space="708"/>
          <w:docGrid w:linePitch="360"/>
        </w:sectPr>
      </w:pPr>
    </w:p>
    <w:p w:rsidR="00531D0B" w:rsidRPr="004A6F90" w:rsidRDefault="00531D0B" w:rsidP="0085360B">
      <w:pPr>
        <w:autoSpaceDE w:val="0"/>
        <w:autoSpaceDN w:val="0"/>
        <w:adjustRightInd w:val="0"/>
        <w:spacing w:after="120" w:line="240" w:lineRule="exact"/>
        <w:ind w:left="-284" w:right="-330"/>
        <w:rPr>
          <w:rFonts w:cs="Arial"/>
          <w:sz w:val="16"/>
          <w:szCs w:val="16"/>
          <w:lang w:eastAsia="en-AU"/>
        </w:rPr>
      </w:pPr>
      <w:r w:rsidRPr="004A6F90">
        <w:rPr>
          <w:rFonts w:cs="Arial"/>
          <w:sz w:val="16"/>
          <w:szCs w:val="16"/>
          <w:lang w:eastAsia="en-AU"/>
        </w:rPr>
        <w:lastRenderedPageBreak/>
        <w:t>© Australian Pesticides and Vet</w:t>
      </w:r>
      <w:r w:rsidR="00C5596B">
        <w:rPr>
          <w:rFonts w:cs="Arial"/>
          <w:sz w:val="16"/>
          <w:szCs w:val="16"/>
          <w:lang w:eastAsia="en-AU"/>
        </w:rPr>
        <w:t>erinary Medicines Authority 2018</w:t>
      </w:r>
    </w:p>
    <w:p w:rsidR="00531D0B" w:rsidRPr="004A6F90" w:rsidRDefault="00531D0B" w:rsidP="0085360B">
      <w:pPr>
        <w:autoSpaceDE w:val="0"/>
        <w:autoSpaceDN w:val="0"/>
        <w:adjustRightInd w:val="0"/>
        <w:spacing w:line="240" w:lineRule="exact"/>
        <w:ind w:left="-284" w:right="-330"/>
        <w:rPr>
          <w:rFonts w:ascii="Trebuchet MS" w:hAnsi="Trebuchet MS" w:cs="Trebuchet MS"/>
          <w:sz w:val="16"/>
          <w:szCs w:val="16"/>
          <w:lang w:eastAsia="en-AU"/>
        </w:rPr>
      </w:pPr>
      <w:r w:rsidRPr="004A6F90">
        <w:rPr>
          <w:rFonts w:ascii="Trebuchet MS" w:hAnsi="Trebuchet MS" w:cs="Trebuchet MS"/>
          <w:sz w:val="16"/>
          <w:szCs w:val="16"/>
          <w:lang w:eastAsia="en-AU"/>
        </w:rPr>
        <w:t>ISSN</w:t>
      </w:r>
      <w:r w:rsidRPr="004A6F90">
        <w:rPr>
          <w:rFonts w:ascii="Trebuchet MS" w:hAnsi="Trebuchet MS" w:cs="Trebuchet MS"/>
          <w:sz w:val="16"/>
          <w:szCs w:val="16"/>
          <w:lang w:eastAsia="en-AU"/>
        </w:rPr>
        <w:tab/>
        <w:t>XXXXXX  (electronic)</w:t>
      </w:r>
    </w:p>
    <w:p w:rsidR="00531D0B" w:rsidRPr="004A6F90" w:rsidRDefault="00531D0B" w:rsidP="00C5596B">
      <w:pPr>
        <w:tabs>
          <w:tab w:val="left" w:pos="720"/>
          <w:tab w:val="left" w:pos="1440"/>
          <w:tab w:val="left" w:pos="2160"/>
          <w:tab w:val="center" w:pos="4842"/>
        </w:tabs>
        <w:autoSpaceDE w:val="0"/>
        <w:autoSpaceDN w:val="0"/>
        <w:adjustRightInd w:val="0"/>
        <w:spacing w:after="120" w:line="240" w:lineRule="exact"/>
        <w:ind w:left="-284" w:right="-330"/>
        <w:rPr>
          <w:rFonts w:ascii="Trebuchet MS" w:hAnsi="Trebuchet MS" w:cs="Trebuchet MS"/>
          <w:sz w:val="16"/>
          <w:szCs w:val="16"/>
          <w:lang w:eastAsia="en-AU"/>
        </w:rPr>
      </w:pPr>
      <w:r w:rsidRPr="004A6F90">
        <w:rPr>
          <w:rFonts w:ascii="Trebuchet MS" w:hAnsi="Trebuchet MS" w:cs="Trebuchet MS"/>
          <w:sz w:val="16"/>
          <w:szCs w:val="16"/>
          <w:lang w:eastAsia="en-AU"/>
        </w:rPr>
        <w:t xml:space="preserve">ISBN </w:t>
      </w:r>
      <w:r w:rsidRPr="004A6F90">
        <w:rPr>
          <w:rFonts w:ascii="Trebuchet MS" w:hAnsi="Trebuchet MS" w:cs="Trebuchet MS"/>
          <w:sz w:val="16"/>
          <w:szCs w:val="16"/>
          <w:lang w:eastAsia="en-AU"/>
        </w:rPr>
        <w:tab/>
      </w:r>
      <w:r w:rsidRPr="004A6F90">
        <w:rPr>
          <w:rFonts w:ascii="Trebuchet MS" w:hAnsi="Trebuchet MS" w:cs="Trebuchet MS"/>
          <w:bCs/>
          <w:sz w:val="16"/>
          <w:szCs w:val="16"/>
          <w:lang w:eastAsia="en-AU"/>
        </w:rPr>
        <w:t xml:space="preserve">XXXXXX </w:t>
      </w:r>
      <w:r w:rsidRPr="004A6F90">
        <w:rPr>
          <w:rFonts w:ascii="Trebuchet MS" w:hAnsi="Trebuchet MS" w:cs="Trebuchet MS"/>
          <w:sz w:val="16"/>
          <w:szCs w:val="16"/>
          <w:lang w:eastAsia="en-AU"/>
        </w:rPr>
        <w:t xml:space="preserve"> (electronic)</w:t>
      </w:r>
      <w:r w:rsidR="00C5596B">
        <w:rPr>
          <w:rFonts w:ascii="Trebuchet MS" w:hAnsi="Trebuchet MS" w:cs="Trebuchet MS"/>
          <w:sz w:val="16"/>
          <w:szCs w:val="16"/>
          <w:lang w:eastAsia="en-AU"/>
        </w:rPr>
        <w:tab/>
      </w:r>
    </w:p>
    <w:p w:rsidR="00531D0B" w:rsidRPr="004A6F90" w:rsidRDefault="00531D0B" w:rsidP="0085360B">
      <w:pPr>
        <w:autoSpaceDE w:val="0"/>
        <w:autoSpaceDN w:val="0"/>
        <w:adjustRightInd w:val="0"/>
        <w:spacing w:before="240" w:line="240" w:lineRule="exact"/>
        <w:ind w:left="-284" w:right="-330"/>
        <w:rPr>
          <w:rFonts w:cs="Arial"/>
          <w:b/>
          <w:bCs/>
          <w:sz w:val="16"/>
          <w:szCs w:val="16"/>
          <w:lang w:eastAsia="en-AU"/>
        </w:rPr>
      </w:pPr>
      <w:r w:rsidRPr="004A6F90">
        <w:rPr>
          <w:rFonts w:cs="Arial"/>
          <w:b/>
          <w:bCs/>
          <w:sz w:val="16"/>
          <w:szCs w:val="16"/>
          <w:lang w:eastAsia="en-AU"/>
        </w:rPr>
        <w:t>Ownership of intellectual property rights in this publication</w:t>
      </w:r>
    </w:p>
    <w:p w:rsidR="00531D0B" w:rsidRPr="004A6F90" w:rsidRDefault="00531D0B" w:rsidP="0085360B">
      <w:pPr>
        <w:autoSpaceDE w:val="0"/>
        <w:autoSpaceDN w:val="0"/>
        <w:adjustRightInd w:val="0"/>
        <w:spacing w:before="60" w:after="240" w:line="240" w:lineRule="exact"/>
        <w:ind w:left="-284" w:right="-330"/>
        <w:rPr>
          <w:rFonts w:cs="Arial"/>
          <w:sz w:val="16"/>
          <w:szCs w:val="16"/>
          <w:lang w:eastAsia="en-AU"/>
        </w:rPr>
      </w:pPr>
      <w:r w:rsidRPr="004A6F90">
        <w:rPr>
          <w:rFonts w:cs="Arial"/>
          <w:sz w:val="16"/>
          <w:szCs w:val="16"/>
          <w:lang w:eastAsia="en-AU"/>
        </w:rPr>
        <w:t>Unless otherwise noted, copyright (and any other intellectual property rights, if any) in this publication is owned by the Australian Pesticides and Veterinary Medicines Authority (APVMA).</w:t>
      </w:r>
    </w:p>
    <w:p w:rsidR="00531D0B" w:rsidRPr="004A6F90" w:rsidRDefault="00531D0B" w:rsidP="0085360B">
      <w:pPr>
        <w:autoSpaceDE w:val="0"/>
        <w:autoSpaceDN w:val="0"/>
        <w:adjustRightInd w:val="0"/>
        <w:spacing w:line="240" w:lineRule="exact"/>
        <w:ind w:left="-284" w:right="-330"/>
        <w:rPr>
          <w:rFonts w:cs="Arial"/>
          <w:b/>
          <w:bCs/>
          <w:sz w:val="16"/>
          <w:szCs w:val="16"/>
          <w:lang w:eastAsia="en-AU"/>
        </w:rPr>
      </w:pPr>
      <w:r w:rsidRPr="004A6F90">
        <w:rPr>
          <w:rFonts w:cs="Arial"/>
          <w:b/>
          <w:bCs/>
          <w:sz w:val="16"/>
          <w:szCs w:val="16"/>
          <w:lang w:eastAsia="en-AU"/>
        </w:rPr>
        <w:t>Creative Commons licence</w:t>
      </w:r>
    </w:p>
    <w:p w:rsidR="00531D0B" w:rsidRPr="004A6F90" w:rsidRDefault="00531D0B" w:rsidP="0085360B">
      <w:pPr>
        <w:autoSpaceDE w:val="0"/>
        <w:autoSpaceDN w:val="0"/>
        <w:adjustRightInd w:val="0"/>
        <w:spacing w:before="60" w:after="240" w:line="240" w:lineRule="exact"/>
        <w:ind w:left="-284" w:right="-330"/>
        <w:rPr>
          <w:rFonts w:cs="Arial"/>
          <w:sz w:val="16"/>
          <w:szCs w:val="16"/>
          <w:lang w:eastAsia="en-AU"/>
        </w:rPr>
      </w:pPr>
      <w:r w:rsidRPr="004A6F90">
        <w:rPr>
          <w:rFonts w:cs="Arial"/>
          <w:sz w:val="16"/>
          <w:szCs w:val="16"/>
          <w:lang w:eastAsia="en-AU"/>
        </w:rPr>
        <w:t>With the exception of the Coat of Arms and other elements specifically identified, this publication is licensed under a Creative Commons Attribution 4.0 Australia Licence. This is a standard form agreement that allows you to copy, distribute, transmit and adapt this publication provided that you attribute the work.</w:t>
      </w:r>
    </w:p>
    <w:p w:rsidR="00531D0B" w:rsidRPr="004A6F90" w:rsidRDefault="00531D0B" w:rsidP="0085360B">
      <w:pPr>
        <w:autoSpaceDE w:val="0"/>
        <w:autoSpaceDN w:val="0"/>
        <w:adjustRightInd w:val="0"/>
        <w:spacing w:after="240"/>
        <w:ind w:left="-284" w:right="-329"/>
        <w:rPr>
          <w:rFonts w:cs="Arial"/>
          <w:sz w:val="16"/>
          <w:szCs w:val="16"/>
          <w:lang w:eastAsia="en-AU"/>
        </w:rPr>
      </w:pPr>
      <w:r w:rsidRPr="004A6F90">
        <w:rPr>
          <w:rFonts w:ascii="Times New Roman" w:hAnsi="Times New Roman"/>
          <w:noProof/>
          <w:sz w:val="16"/>
          <w:szCs w:val="16"/>
          <w:lang w:eastAsia="en-AU"/>
        </w:rPr>
        <w:drawing>
          <wp:inline distT="0" distB="0" distL="0" distR="0" wp14:anchorId="64546F3B" wp14:editId="163C1FA0">
            <wp:extent cx="400050" cy="400050"/>
            <wp:effectExtent l="0" t="0" r="0" b="0"/>
            <wp:docPr id="5" name="Picture 5" descr="Creative Commons logo" title="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4A6F90">
        <w:rPr>
          <w:rFonts w:ascii="Times New Roman" w:hAnsi="Times New Roman"/>
          <w:noProof/>
          <w:sz w:val="16"/>
          <w:szCs w:val="16"/>
          <w:lang w:eastAsia="en-AU"/>
        </w:rPr>
        <w:drawing>
          <wp:inline distT="0" distB="0" distL="0" distR="0" wp14:anchorId="1B95F3E6" wp14:editId="62BA8FED">
            <wp:extent cx="400050" cy="400050"/>
            <wp:effectExtent l="0" t="0" r="0" b="0"/>
            <wp:docPr id="4" name="Picture 4" descr="Attribution Creative Commons Logo" title="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rsidR="00531D0B" w:rsidRPr="004A6F90" w:rsidRDefault="00531D0B" w:rsidP="0085360B">
      <w:pPr>
        <w:autoSpaceDE w:val="0"/>
        <w:autoSpaceDN w:val="0"/>
        <w:adjustRightInd w:val="0"/>
        <w:spacing w:before="120" w:line="240" w:lineRule="exact"/>
        <w:ind w:left="-284" w:right="-330"/>
        <w:rPr>
          <w:rFonts w:cs="Arial"/>
          <w:sz w:val="16"/>
          <w:szCs w:val="16"/>
          <w:lang w:eastAsia="en-AU"/>
        </w:rPr>
      </w:pPr>
      <w:r w:rsidRPr="004A6F90">
        <w:rPr>
          <w:rFonts w:cs="Arial"/>
          <w:sz w:val="16"/>
          <w:szCs w:val="16"/>
          <w:lang w:eastAsia="en-AU"/>
        </w:rPr>
        <w:t xml:space="preserve">A summary of the licence terms is available from </w:t>
      </w:r>
      <w:hyperlink r:id="rId15" w:history="1">
        <w:r w:rsidRPr="004A6F90">
          <w:rPr>
            <w:rFonts w:cs="Arial"/>
            <w:color w:val="0000FF"/>
            <w:sz w:val="16"/>
            <w:szCs w:val="16"/>
            <w:u w:val="single"/>
            <w:lang w:eastAsia="en-AU"/>
          </w:rPr>
          <w:t>www.creativecommons.org/licenses/by/3.0/au/deed.en</w:t>
        </w:r>
      </w:hyperlink>
      <w:r w:rsidRPr="004A6F90">
        <w:rPr>
          <w:rFonts w:cs="Arial"/>
          <w:sz w:val="16"/>
          <w:szCs w:val="16"/>
          <w:lang w:eastAsia="en-AU"/>
        </w:rPr>
        <w:t xml:space="preserve">. The full licence terms are available from </w:t>
      </w:r>
      <w:hyperlink r:id="rId16" w:history="1">
        <w:r w:rsidRPr="004A6F90">
          <w:rPr>
            <w:rFonts w:cs="Arial"/>
            <w:color w:val="0000FF"/>
            <w:sz w:val="16"/>
            <w:szCs w:val="16"/>
            <w:u w:val="single"/>
            <w:lang w:eastAsia="en-AU"/>
          </w:rPr>
          <w:t>www.creativecommons.org/licenses/by/3.0/au/legalcode</w:t>
        </w:r>
      </w:hyperlink>
      <w:r w:rsidRPr="004A6F90">
        <w:rPr>
          <w:rFonts w:cs="Arial"/>
          <w:sz w:val="16"/>
          <w:szCs w:val="16"/>
          <w:lang w:eastAsia="en-AU"/>
        </w:rPr>
        <w:t>.</w:t>
      </w:r>
    </w:p>
    <w:p w:rsidR="00531D0B" w:rsidRPr="004A6F90" w:rsidRDefault="00531D0B" w:rsidP="0085360B">
      <w:pPr>
        <w:autoSpaceDE w:val="0"/>
        <w:autoSpaceDN w:val="0"/>
        <w:adjustRightInd w:val="0"/>
        <w:spacing w:before="120" w:line="240" w:lineRule="exact"/>
        <w:ind w:left="-284" w:right="-330"/>
        <w:rPr>
          <w:rFonts w:cs="Arial"/>
          <w:i/>
          <w:iCs/>
          <w:sz w:val="16"/>
          <w:szCs w:val="16"/>
          <w:lang w:eastAsia="en-AU"/>
        </w:rPr>
      </w:pPr>
      <w:r w:rsidRPr="004A6F90">
        <w:rPr>
          <w:rFonts w:cs="Arial"/>
          <w:sz w:val="16"/>
          <w:szCs w:val="16"/>
          <w:lang w:eastAsia="en-AU"/>
        </w:rPr>
        <w:t>The APVMA’s preference is that you attribute this publication (and any approved material sourced from it) using the following wording:</w:t>
      </w:r>
    </w:p>
    <w:p w:rsidR="00531D0B" w:rsidRPr="004A6F90" w:rsidRDefault="00531D0B" w:rsidP="0085360B">
      <w:pPr>
        <w:autoSpaceDE w:val="0"/>
        <w:autoSpaceDN w:val="0"/>
        <w:adjustRightInd w:val="0"/>
        <w:spacing w:before="120" w:line="240" w:lineRule="exact"/>
        <w:ind w:left="-284" w:right="-330"/>
        <w:rPr>
          <w:rFonts w:cs="Arial"/>
          <w:i/>
          <w:iCs/>
          <w:sz w:val="16"/>
          <w:szCs w:val="16"/>
          <w:lang w:eastAsia="en-AU"/>
        </w:rPr>
      </w:pPr>
      <w:r w:rsidRPr="004A6F90">
        <w:rPr>
          <w:rFonts w:cs="Arial"/>
          <w:i/>
          <w:iCs/>
          <w:sz w:val="16"/>
          <w:szCs w:val="16"/>
          <w:lang w:eastAsia="en-AU"/>
        </w:rPr>
        <w:t xml:space="preserve">Source: Licensed from the Australian Pesticides and Veterinary Medicines Authority (APVMA) under a Creative Commons Attribution 4.0 Australia Licence. </w:t>
      </w:r>
    </w:p>
    <w:p w:rsidR="00531D0B" w:rsidRPr="004A6F90" w:rsidRDefault="00531D0B" w:rsidP="0085360B">
      <w:pPr>
        <w:autoSpaceDE w:val="0"/>
        <w:autoSpaceDN w:val="0"/>
        <w:adjustRightInd w:val="0"/>
        <w:spacing w:before="120" w:after="120" w:line="240" w:lineRule="exact"/>
        <w:ind w:left="-284" w:right="-330"/>
        <w:rPr>
          <w:rFonts w:cs="Arial"/>
          <w:sz w:val="16"/>
          <w:szCs w:val="16"/>
          <w:lang w:eastAsia="en-AU"/>
        </w:rPr>
      </w:pPr>
      <w:r w:rsidRPr="004A6F90">
        <w:rPr>
          <w:rFonts w:cs="Arial"/>
          <w:sz w:val="16"/>
          <w:szCs w:val="16"/>
          <w:lang w:eastAsia="en-AU"/>
        </w:rPr>
        <w:t>In referencing this document the Australian Pesticides and Veterinary Medicines Authority should be cited as the author, publisher and copyright owner.</w:t>
      </w:r>
    </w:p>
    <w:p w:rsidR="00531D0B" w:rsidRPr="004A6F90" w:rsidRDefault="00531D0B" w:rsidP="0085360B">
      <w:pPr>
        <w:autoSpaceDE w:val="0"/>
        <w:autoSpaceDN w:val="0"/>
        <w:adjustRightInd w:val="0"/>
        <w:spacing w:before="120" w:line="240" w:lineRule="exact"/>
        <w:ind w:left="-284" w:right="-330"/>
        <w:rPr>
          <w:rFonts w:cs="Arial"/>
          <w:b/>
          <w:bCs/>
          <w:sz w:val="16"/>
          <w:szCs w:val="16"/>
          <w:lang w:eastAsia="en-AU"/>
        </w:rPr>
      </w:pPr>
      <w:r w:rsidRPr="004A6F90">
        <w:rPr>
          <w:rFonts w:cs="Arial"/>
          <w:b/>
          <w:bCs/>
          <w:sz w:val="16"/>
          <w:szCs w:val="16"/>
          <w:lang w:eastAsia="en-AU"/>
        </w:rPr>
        <w:t>Use of the Coat of Arms</w:t>
      </w:r>
    </w:p>
    <w:p w:rsidR="00531D0B" w:rsidRPr="004A6F90" w:rsidRDefault="00531D0B" w:rsidP="0085360B">
      <w:pPr>
        <w:autoSpaceDE w:val="0"/>
        <w:autoSpaceDN w:val="0"/>
        <w:adjustRightInd w:val="0"/>
        <w:spacing w:before="60" w:line="240" w:lineRule="exact"/>
        <w:ind w:left="-284" w:right="-330"/>
        <w:rPr>
          <w:rFonts w:cs="Arial"/>
          <w:sz w:val="16"/>
          <w:szCs w:val="16"/>
          <w:lang w:eastAsia="en-AU"/>
        </w:rPr>
      </w:pPr>
      <w:r w:rsidRPr="004A6F90">
        <w:rPr>
          <w:rFonts w:cs="Arial"/>
          <w:sz w:val="16"/>
          <w:szCs w:val="16"/>
          <w:lang w:eastAsia="en-AU"/>
        </w:rPr>
        <w:t xml:space="preserve">The terms under which the Coat of Arms can be used are set out on the Department of the Prime Minister and Cabinet website (see </w:t>
      </w:r>
      <w:hyperlink r:id="rId17" w:history="1">
        <w:r w:rsidRPr="004A6F90">
          <w:rPr>
            <w:rStyle w:val="Hyperlink"/>
            <w:rFonts w:cs="Arial"/>
            <w:sz w:val="16"/>
            <w:szCs w:val="16"/>
            <w:lang w:eastAsia="en-AU"/>
          </w:rPr>
          <w:t>www.dpmc.gov.au/pmc/publication/commonwealth-coat-arms-information-and-guidelines</w:t>
        </w:r>
      </w:hyperlink>
      <w:r w:rsidRPr="004A6F90">
        <w:rPr>
          <w:rFonts w:cs="Arial"/>
          <w:sz w:val="16"/>
          <w:szCs w:val="16"/>
          <w:lang w:eastAsia="en-AU"/>
        </w:rPr>
        <w:t>).</w:t>
      </w:r>
    </w:p>
    <w:p w:rsidR="00531D0B" w:rsidRPr="004A6F90" w:rsidRDefault="00531D0B" w:rsidP="0085360B">
      <w:pPr>
        <w:spacing w:line="240" w:lineRule="exact"/>
        <w:ind w:left="-284" w:right="-330"/>
        <w:rPr>
          <w:rFonts w:cs="Arial"/>
          <w:b/>
          <w:bCs/>
          <w:color w:val="FF0000"/>
          <w:sz w:val="14"/>
          <w:szCs w:val="16"/>
          <w:lang w:eastAsia="en-AU"/>
        </w:rPr>
      </w:pPr>
      <w:r w:rsidRPr="004A6F90">
        <w:rPr>
          <w:rFonts w:cs="Arial"/>
          <w:b/>
          <w:bCs/>
          <w:color w:val="FF0000"/>
          <w:sz w:val="14"/>
          <w:szCs w:val="16"/>
          <w:lang w:eastAsia="en-AU"/>
        </w:rPr>
        <w:t>[If third-party information is utilised or web-linked within the corporate document use the disclaimer section below]</w:t>
      </w:r>
    </w:p>
    <w:p w:rsidR="00531D0B" w:rsidRPr="004A6F90" w:rsidRDefault="00531D0B" w:rsidP="0085360B">
      <w:pPr>
        <w:spacing w:before="120" w:line="240" w:lineRule="exact"/>
        <w:ind w:left="-284" w:right="-330"/>
        <w:rPr>
          <w:rFonts w:cs="Arial"/>
          <w:b/>
          <w:bCs/>
          <w:sz w:val="16"/>
          <w:szCs w:val="16"/>
          <w:lang w:eastAsia="en-AU"/>
        </w:rPr>
      </w:pPr>
      <w:r w:rsidRPr="004A6F90">
        <w:rPr>
          <w:rFonts w:cs="Arial"/>
          <w:b/>
          <w:bCs/>
          <w:sz w:val="16"/>
          <w:szCs w:val="16"/>
          <w:lang w:eastAsia="en-AU"/>
        </w:rPr>
        <w:t>Disclaimer</w:t>
      </w:r>
    </w:p>
    <w:p w:rsidR="00531D0B" w:rsidRPr="004A6F90" w:rsidRDefault="00531D0B" w:rsidP="0085360B">
      <w:pPr>
        <w:autoSpaceDE w:val="0"/>
        <w:autoSpaceDN w:val="0"/>
        <w:adjustRightInd w:val="0"/>
        <w:spacing w:before="60" w:line="240" w:lineRule="exact"/>
        <w:ind w:left="-284" w:right="-330"/>
        <w:rPr>
          <w:rFonts w:cs="Arial"/>
          <w:sz w:val="16"/>
          <w:szCs w:val="16"/>
          <w:lang w:eastAsia="en-AU"/>
        </w:rPr>
      </w:pPr>
      <w:r w:rsidRPr="004A6F90">
        <w:rPr>
          <w:rFonts w:cs="Arial"/>
          <w:sz w:val="16"/>
          <w:szCs w:val="16"/>
          <w:lang w:eastAsia="en-AU"/>
        </w:rPr>
        <w:t xml:space="preserve">The material in or linking from this report may contain the views or recommendations of third parties. Third party material does not necessarily reflect the views of the APVMA, or indicate a commitment to a particular course of action. </w:t>
      </w:r>
      <w:r w:rsidRPr="004A6F90">
        <w:rPr>
          <w:rFonts w:cs="Arial"/>
          <w:bCs/>
          <w:sz w:val="16"/>
          <w:szCs w:val="16"/>
          <w:lang w:eastAsia="en-AU"/>
        </w:rPr>
        <w:t>There may be links in this document that will transfer you to external websites. The APVMA does not have responsibility for these websites, nor does linking to or from this document constitute any form of endorsement.</w:t>
      </w:r>
      <w:r w:rsidRPr="004A6F90">
        <w:rPr>
          <w:rFonts w:cs="Arial"/>
          <w:sz w:val="16"/>
          <w:szCs w:val="16"/>
          <w:lang w:eastAsia="en-AU"/>
        </w:rPr>
        <w:t xml:space="preserve"> </w:t>
      </w:r>
      <w:r w:rsidRPr="004A6F90">
        <w:rPr>
          <w:rFonts w:cs="Arial"/>
          <w:bCs/>
          <w:sz w:val="16"/>
          <w:szCs w:val="16"/>
          <w:lang w:eastAsia="en-AU"/>
        </w:rPr>
        <w:t>The APVMA is not responsible for any errors, omissions or matters of interpretation in any third-party information contained within this document.</w:t>
      </w:r>
    </w:p>
    <w:p w:rsidR="00531D0B" w:rsidRPr="004A6F90" w:rsidRDefault="00531D0B" w:rsidP="0085360B">
      <w:pPr>
        <w:autoSpaceDE w:val="0"/>
        <w:autoSpaceDN w:val="0"/>
        <w:adjustRightInd w:val="0"/>
        <w:spacing w:before="120" w:line="240" w:lineRule="exact"/>
        <w:ind w:left="-284" w:right="-330"/>
        <w:rPr>
          <w:rFonts w:cs="Arial"/>
          <w:b/>
          <w:bCs/>
          <w:sz w:val="16"/>
          <w:szCs w:val="16"/>
          <w:lang w:eastAsia="en-AU"/>
        </w:rPr>
      </w:pPr>
      <w:r w:rsidRPr="004A6F90">
        <w:rPr>
          <w:rFonts w:cs="Arial"/>
          <w:b/>
          <w:bCs/>
          <w:sz w:val="16"/>
          <w:szCs w:val="16"/>
          <w:lang w:eastAsia="en-AU"/>
        </w:rPr>
        <w:t>Comments and enquiries regarding copyright:</w:t>
      </w:r>
    </w:p>
    <w:p w:rsidR="00531D0B" w:rsidRPr="004A6F90" w:rsidRDefault="00531D0B" w:rsidP="0085360B">
      <w:pPr>
        <w:autoSpaceDE w:val="0"/>
        <w:autoSpaceDN w:val="0"/>
        <w:adjustRightInd w:val="0"/>
        <w:spacing w:before="60" w:line="240" w:lineRule="exact"/>
        <w:ind w:left="-284" w:right="-330"/>
        <w:rPr>
          <w:rFonts w:cs="Arial"/>
          <w:sz w:val="16"/>
          <w:szCs w:val="16"/>
          <w:lang w:eastAsia="en-AU"/>
        </w:rPr>
      </w:pPr>
      <w:r w:rsidRPr="004A6F90">
        <w:rPr>
          <w:rFonts w:cs="Arial"/>
          <w:sz w:val="16"/>
          <w:szCs w:val="16"/>
          <w:lang w:eastAsia="en-AU"/>
        </w:rPr>
        <w:t>Director Public Affairs and Communication</w:t>
      </w:r>
    </w:p>
    <w:p w:rsidR="00531D0B" w:rsidRPr="004A6F90" w:rsidRDefault="00531D0B" w:rsidP="0085360B">
      <w:pPr>
        <w:autoSpaceDE w:val="0"/>
        <w:autoSpaceDN w:val="0"/>
        <w:adjustRightInd w:val="0"/>
        <w:spacing w:line="240" w:lineRule="exact"/>
        <w:ind w:left="-284" w:right="-330"/>
        <w:rPr>
          <w:rFonts w:cs="Arial"/>
          <w:sz w:val="16"/>
          <w:szCs w:val="16"/>
          <w:lang w:eastAsia="en-AU"/>
        </w:rPr>
      </w:pPr>
      <w:r w:rsidRPr="004A6F90">
        <w:rPr>
          <w:rFonts w:cs="Arial"/>
          <w:sz w:val="16"/>
          <w:szCs w:val="16"/>
          <w:lang w:eastAsia="en-AU"/>
        </w:rPr>
        <w:t>Australian Pesticides and Veterinary Medicines Authority</w:t>
      </w:r>
    </w:p>
    <w:p w:rsidR="00531D0B" w:rsidRPr="004A6F90" w:rsidRDefault="00531D0B" w:rsidP="0085360B">
      <w:pPr>
        <w:autoSpaceDE w:val="0"/>
        <w:autoSpaceDN w:val="0"/>
        <w:adjustRightInd w:val="0"/>
        <w:spacing w:line="240" w:lineRule="exact"/>
        <w:ind w:left="-284" w:right="-330"/>
        <w:rPr>
          <w:rFonts w:cs="Arial"/>
          <w:sz w:val="16"/>
          <w:szCs w:val="16"/>
          <w:lang w:eastAsia="en-AU"/>
        </w:rPr>
      </w:pPr>
      <w:r w:rsidRPr="004A6F90">
        <w:rPr>
          <w:rFonts w:cs="Arial"/>
          <w:sz w:val="16"/>
          <w:szCs w:val="16"/>
          <w:lang w:eastAsia="en-AU"/>
        </w:rPr>
        <w:t>PO Box 6182</w:t>
      </w:r>
    </w:p>
    <w:p w:rsidR="00531D0B" w:rsidRPr="004A6F90" w:rsidRDefault="00531D0B" w:rsidP="0085360B">
      <w:pPr>
        <w:autoSpaceDE w:val="0"/>
        <w:autoSpaceDN w:val="0"/>
        <w:adjustRightInd w:val="0"/>
        <w:spacing w:line="240" w:lineRule="exact"/>
        <w:ind w:left="-284" w:right="-330"/>
        <w:rPr>
          <w:rFonts w:cs="Arial"/>
          <w:sz w:val="16"/>
          <w:szCs w:val="16"/>
          <w:lang w:eastAsia="en-AU"/>
        </w:rPr>
      </w:pPr>
      <w:r w:rsidRPr="004A6F90">
        <w:rPr>
          <w:rFonts w:cs="Arial"/>
          <w:sz w:val="16"/>
          <w:szCs w:val="16"/>
          <w:lang w:eastAsia="en-AU"/>
        </w:rPr>
        <w:t>KINGSTON ACT 2604 Australia</w:t>
      </w:r>
    </w:p>
    <w:p w:rsidR="00531D0B" w:rsidRPr="004A6F90" w:rsidRDefault="00531D0B" w:rsidP="0085360B">
      <w:pPr>
        <w:autoSpaceDE w:val="0"/>
        <w:autoSpaceDN w:val="0"/>
        <w:adjustRightInd w:val="0"/>
        <w:spacing w:before="120" w:line="240" w:lineRule="exact"/>
        <w:ind w:left="-284" w:right="-330"/>
        <w:rPr>
          <w:rFonts w:cs="Arial"/>
          <w:sz w:val="16"/>
          <w:szCs w:val="16"/>
          <w:lang w:eastAsia="en-AU"/>
        </w:rPr>
      </w:pPr>
      <w:r w:rsidRPr="004A6F90">
        <w:rPr>
          <w:rFonts w:cs="Arial"/>
          <w:sz w:val="16"/>
          <w:szCs w:val="16"/>
          <w:lang w:eastAsia="en-AU"/>
        </w:rPr>
        <w:t>Telephone: +61 2 6210 4988</w:t>
      </w:r>
    </w:p>
    <w:p w:rsidR="00531D0B" w:rsidRPr="004A6F90" w:rsidRDefault="00531D0B" w:rsidP="0085360B">
      <w:pPr>
        <w:autoSpaceDE w:val="0"/>
        <w:autoSpaceDN w:val="0"/>
        <w:adjustRightInd w:val="0"/>
        <w:spacing w:before="120" w:line="240" w:lineRule="exact"/>
        <w:ind w:left="-284" w:right="-330"/>
        <w:rPr>
          <w:rFonts w:cs="Arial"/>
          <w:color w:val="0000FF"/>
          <w:sz w:val="16"/>
          <w:szCs w:val="16"/>
          <w:u w:val="single"/>
          <w:lang w:eastAsia="en-AU"/>
        </w:rPr>
      </w:pPr>
      <w:r w:rsidRPr="004A6F90">
        <w:rPr>
          <w:rFonts w:cs="Arial"/>
          <w:sz w:val="16"/>
          <w:szCs w:val="16"/>
          <w:lang w:eastAsia="en-AU"/>
        </w:rPr>
        <w:t xml:space="preserve">Email: </w:t>
      </w:r>
      <w:hyperlink r:id="rId18" w:history="1">
        <w:r w:rsidRPr="004A6F90">
          <w:rPr>
            <w:rFonts w:cs="Arial"/>
            <w:color w:val="0000FF"/>
            <w:sz w:val="16"/>
            <w:szCs w:val="16"/>
            <w:u w:val="single"/>
            <w:lang w:eastAsia="en-AU"/>
          </w:rPr>
          <w:t>communications@apvma.gov.au</w:t>
        </w:r>
      </w:hyperlink>
      <w:r w:rsidRPr="004A6F90">
        <w:rPr>
          <w:rFonts w:cs="Arial"/>
          <w:color w:val="0000FF"/>
          <w:sz w:val="16"/>
          <w:szCs w:val="16"/>
          <w:u w:val="single"/>
          <w:lang w:eastAsia="en-AU"/>
        </w:rPr>
        <w:t>.</w:t>
      </w:r>
    </w:p>
    <w:p w:rsidR="00531D0B" w:rsidRPr="002F4591" w:rsidRDefault="00531D0B" w:rsidP="0085360B">
      <w:pPr>
        <w:pStyle w:val="APVMAImprintText"/>
        <w:ind w:left="-284" w:right="-330"/>
        <w:rPr>
          <w:szCs w:val="16"/>
        </w:rPr>
      </w:pPr>
      <w:r w:rsidRPr="004A6F90">
        <w:rPr>
          <w:spacing w:val="0"/>
          <w:szCs w:val="16"/>
          <w:lang w:eastAsia="en-AU"/>
        </w:rPr>
        <w:t xml:space="preserve">This publication is available from the APVMA website: </w:t>
      </w:r>
      <w:hyperlink r:id="rId19" w:history="1">
        <w:r w:rsidRPr="004A6F90">
          <w:rPr>
            <w:rStyle w:val="Hyperlink"/>
            <w:spacing w:val="0"/>
            <w:szCs w:val="16"/>
            <w:lang w:eastAsia="en-AU"/>
          </w:rPr>
          <w:t>www.apvma.gov.au</w:t>
        </w:r>
      </w:hyperlink>
      <w:r w:rsidRPr="004A6F90">
        <w:rPr>
          <w:spacing w:val="0"/>
          <w:szCs w:val="16"/>
          <w:lang w:eastAsia="en-AU"/>
        </w:rPr>
        <w:t>.</w:t>
      </w:r>
      <w:bookmarkEnd w:id="1"/>
    </w:p>
    <w:p w:rsidR="00531D0B" w:rsidRDefault="00531D0B" w:rsidP="0085360B">
      <w:pPr>
        <w:pStyle w:val="APVMAImprintText"/>
        <w:sectPr w:rsidR="00531D0B" w:rsidSect="001A19FE">
          <w:pgSz w:w="11906" w:h="16838" w:code="9"/>
          <w:pgMar w:top="2552" w:right="1134" w:bottom="1134" w:left="1134" w:header="1701" w:footer="450" w:gutter="0"/>
          <w:pgNumType w:fmt="lowerRoman"/>
          <w:cols w:space="708"/>
          <w:docGrid w:linePitch="360"/>
        </w:sectPr>
      </w:pPr>
    </w:p>
    <w:sdt>
      <w:sdtPr>
        <w:rPr>
          <w:rFonts w:ascii="Arial" w:eastAsia="Times New Roman" w:hAnsi="Arial" w:cs="Times New Roman"/>
          <w:color w:val="auto"/>
          <w:sz w:val="20"/>
          <w:szCs w:val="24"/>
          <w:lang w:val="en-AU"/>
        </w:rPr>
        <w:id w:val="-1138566703"/>
        <w:docPartObj>
          <w:docPartGallery w:val="Table of Contents"/>
          <w:docPartUnique/>
        </w:docPartObj>
      </w:sdtPr>
      <w:sdtEndPr>
        <w:rPr>
          <w:b/>
          <w:bCs/>
          <w:noProof/>
        </w:rPr>
      </w:sdtEndPr>
      <w:sdtContent>
        <w:p w:rsidR="004F3CAC" w:rsidRPr="0019136C" w:rsidRDefault="004F3CAC" w:rsidP="00BF397C">
          <w:pPr>
            <w:pStyle w:val="TOCHeading"/>
            <w:rPr>
              <w:rFonts w:eastAsia="Times New Roman"/>
              <w:noProof/>
            </w:rPr>
          </w:pPr>
          <w:r w:rsidRPr="0019136C">
            <w:rPr>
              <w:rFonts w:eastAsia="Times New Roman"/>
              <w:noProof/>
            </w:rPr>
            <w:t>Contents</w:t>
          </w:r>
        </w:p>
        <w:p w:rsidR="002A2AA6" w:rsidRDefault="004F3CAC">
          <w:pPr>
            <w:pStyle w:val="TOC1"/>
            <w:rPr>
              <w:rFonts w:asciiTheme="minorHAnsi" w:eastAsiaTheme="minorEastAsia" w:hAnsiTheme="minorHAnsi" w:cstheme="minorBidi"/>
              <w:b w:val="0"/>
              <w:bCs w:val="0"/>
              <w:caps w:val="0"/>
              <w:color w:val="auto"/>
              <w:kern w:val="0"/>
              <w:szCs w:val="22"/>
              <w:lang w:eastAsia="en-AU"/>
            </w:rPr>
          </w:pPr>
          <w:r>
            <w:rPr>
              <w:sz w:val="19"/>
            </w:rPr>
            <w:fldChar w:fldCharType="begin"/>
          </w:r>
          <w:r>
            <w:instrText xml:space="preserve"> TOC \o "1-3" \h \z \u </w:instrText>
          </w:r>
          <w:r>
            <w:rPr>
              <w:sz w:val="19"/>
            </w:rPr>
            <w:fldChar w:fldCharType="separate"/>
          </w:r>
          <w:hyperlink w:anchor="_Toc526432170" w:history="1">
            <w:r w:rsidR="002A2AA6" w:rsidRPr="003F5B22">
              <w:rPr>
                <w:rStyle w:val="Hyperlink"/>
                <w:rFonts w:eastAsiaTheme="majorEastAsia"/>
              </w:rPr>
              <w:t>1</w:t>
            </w:r>
            <w:r w:rsidR="002A2AA6">
              <w:rPr>
                <w:rFonts w:asciiTheme="minorHAnsi" w:eastAsiaTheme="minorEastAsia" w:hAnsiTheme="minorHAnsi" w:cstheme="minorBidi"/>
                <w:b w:val="0"/>
                <w:bCs w:val="0"/>
                <w:caps w:val="0"/>
                <w:color w:val="auto"/>
                <w:kern w:val="0"/>
                <w:szCs w:val="22"/>
                <w:lang w:eastAsia="en-AU"/>
              </w:rPr>
              <w:tab/>
            </w:r>
            <w:r w:rsidR="002A2AA6" w:rsidRPr="003F5B22">
              <w:rPr>
                <w:rStyle w:val="Hyperlink"/>
                <w:rFonts w:eastAsiaTheme="majorEastAsia"/>
              </w:rPr>
              <w:t>Environmental Risk Assessment</w:t>
            </w:r>
            <w:r w:rsidR="002A2AA6">
              <w:rPr>
                <w:webHidden/>
              </w:rPr>
              <w:tab/>
            </w:r>
            <w:r w:rsidR="002A2AA6">
              <w:rPr>
                <w:webHidden/>
              </w:rPr>
              <w:fldChar w:fldCharType="begin"/>
            </w:r>
            <w:r w:rsidR="002A2AA6">
              <w:rPr>
                <w:webHidden/>
              </w:rPr>
              <w:instrText xml:space="preserve"> PAGEREF _Toc526432170 \h </w:instrText>
            </w:r>
            <w:r w:rsidR="002A2AA6">
              <w:rPr>
                <w:webHidden/>
              </w:rPr>
            </w:r>
            <w:r w:rsidR="002A2AA6">
              <w:rPr>
                <w:webHidden/>
              </w:rPr>
              <w:fldChar w:fldCharType="separate"/>
            </w:r>
            <w:r w:rsidR="00225D67">
              <w:rPr>
                <w:webHidden/>
              </w:rPr>
              <w:t>4</w:t>
            </w:r>
            <w:r w:rsidR="002A2AA6">
              <w:rPr>
                <w:webHidden/>
              </w:rPr>
              <w:fldChar w:fldCharType="end"/>
            </w:r>
          </w:hyperlink>
        </w:p>
        <w:p w:rsidR="002A2AA6" w:rsidRDefault="0086416E">
          <w:pPr>
            <w:pStyle w:val="TOC2"/>
            <w:rPr>
              <w:rFonts w:asciiTheme="minorHAnsi" w:eastAsiaTheme="minorEastAsia" w:hAnsiTheme="minorHAnsi" w:cstheme="minorBidi"/>
              <w:b w:val="0"/>
              <w:color w:val="auto"/>
              <w:sz w:val="22"/>
              <w:szCs w:val="22"/>
              <w:lang w:eastAsia="en-AU"/>
            </w:rPr>
          </w:pPr>
          <w:hyperlink w:anchor="_Toc526432171" w:history="1">
            <w:r w:rsidR="002A2AA6" w:rsidRPr="003F5B22">
              <w:rPr>
                <w:rStyle w:val="Hyperlink"/>
                <w:rFonts w:eastAsiaTheme="majorEastAsia"/>
              </w:rPr>
              <w:t>1.1</w:t>
            </w:r>
            <w:r w:rsidR="002A2AA6">
              <w:rPr>
                <w:rFonts w:asciiTheme="minorHAnsi" w:eastAsiaTheme="minorEastAsia" w:hAnsiTheme="minorHAnsi" w:cstheme="minorBidi"/>
                <w:b w:val="0"/>
                <w:color w:val="auto"/>
                <w:sz w:val="22"/>
                <w:szCs w:val="22"/>
                <w:lang w:eastAsia="en-AU"/>
              </w:rPr>
              <w:tab/>
            </w:r>
            <w:r w:rsidR="002A2AA6" w:rsidRPr="003F5B22">
              <w:rPr>
                <w:rStyle w:val="Hyperlink"/>
                <w:rFonts w:eastAsiaTheme="majorEastAsia"/>
              </w:rPr>
              <w:t>Step 1 – Problem formulation</w:t>
            </w:r>
            <w:r w:rsidR="002A2AA6">
              <w:rPr>
                <w:webHidden/>
              </w:rPr>
              <w:tab/>
            </w:r>
            <w:r w:rsidR="002A2AA6">
              <w:rPr>
                <w:webHidden/>
              </w:rPr>
              <w:fldChar w:fldCharType="begin"/>
            </w:r>
            <w:r w:rsidR="002A2AA6">
              <w:rPr>
                <w:webHidden/>
              </w:rPr>
              <w:instrText xml:space="preserve"> PAGEREF _Toc526432171 \h </w:instrText>
            </w:r>
            <w:r w:rsidR="002A2AA6">
              <w:rPr>
                <w:webHidden/>
              </w:rPr>
            </w:r>
            <w:r w:rsidR="002A2AA6">
              <w:rPr>
                <w:webHidden/>
              </w:rPr>
              <w:fldChar w:fldCharType="separate"/>
            </w:r>
            <w:r w:rsidR="00225D67">
              <w:rPr>
                <w:webHidden/>
              </w:rPr>
              <w:t>4</w:t>
            </w:r>
            <w:r w:rsidR="002A2AA6">
              <w:rPr>
                <w:webHidden/>
              </w:rPr>
              <w:fldChar w:fldCharType="end"/>
            </w:r>
          </w:hyperlink>
        </w:p>
        <w:p w:rsidR="002A2AA6" w:rsidRDefault="0086416E">
          <w:pPr>
            <w:pStyle w:val="TOC2"/>
            <w:rPr>
              <w:rFonts w:asciiTheme="minorHAnsi" w:eastAsiaTheme="minorEastAsia" w:hAnsiTheme="minorHAnsi" w:cstheme="minorBidi"/>
              <w:b w:val="0"/>
              <w:color w:val="auto"/>
              <w:sz w:val="22"/>
              <w:szCs w:val="22"/>
              <w:lang w:eastAsia="en-AU"/>
            </w:rPr>
          </w:pPr>
          <w:hyperlink w:anchor="_Toc526432172" w:history="1">
            <w:r w:rsidR="002A2AA6" w:rsidRPr="003F5B22">
              <w:rPr>
                <w:rStyle w:val="Hyperlink"/>
                <w:rFonts w:eastAsiaTheme="majorEastAsia"/>
              </w:rPr>
              <w:t>1.2</w:t>
            </w:r>
            <w:r w:rsidR="002A2AA6">
              <w:rPr>
                <w:rFonts w:asciiTheme="minorHAnsi" w:eastAsiaTheme="minorEastAsia" w:hAnsiTheme="minorHAnsi" w:cstheme="minorBidi"/>
                <w:b w:val="0"/>
                <w:color w:val="auto"/>
                <w:sz w:val="22"/>
                <w:szCs w:val="22"/>
                <w:lang w:eastAsia="en-AU"/>
              </w:rPr>
              <w:tab/>
            </w:r>
            <w:r w:rsidR="002A2AA6" w:rsidRPr="003F5B22">
              <w:rPr>
                <w:rStyle w:val="Hyperlink"/>
                <w:rFonts w:eastAsiaTheme="majorEastAsia"/>
              </w:rPr>
              <w:t>Step 2 – Environmental hazard assessment</w:t>
            </w:r>
            <w:r w:rsidR="002A2AA6">
              <w:rPr>
                <w:webHidden/>
              </w:rPr>
              <w:tab/>
            </w:r>
            <w:r w:rsidR="002A2AA6">
              <w:rPr>
                <w:webHidden/>
              </w:rPr>
              <w:fldChar w:fldCharType="begin"/>
            </w:r>
            <w:r w:rsidR="002A2AA6">
              <w:rPr>
                <w:webHidden/>
              </w:rPr>
              <w:instrText xml:space="preserve"> PAGEREF _Toc526432172 \h </w:instrText>
            </w:r>
            <w:r w:rsidR="002A2AA6">
              <w:rPr>
                <w:webHidden/>
              </w:rPr>
            </w:r>
            <w:r w:rsidR="002A2AA6">
              <w:rPr>
                <w:webHidden/>
              </w:rPr>
              <w:fldChar w:fldCharType="separate"/>
            </w:r>
            <w:r w:rsidR="00225D67">
              <w:rPr>
                <w:webHidden/>
              </w:rPr>
              <w:t>4</w:t>
            </w:r>
            <w:r w:rsidR="002A2AA6">
              <w:rPr>
                <w:webHidden/>
              </w:rPr>
              <w:fldChar w:fldCharType="end"/>
            </w:r>
          </w:hyperlink>
        </w:p>
        <w:p w:rsidR="002A2AA6" w:rsidRDefault="0086416E">
          <w:pPr>
            <w:pStyle w:val="TOC2"/>
            <w:rPr>
              <w:rFonts w:asciiTheme="minorHAnsi" w:eastAsiaTheme="minorEastAsia" w:hAnsiTheme="minorHAnsi" w:cstheme="minorBidi"/>
              <w:b w:val="0"/>
              <w:color w:val="auto"/>
              <w:sz w:val="22"/>
              <w:szCs w:val="22"/>
              <w:lang w:eastAsia="en-AU"/>
            </w:rPr>
          </w:pPr>
          <w:hyperlink w:anchor="_Toc526432173" w:history="1">
            <w:r w:rsidR="002A2AA6" w:rsidRPr="003F5B22">
              <w:rPr>
                <w:rStyle w:val="Hyperlink"/>
                <w:rFonts w:eastAsiaTheme="majorEastAsia"/>
              </w:rPr>
              <w:t>1.3</w:t>
            </w:r>
            <w:r w:rsidR="002A2AA6">
              <w:rPr>
                <w:rFonts w:asciiTheme="minorHAnsi" w:eastAsiaTheme="minorEastAsia" w:hAnsiTheme="minorHAnsi" w:cstheme="minorBidi"/>
                <w:b w:val="0"/>
                <w:color w:val="auto"/>
                <w:sz w:val="22"/>
                <w:szCs w:val="22"/>
                <w:lang w:eastAsia="en-AU"/>
              </w:rPr>
              <w:tab/>
            </w:r>
            <w:r w:rsidR="002A2AA6" w:rsidRPr="003F5B22">
              <w:rPr>
                <w:rStyle w:val="Hyperlink"/>
                <w:rFonts w:eastAsiaTheme="majorEastAsia"/>
              </w:rPr>
              <w:t>Step 2 – Environmental exposure assessment</w:t>
            </w:r>
            <w:r w:rsidR="002A2AA6">
              <w:rPr>
                <w:webHidden/>
              </w:rPr>
              <w:tab/>
            </w:r>
            <w:r w:rsidR="002A2AA6">
              <w:rPr>
                <w:webHidden/>
              </w:rPr>
              <w:fldChar w:fldCharType="begin"/>
            </w:r>
            <w:r w:rsidR="002A2AA6">
              <w:rPr>
                <w:webHidden/>
              </w:rPr>
              <w:instrText xml:space="preserve"> PAGEREF _Toc526432173 \h </w:instrText>
            </w:r>
            <w:r w:rsidR="002A2AA6">
              <w:rPr>
                <w:webHidden/>
              </w:rPr>
            </w:r>
            <w:r w:rsidR="002A2AA6">
              <w:rPr>
                <w:webHidden/>
              </w:rPr>
              <w:fldChar w:fldCharType="separate"/>
            </w:r>
            <w:r w:rsidR="00225D67">
              <w:rPr>
                <w:webHidden/>
              </w:rPr>
              <w:t>4</w:t>
            </w:r>
            <w:r w:rsidR="002A2AA6">
              <w:rPr>
                <w:webHidden/>
              </w:rPr>
              <w:fldChar w:fldCharType="end"/>
            </w:r>
          </w:hyperlink>
        </w:p>
        <w:p w:rsidR="002A2AA6" w:rsidRDefault="0086416E">
          <w:pPr>
            <w:pStyle w:val="TOC2"/>
            <w:rPr>
              <w:rFonts w:asciiTheme="minorHAnsi" w:eastAsiaTheme="minorEastAsia" w:hAnsiTheme="minorHAnsi" w:cstheme="minorBidi"/>
              <w:b w:val="0"/>
              <w:color w:val="auto"/>
              <w:sz w:val="22"/>
              <w:szCs w:val="22"/>
              <w:lang w:eastAsia="en-AU"/>
            </w:rPr>
          </w:pPr>
          <w:hyperlink w:anchor="_Toc526432174" w:history="1">
            <w:r w:rsidR="002A2AA6" w:rsidRPr="003F5B22">
              <w:rPr>
                <w:rStyle w:val="Hyperlink"/>
                <w:rFonts w:eastAsiaTheme="majorEastAsia"/>
              </w:rPr>
              <w:t>1.4</w:t>
            </w:r>
            <w:r w:rsidR="002A2AA6">
              <w:rPr>
                <w:rFonts w:asciiTheme="minorHAnsi" w:eastAsiaTheme="minorEastAsia" w:hAnsiTheme="minorHAnsi" w:cstheme="minorBidi"/>
                <w:b w:val="0"/>
                <w:color w:val="auto"/>
                <w:sz w:val="22"/>
                <w:szCs w:val="22"/>
                <w:lang w:eastAsia="en-AU"/>
              </w:rPr>
              <w:tab/>
            </w:r>
            <w:r w:rsidR="002A2AA6" w:rsidRPr="003F5B22">
              <w:rPr>
                <w:rStyle w:val="Hyperlink"/>
                <w:rFonts w:eastAsiaTheme="majorEastAsia"/>
              </w:rPr>
              <w:t>Step 3 – Environmental risk characterisation</w:t>
            </w:r>
            <w:r w:rsidR="002A2AA6">
              <w:rPr>
                <w:webHidden/>
              </w:rPr>
              <w:tab/>
            </w:r>
            <w:r w:rsidR="002A2AA6">
              <w:rPr>
                <w:webHidden/>
              </w:rPr>
              <w:fldChar w:fldCharType="begin"/>
            </w:r>
            <w:r w:rsidR="002A2AA6">
              <w:rPr>
                <w:webHidden/>
              </w:rPr>
              <w:instrText xml:space="preserve"> PAGEREF _Toc526432174 \h </w:instrText>
            </w:r>
            <w:r w:rsidR="002A2AA6">
              <w:rPr>
                <w:webHidden/>
              </w:rPr>
            </w:r>
            <w:r w:rsidR="002A2AA6">
              <w:rPr>
                <w:webHidden/>
              </w:rPr>
              <w:fldChar w:fldCharType="separate"/>
            </w:r>
            <w:r w:rsidR="00225D67">
              <w:rPr>
                <w:webHidden/>
              </w:rPr>
              <w:t>5</w:t>
            </w:r>
            <w:r w:rsidR="002A2AA6">
              <w:rPr>
                <w:webHidden/>
              </w:rPr>
              <w:fldChar w:fldCharType="end"/>
            </w:r>
          </w:hyperlink>
        </w:p>
        <w:p w:rsidR="002A2AA6" w:rsidRDefault="0086416E">
          <w:pPr>
            <w:pStyle w:val="TOC2"/>
            <w:rPr>
              <w:rFonts w:asciiTheme="minorHAnsi" w:eastAsiaTheme="minorEastAsia" w:hAnsiTheme="minorHAnsi" w:cstheme="minorBidi"/>
              <w:b w:val="0"/>
              <w:color w:val="auto"/>
              <w:sz w:val="22"/>
              <w:szCs w:val="22"/>
              <w:lang w:eastAsia="en-AU"/>
            </w:rPr>
          </w:pPr>
          <w:hyperlink w:anchor="_Toc526432175" w:history="1">
            <w:r w:rsidR="002A2AA6" w:rsidRPr="003F5B22">
              <w:rPr>
                <w:rStyle w:val="Hyperlink"/>
                <w:rFonts w:eastAsiaTheme="majorEastAsia"/>
              </w:rPr>
              <w:t>1.5</w:t>
            </w:r>
            <w:r w:rsidR="002A2AA6">
              <w:rPr>
                <w:rFonts w:asciiTheme="minorHAnsi" w:eastAsiaTheme="minorEastAsia" w:hAnsiTheme="minorHAnsi" w:cstheme="minorBidi"/>
                <w:b w:val="0"/>
                <w:color w:val="auto"/>
                <w:sz w:val="22"/>
                <w:szCs w:val="22"/>
                <w:lang w:eastAsia="en-AU"/>
              </w:rPr>
              <w:tab/>
            </w:r>
            <w:r w:rsidR="002A2AA6" w:rsidRPr="003F5B22">
              <w:rPr>
                <w:rStyle w:val="Hyperlink"/>
                <w:rFonts w:eastAsiaTheme="majorEastAsia"/>
              </w:rPr>
              <w:t>Refining the risk assessment</w:t>
            </w:r>
            <w:r w:rsidR="002A2AA6">
              <w:rPr>
                <w:webHidden/>
              </w:rPr>
              <w:tab/>
            </w:r>
            <w:r w:rsidR="002A2AA6">
              <w:rPr>
                <w:webHidden/>
              </w:rPr>
              <w:fldChar w:fldCharType="begin"/>
            </w:r>
            <w:r w:rsidR="002A2AA6">
              <w:rPr>
                <w:webHidden/>
              </w:rPr>
              <w:instrText xml:space="preserve"> PAGEREF _Toc526432175 \h </w:instrText>
            </w:r>
            <w:r w:rsidR="002A2AA6">
              <w:rPr>
                <w:webHidden/>
              </w:rPr>
            </w:r>
            <w:r w:rsidR="002A2AA6">
              <w:rPr>
                <w:webHidden/>
              </w:rPr>
              <w:fldChar w:fldCharType="separate"/>
            </w:r>
            <w:r w:rsidR="00225D67">
              <w:rPr>
                <w:webHidden/>
              </w:rPr>
              <w:t>5</w:t>
            </w:r>
            <w:r w:rsidR="002A2AA6">
              <w:rPr>
                <w:webHidden/>
              </w:rPr>
              <w:fldChar w:fldCharType="end"/>
            </w:r>
          </w:hyperlink>
        </w:p>
        <w:p w:rsidR="002A2AA6" w:rsidRDefault="0086416E">
          <w:pPr>
            <w:pStyle w:val="TOC1"/>
            <w:rPr>
              <w:rFonts w:asciiTheme="minorHAnsi" w:eastAsiaTheme="minorEastAsia" w:hAnsiTheme="minorHAnsi" w:cstheme="minorBidi"/>
              <w:b w:val="0"/>
              <w:bCs w:val="0"/>
              <w:caps w:val="0"/>
              <w:color w:val="auto"/>
              <w:kern w:val="0"/>
              <w:szCs w:val="22"/>
              <w:lang w:eastAsia="en-AU"/>
            </w:rPr>
          </w:pPr>
          <w:hyperlink w:anchor="_Toc526432176" w:history="1">
            <w:r w:rsidR="002A2AA6" w:rsidRPr="003F5B22">
              <w:rPr>
                <w:rStyle w:val="Hyperlink"/>
                <w:rFonts w:eastAsiaTheme="majorEastAsia"/>
              </w:rPr>
              <w:t>2</w:t>
            </w:r>
            <w:r w:rsidR="002A2AA6">
              <w:rPr>
                <w:rFonts w:asciiTheme="minorHAnsi" w:eastAsiaTheme="minorEastAsia" w:hAnsiTheme="minorHAnsi" w:cstheme="minorBidi"/>
                <w:b w:val="0"/>
                <w:bCs w:val="0"/>
                <w:caps w:val="0"/>
                <w:color w:val="auto"/>
                <w:kern w:val="0"/>
                <w:szCs w:val="22"/>
                <w:lang w:eastAsia="en-AU"/>
              </w:rPr>
              <w:tab/>
            </w:r>
            <w:r w:rsidR="002A2AA6" w:rsidRPr="003F5B22">
              <w:rPr>
                <w:rStyle w:val="Hyperlink"/>
                <w:rFonts w:eastAsiaTheme="majorEastAsia"/>
              </w:rPr>
              <w:t>Regulatory Framework</w:t>
            </w:r>
            <w:r w:rsidR="002A2AA6">
              <w:rPr>
                <w:webHidden/>
              </w:rPr>
              <w:tab/>
            </w:r>
            <w:r w:rsidR="002A2AA6">
              <w:rPr>
                <w:webHidden/>
              </w:rPr>
              <w:fldChar w:fldCharType="begin"/>
            </w:r>
            <w:r w:rsidR="002A2AA6">
              <w:rPr>
                <w:webHidden/>
              </w:rPr>
              <w:instrText xml:space="preserve"> PAGEREF _Toc526432176 \h </w:instrText>
            </w:r>
            <w:r w:rsidR="002A2AA6">
              <w:rPr>
                <w:webHidden/>
              </w:rPr>
            </w:r>
            <w:r w:rsidR="002A2AA6">
              <w:rPr>
                <w:webHidden/>
              </w:rPr>
              <w:fldChar w:fldCharType="separate"/>
            </w:r>
            <w:r w:rsidR="00225D67">
              <w:rPr>
                <w:webHidden/>
              </w:rPr>
              <w:t>6</w:t>
            </w:r>
            <w:r w:rsidR="002A2AA6">
              <w:rPr>
                <w:webHidden/>
              </w:rPr>
              <w:fldChar w:fldCharType="end"/>
            </w:r>
          </w:hyperlink>
        </w:p>
        <w:p w:rsidR="002A2AA6" w:rsidRDefault="0086416E">
          <w:pPr>
            <w:pStyle w:val="TOC1"/>
            <w:rPr>
              <w:rFonts w:asciiTheme="minorHAnsi" w:eastAsiaTheme="minorEastAsia" w:hAnsiTheme="minorHAnsi" w:cstheme="minorBidi"/>
              <w:b w:val="0"/>
              <w:bCs w:val="0"/>
              <w:caps w:val="0"/>
              <w:color w:val="auto"/>
              <w:kern w:val="0"/>
              <w:szCs w:val="22"/>
              <w:lang w:eastAsia="en-AU"/>
            </w:rPr>
          </w:pPr>
          <w:hyperlink w:anchor="_Toc526432177" w:history="1">
            <w:r w:rsidR="002A2AA6" w:rsidRPr="003F5B22">
              <w:rPr>
                <w:rStyle w:val="Hyperlink"/>
                <w:rFonts w:eastAsiaTheme="majorEastAsia"/>
              </w:rPr>
              <w:t>3</w:t>
            </w:r>
            <w:r w:rsidR="002A2AA6">
              <w:rPr>
                <w:rFonts w:asciiTheme="minorHAnsi" w:eastAsiaTheme="minorEastAsia" w:hAnsiTheme="minorHAnsi" w:cstheme="minorBidi"/>
                <w:b w:val="0"/>
                <w:bCs w:val="0"/>
                <w:caps w:val="0"/>
                <w:color w:val="auto"/>
                <w:kern w:val="0"/>
                <w:szCs w:val="22"/>
                <w:lang w:eastAsia="en-AU"/>
              </w:rPr>
              <w:tab/>
            </w:r>
            <w:r w:rsidR="002A2AA6" w:rsidRPr="003F5B22">
              <w:rPr>
                <w:rStyle w:val="Hyperlink"/>
                <w:rFonts w:eastAsiaTheme="majorEastAsia"/>
              </w:rPr>
              <w:t>Information on the product and its uses</w:t>
            </w:r>
            <w:r w:rsidR="002A2AA6">
              <w:rPr>
                <w:webHidden/>
              </w:rPr>
              <w:tab/>
            </w:r>
            <w:r w:rsidR="002A2AA6">
              <w:rPr>
                <w:webHidden/>
              </w:rPr>
              <w:fldChar w:fldCharType="begin"/>
            </w:r>
            <w:r w:rsidR="002A2AA6">
              <w:rPr>
                <w:webHidden/>
              </w:rPr>
              <w:instrText xml:space="preserve"> PAGEREF _Toc526432177 \h </w:instrText>
            </w:r>
            <w:r w:rsidR="002A2AA6">
              <w:rPr>
                <w:webHidden/>
              </w:rPr>
            </w:r>
            <w:r w:rsidR="002A2AA6">
              <w:rPr>
                <w:webHidden/>
              </w:rPr>
              <w:fldChar w:fldCharType="separate"/>
            </w:r>
            <w:r w:rsidR="00225D67">
              <w:rPr>
                <w:webHidden/>
              </w:rPr>
              <w:t>7</w:t>
            </w:r>
            <w:r w:rsidR="002A2AA6">
              <w:rPr>
                <w:webHidden/>
              </w:rPr>
              <w:fldChar w:fldCharType="end"/>
            </w:r>
          </w:hyperlink>
        </w:p>
        <w:p w:rsidR="002A2AA6" w:rsidRDefault="0086416E">
          <w:pPr>
            <w:pStyle w:val="TOC1"/>
            <w:rPr>
              <w:rFonts w:asciiTheme="minorHAnsi" w:eastAsiaTheme="minorEastAsia" w:hAnsiTheme="minorHAnsi" w:cstheme="minorBidi"/>
              <w:b w:val="0"/>
              <w:bCs w:val="0"/>
              <w:caps w:val="0"/>
              <w:color w:val="auto"/>
              <w:kern w:val="0"/>
              <w:szCs w:val="22"/>
              <w:lang w:eastAsia="en-AU"/>
            </w:rPr>
          </w:pPr>
          <w:hyperlink w:anchor="_Toc526432178" w:history="1">
            <w:r w:rsidR="002A2AA6" w:rsidRPr="003F5B22">
              <w:rPr>
                <w:rStyle w:val="Hyperlink"/>
                <w:rFonts w:eastAsiaTheme="majorEastAsia"/>
              </w:rPr>
              <w:t>4</w:t>
            </w:r>
            <w:r w:rsidR="002A2AA6">
              <w:rPr>
                <w:rFonts w:asciiTheme="minorHAnsi" w:eastAsiaTheme="minorEastAsia" w:hAnsiTheme="minorHAnsi" w:cstheme="minorBidi"/>
                <w:b w:val="0"/>
                <w:bCs w:val="0"/>
                <w:caps w:val="0"/>
                <w:color w:val="auto"/>
                <w:kern w:val="0"/>
                <w:szCs w:val="22"/>
                <w:lang w:eastAsia="en-AU"/>
              </w:rPr>
              <w:tab/>
            </w:r>
            <w:r w:rsidR="002A2AA6" w:rsidRPr="003F5B22">
              <w:rPr>
                <w:rStyle w:val="Hyperlink"/>
                <w:rFonts w:eastAsiaTheme="majorEastAsia"/>
              </w:rPr>
              <w:t>Fate and behaviour</w:t>
            </w:r>
            <w:r w:rsidR="002A2AA6">
              <w:rPr>
                <w:webHidden/>
              </w:rPr>
              <w:tab/>
            </w:r>
            <w:r w:rsidR="002A2AA6">
              <w:rPr>
                <w:webHidden/>
              </w:rPr>
              <w:fldChar w:fldCharType="begin"/>
            </w:r>
            <w:r w:rsidR="002A2AA6">
              <w:rPr>
                <w:webHidden/>
              </w:rPr>
              <w:instrText xml:space="preserve"> PAGEREF _Toc526432178 \h </w:instrText>
            </w:r>
            <w:r w:rsidR="002A2AA6">
              <w:rPr>
                <w:webHidden/>
              </w:rPr>
            </w:r>
            <w:r w:rsidR="002A2AA6">
              <w:rPr>
                <w:webHidden/>
              </w:rPr>
              <w:fldChar w:fldCharType="separate"/>
            </w:r>
            <w:r w:rsidR="00225D67">
              <w:rPr>
                <w:webHidden/>
              </w:rPr>
              <w:t>8</w:t>
            </w:r>
            <w:r w:rsidR="002A2AA6">
              <w:rPr>
                <w:webHidden/>
              </w:rPr>
              <w:fldChar w:fldCharType="end"/>
            </w:r>
          </w:hyperlink>
        </w:p>
        <w:p w:rsidR="002A2AA6" w:rsidRDefault="0086416E">
          <w:pPr>
            <w:pStyle w:val="TOC2"/>
            <w:rPr>
              <w:rFonts w:asciiTheme="minorHAnsi" w:eastAsiaTheme="minorEastAsia" w:hAnsiTheme="minorHAnsi" w:cstheme="minorBidi"/>
              <w:b w:val="0"/>
              <w:color w:val="auto"/>
              <w:sz w:val="22"/>
              <w:szCs w:val="22"/>
              <w:lang w:eastAsia="en-AU"/>
            </w:rPr>
          </w:pPr>
          <w:hyperlink w:anchor="_Toc526432179" w:history="1">
            <w:r w:rsidR="002A2AA6" w:rsidRPr="003F5B22">
              <w:rPr>
                <w:rStyle w:val="Hyperlink"/>
                <w:rFonts w:eastAsiaTheme="majorEastAsia"/>
              </w:rPr>
              <w:t>4.1</w:t>
            </w:r>
            <w:r w:rsidR="002A2AA6">
              <w:rPr>
                <w:rFonts w:asciiTheme="minorHAnsi" w:eastAsiaTheme="minorEastAsia" w:hAnsiTheme="minorHAnsi" w:cstheme="minorBidi"/>
                <w:b w:val="0"/>
                <w:color w:val="auto"/>
                <w:sz w:val="22"/>
                <w:szCs w:val="22"/>
                <w:lang w:eastAsia="en-AU"/>
              </w:rPr>
              <w:tab/>
            </w:r>
            <w:r w:rsidR="002A2AA6" w:rsidRPr="003F5B22">
              <w:rPr>
                <w:rStyle w:val="Hyperlink"/>
                <w:rFonts w:eastAsiaTheme="majorEastAsia"/>
              </w:rPr>
              <w:t>The environment</w:t>
            </w:r>
            <w:r w:rsidR="002A2AA6">
              <w:rPr>
                <w:webHidden/>
              </w:rPr>
              <w:tab/>
            </w:r>
            <w:r w:rsidR="002A2AA6">
              <w:rPr>
                <w:webHidden/>
              </w:rPr>
              <w:fldChar w:fldCharType="begin"/>
            </w:r>
            <w:r w:rsidR="002A2AA6">
              <w:rPr>
                <w:webHidden/>
              </w:rPr>
              <w:instrText xml:space="preserve"> PAGEREF _Toc526432179 \h </w:instrText>
            </w:r>
            <w:r w:rsidR="002A2AA6">
              <w:rPr>
                <w:webHidden/>
              </w:rPr>
            </w:r>
            <w:r w:rsidR="002A2AA6">
              <w:rPr>
                <w:webHidden/>
              </w:rPr>
              <w:fldChar w:fldCharType="separate"/>
            </w:r>
            <w:r w:rsidR="00225D67">
              <w:rPr>
                <w:webHidden/>
              </w:rPr>
              <w:t>8</w:t>
            </w:r>
            <w:r w:rsidR="002A2AA6">
              <w:rPr>
                <w:webHidden/>
              </w:rPr>
              <w:fldChar w:fldCharType="end"/>
            </w:r>
          </w:hyperlink>
        </w:p>
        <w:p w:rsidR="002A2AA6" w:rsidRDefault="0086416E">
          <w:pPr>
            <w:pStyle w:val="TOC3"/>
            <w:tabs>
              <w:tab w:val="left" w:pos="1100"/>
            </w:tabs>
            <w:rPr>
              <w:rFonts w:asciiTheme="minorHAnsi" w:eastAsiaTheme="minorEastAsia" w:hAnsiTheme="minorHAnsi" w:cstheme="minorBidi"/>
              <w:sz w:val="22"/>
              <w:szCs w:val="22"/>
              <w:lang w:eastAsia="en-AU"/>
            </w:rPr>
          </w:pPr>
          <w:hyperlink w:anchor="_Toc526432180" w:history="1">
            <w:r w:rsidR="002A2AA6" w:rsidRPr="003F5B22">
              <w:rPr>
                <w:rStyle w:val="Hyperlink"/>
                <w:rFonts w:eastAsiaTheme="majorEastAsia"/>
              </w:rPr>
              <w:t>4.1.1</w:t>
            </w:r>
            <w:r w:rsidR="002A2AA6">
              <w:rPr>
                <w:rFonts w:asciiTheme="minorHAnsi" w:eastAsiaTheme="minorEastAsia" w:hAnsiTheme="minorHAnsi" w:cstheme="minorBidi"/>
                <w:sz w:val="22"/>
                <w:szCs w:val="22"/>
                <w:lang w:eastAsia="en-AU"/>
              </w:rPr>
              <w:tab/>
            </w:r>
            <w:r w:rsidR="002A2AA6" w:rsidRPr="003F5B22">
              <w:rPr>
                <w:rStyle w:val="Hyperlink"/>
                <w:rFonts w:eastAsiaTheme="majorEastAsia"/>
              </w:rPr>
              <w:t>Assessment approach</w:t>
            </w:r>
            <w:r w:rsidR="002A2AA6">
              <w:rPr>
                <w:webHidden/>
              </w:rPr>
              <w:tab/>
            </w:r>
            <w:r w:rsidR="002A2AA6">
              <w:rPr>
                <w:webHidden/>
              </w:rPr>
              <w:fldChar w:fldCharType="begin"/>
            </w:r>
            <w:r w:rsidR="002A2AA6">
              <w:rPr>
                <w:webHidden/>
              </w:rPr>
              <w:instrText xml:space="preserve"> PAGEREF _Toc526432180 \h </w:instrText>
            </w:r>
            <w:r w:rsidR="002A2AA6">
              <w:rPr>
                <w:webHidden/>
              </w:rPr>
            </w:r>
            <w:r w:rsidR="002A2AA6">
              <w:rPr>
                <w:webHidden/>
              </w:rPr>
              <w:fldChar w:fldCharType="separate"/>
            </w:r>
            <w:r w:rsidR="00225D67">
              <w:rPr>
                <w:webHidden/>
              </w:rPr>
              <w:t>8</w:t>
            </w:r>
            <w:r w:rsidR="002A2AA6">
              <w:rPr>
                <w:webHidden/>
              </w:rPr>
              <w:fldChar w:fldCharType="end"/>
            </w:r>
          </w:hyperlink>
        </w:p>
        <w:p w:rsidR="002A2AA6" w:rsidRDefault="0086416E">
          <w:pPr>
            <w:pStyle w:val="TOC3"/>
            <w:tabs>
              <w:tab w:val="left" w:pos="1100"/>
            </w:tabs>
            <w:rPr>
              <w:rFonts w:asciiTheme="minorHAnsi" w:eastAsiaTheme="minorEastAsia" w:hAnsiTheme="minorHAnsi" w:cstheme="minorBidi"/>
              <w:sz w:val="22"/>
              <w:szCs w:val="22"/>
              <w:lang w:eastAsia="en-AU"/>
            </w:rPr>
          </w:pPr>
          <w:hyperlink w:anchor="_Toc526432181" w:history="1">
            <w:r w:rsidR="002A2AA6" w:rsidRPr="003F5B22">
              <w:rPr>
                <w:rStyle w:val="Hyperlink"/>
                <w:rFonts w:eastAsiaTheme="majorEastAsia"/>
              </w:rPr>
              <w:t>4.1.2</w:t>
            </w:r>
            <w:r w:rsidR="002A2AA6">
              <w:rPr>
                <w:rFonts w:asciiTheme="minorHAnsi" w:eastAsiaTheme="minorEastAsia" w:hAnsiTheme="minorHAnsi" w:cstheme="minorBidi"/>
                <w:sz w:val="22"/>
                <w:szCs w:val="22"/>
                <w:lang w:eastAsia="en-AU"/>
              </w:rPr>
              <w:tab/>
            </w:r>
            <w:r w:rsidR="002A2AA6" w:rsidRPr="003F5B22">
              <w:rPr>
                <w:rStyle w:val="Hyperlink"/>
                <w:rFonts w:eastAsiaTheme="majorEastAsia"/>
              </w:rPr>
              <w:t>References</w:t>
            </w:r>
            <w:r w:rsidR="002A2AA6">
              <w:rPr>
                <w:webHidden/>
              </w:rPr>
              <w:tab/>
            </w:r>
            <w:r w:rsidR="002A2AA6">
              <w:rPr>
                <w:webHidden/>
              </w:rPr>
              <w:fldChar w:fldCharType="begin"/>
            </w:r>
            <w:r w:rsidR="002A2AA6">
              <w:rPr>
                <w:webHidden/>
              </w:rPr>
              <w:instrText xml:space="preserve"> PAGEREF _Toc526432181 \h </w:instrText>
            </w:r>
            <w:r w:rsidR="002A2AA6">
              <w:rPr>
                <w:webHidden/>
              </w:rPr>
            </w:r>
            <w:r w:rsidR="002A2AA6">
              <w:rPr>
                <w:webHidden/>
              </w:rPr>
              <w:fldChar w:fldCharType="separate"/>
            </w:r>
            <w:r w:rsidR="00225D67">
              <w:rPr>
                <w:webHidden/>
              </w:rPr>
              <w:t>8</w:t>
            </w:r>
            <w:r w:rsidR="002A2AA6">
              <w:rPr>
                <w:webHidden/>
              </w:rPr>
              <w:fldChar w:fldCharType="end"/>
            </w:r>
          </w:hyperlink>
        </w:p>
        <w:p w:rsidR="002A2AA6" w:rsidRDefault="0086416E">
          <w:pPr>
            <w:pStyle w:val="TOC2"/>
            <w:rPr>
              <w:rFonts w:asciiTheme="minorHAnsi" w:eastAsiaTheme="minorEastAsia" w:hAnsiTheme="minorHAnsi" w:cstheme="minorBidi"/>
              <w:b w:val="0"/>
              <w:color w:val="auto"/>
              <w:sz w:val="22"/>
              <w:szCs w:val="22"/>
              <w:lang w:eastAsia="en-AU"/>
            </w:rPr>
          </w:pPr>
          <w:hyperlink w:anchor="_Toc526432182" w:history="1">
            <w:r w:rsidR="002A2AA6" w:rsidRPr="003F5B22">
              <w:rPr>
                <w:rStyle w:val="Hyperlink"/>
                <w:rFonts w:eastAsiaTheme="majorEastAsia"/>
              </w:rPr>
              <w:t>4.2</w:t>
            </w:r>
            <w:r w:rsidR="002A2AA6">
              <w:rPr>
                <w:rFonts w:asciiTheme="minorHAnsi" w:eastAsiaTheme="minorEastAsia" w:hAnsiTheme="minorHAnsi" w:cstheme="minorBidi"/>
                <w:b w:val="0"/>
                <w:color w:val="auto"/>
                <w:sz w:val="22"/>
                <w:szCs w:val="22"/>
                <w:lang w:eastAsia="en-AU"/>
              </w:rPr>
              <w:tab/>
            </w:r>
            <w:r w:rsidR="002A2AA6" w:rsidRPr="003F5B22">
              <w:rPr>
                <w:rStyle w:val="Hyperlink"/>
                <w:rFonts w:eastAsiaTheme="majorEastAsia"/>
              </w:rPr>
              <w:t>Fate and behaviour in soil</w:t>
            </w:r>
            <w:r w:rsidR="002A2AA6">
              <w:rPr>
                <w:webHidden/>
              </w:rPr>
              <w:tab/>
            </w:r>
            <w:r w:rsidR="002A2AA6">
              <w:rPr>
                <w:webHidden/>
              </w:rPr>
              <w:fldChar w:fldCharType="begin"/>
            </w:r>
            <w:r w:rsidR="002A2AA6">
              <w:rPr>
                <w:webHidden/>
              </w:rPr>
              <w:instrText xml:space="preserve"> PAGEREF _Toc526432182 \h </w:instrText>
            </w:r>
            <w:r w:rsidR="002A2AA6">
              <w:rPr>
                <w:webHidden/>
              </w:rPr>
            </w:r>
            <w:r w:rsidR="002A2AA6">
              <w:rPr>
                <w:webHidden/>
              </w:rPr>
              <w:fldChar w:fldCharType="separate"/>
            </w:r>
            <w:r w:rsidR="00225D67">
              <w:rPr>
                <w:webHidden/>
              </w:rPr>
              <w:t>8</w:t>
            </w:r>
            <w:r w:rsidR="002A2AA6">
              <w:rPr>
                <w:webHidden/>
              </w:rPr>
              <w:fldChar w:fldCharType="end"/>
            </w:r>
          </w:hyperlink>
        </w:p>
        <w:p w:rsidR="002A2AA6" w:rsidRDefault="0086416E">
          <w:pPr>
            <w:pStyle w:val="TOC2"/>
            <w:rPr>
              <w:rFonts w:asciiTheme="minorHAnsi" w:eastAsiaTheme="minorEastAsia" w:hAnsiTheme="minorHAnsi" w:cstheme="minorBidi"/>
              <w:b w:val="0"/>
              <w:color w:val="auto"/>
              <w:sz w:val="22"/>
              <w:szCs w:val="22"/>
              <w:lang w:eastAsia="en-AU"/>
            </w:rPr>
          </w:pPr>
          <w:hyperlink w:anchor="_Toc526432183" w:history="1">
            <w:r w:rsidR="002A2AA6" w:rsidRPr="003F5B22">
              <w:rPr>
                <w:rStyle w:val="Hyperlink"/>
                <w:rFonts w:eastAsiaTheme="majorEastAsia"/>
              </w:rPr>
              <w:t>4.3</w:t>
            </w:r>
            <w:r w:rsidR="002A2AA6">
              <w:rPr>
                <w:rFonts w:asciiTheme="minorHAnsi" w:eastAsiaTheme="minorEastAsia" w:hAnsiTheme="minorHAnsi" w:cstheme="minorBidi"/>
                <w:b w:val="0"/>
                <w:color w:val="auto"/>
                <w:sz w:val="22"/>
                <w:szCs w:val="22"/>
                <w:lang w:eastAsia="en-AU"/>
              </w:rPr>
              <w:tab/>
            </w:r>
            <w:r w:rsidR="002A2AA6" w:rsidRPr="003F5B22">
              <w:rPr>
                <w:rStyle w:val="Hyperlink"/>
                <w:rFonts w:eastAsiaTheme="majorEastAsia"/>
              </w:rPr>
              <w:t>Fate and behaviour in water</w:t>
            </w:r>
            <w:r w:rsidR="002A2AA6">
              <w:rPr>
                <w:webHidden/>
              </w:rPr>
              <w:tab/>
            </w:r>
            <w:r w:rsidR="002A2AA6">
              <w:rPr>
                <w:webHidden/>
              </w:rPr>
              <w:fldChar w:fldCharType="begin"/>
            </w:r>
            <w:r w:rsidR="002A2AA6">
              <w:rPr>
                <w:webHidden/>
              </w:rPr>
              <w:instrText xml:space="preserve"> PAGEREF _Toc526432183 \h </w:instrText>
            </w:r>
            <w:r w:rsidR="002A2AA6">
              <w:rPr>
                <w:webHidden/>
              </w:rPr>
            </w:r>
            <w:r w:rsidR="002A2AA6">
              <w:rPr>
                <w:webHidden/>
              </w:rPr>
              <w:fldChar w:fldCharType="separate"/>
            </w:r>
            <w:r w:rsidR="00225D67">
              <w:rPr>
                <w:webHidden/>
              </w:rPr>
              <w:t>9</w:t>
            </w:r>
            <w:r w:rsidR="002A2AA6">
              <w:rPr>
                <w:webHidden/>
              </w:rPr>
              <w:fldChar w:fldCharType="end"/>
            </w:r>
          </w:hyperlink>
        </w:p>
        <w:p w:rsidR="002A2AA6" w:rsidRDefault="0086416E">
          <w:pPr>
            <w:pStyle w:val="TOC2"/>
            <w:rPr>
              <w:rFonts w:asciiTheme="minorHAnsi" w:eastAsiaTheme="minorEastAsia" w:hAnsiTheme="minorHAnsi" w:cstheme="minorBidi"/>
              <w:b w:val="0"/>
              <w:color w:val="auto"/>
              <w:sz w:val="22"/>
              <w:szCs w:val="22"/>
              <w:lang w:eastAsia="en-AU"/>
            </w:rPr>
          </w:pPr>
          <w:hyperlink w:anchor="_Toc526432184" w:history="1">
            <w:r w:rsidR="002A2AA6" w:rsidRPr="003F5B22">
              <w:rPr>
                <w:rStyle w:val="Hyperlink"/>
                <w:rFonts w:eastAsiaTheme="majorEastAsia"/>
              </w:rPr>
              <w:t>4.4</w:t>
            </w:r>
            <w:r w:rsidR="002A2AA6">
              <w:rPr>
                <w:rFonts w:asciiTheme="minorHAnsi" w:eastAsiaTheme="minorEastAsia" w:hAnsiTheme="minorHAnsi" w:cstheme="minorBidi"/>
                <w:b w:val="0"/>
                <w:color w:val="auto"/>
                <w:sz w:val="22"/>
                <w:szCs w:val="22"/>
                <w:lang w:eastAsia="en-AU"/>
              </w:rPr>
              <w:tab/>
            </w:r>
            <w:r w:rsidR="002A2AA6" w:rsidRPr="003F5B22">
              <w:rPr>
                <w:rStyle w:val="Hyperlink"/>
                <w:rFonts w:eastAsiaTheme="majorEastAsia"/>
              </w:rPr>
              <w:t>Fate and behaviour in air</w:t>
            </w:r>
            <w:r w:rsidR="002A2AA6">
              <w:rPr>
                <w:webHidden/>
              </w:rPr>
              <w:tab/>
            </w:r>
            <w:r w:rsidR="002A2AA6">
              <w:rPr>
                <w:webHidden/>
              </w:rPr>
              <w:fldChar w:fldCharType="begin"/>
            </w:r>
            <w:r w:rsidR="002A2AA6">
              <w:rPr>
                <w:webHidden/>
              </w:rPr>
              <w:instrText xml:space="preserve"> PAGEREF _Toc526432184 \h </w:instrText>
            </w:r>
            <w:r w:rsidR="002A2AA6">
              <w:rPr>
                <w:webHidden/>
              </w:rPr>
            </w:r>
            <w:r w:rsidR="002A2AA6">
              <w:rPr>
                <w:webHidden/>
              </w:rPr>
              <w:fldChar w:fldCharType="separate"/>
            </w:r>
            <w:r w:rsidR="00225D67">
              <w:rPr>
                <w:webHidden/>
              </w:rPr>
              <w:t>9</w:t>
            </w:r>
            <w:r w:rsidR="002A2AA6">
              <w:rPr>
                <w:webHidden/>
              </w:rPr>
              <w:fldChar w:fldCharType="end"/>
            </w:r>
          </w:hyperlink>
        </w:p>
        <w:p w:rsidR="002A2AA6" w:rsidRDefault="0086416E">
          <w:pPr>
            <w:pStyle w:val="TOC1"/>
            <w:rPr>
              <w:rFonts w:asciiTheme="minorHAnsi" w:eastAsiaTheme="minorEastAsia" w:hAnsiTheme="minorHAnsi" w:cstheme="minorBidi"/>
              <w:b w:val="0"/>
              <w:bCs w:val="0"/>
              <w:caps w:val="0"/>
              <w:color w:val="auto"/>
              <w:kern w:val="0"/>
              <w:szCs w:val="22"/>
              <w:lang w:eastAsia="en-AU"/>
            </w:rPr>
          </w:pPr>
          <w:hyperlink w:anchor="_Toc526432185" w:history="1">
            <w:r w:rsidR="002A2AA6" w:rsidRPr="003F5B22">
              <w:rPr>
                <w:rStyle w:val="Hyperlink"/>
                <w:rFonts w:eastAsiaTheme="majorEastAsia"/>
              </w:rPr>
              <w:t>5</w:t>
            </w:r>
            <w:r w:rsidR="002A2AA6">
              <w:rPr>
                <w:rFonts w:asciiTheme="minorHAnsi" w:eastAsiaTheme="minorEastAsia" w:hAnsiTheme="minorHAnsi" w:cstheme="minorBidi"/>
                <w:b w:val="0"/>
                <w:bCs w:val="0"/>
                <w:caps w:val="0"/>
                <w:color w:val="auto"/>
                <w:kern w:val="0"/>
                <w:szCs w:val="22"/>
                <w:lang w:eastAsia="en-AU"/>
              </w:rPr>
              <w:tab/>
            </w:r>
            <w:r w:rsidR="002A2AA6" w:rsidRPr="003F5B22">
              <w:rPr>
                <w:rStyle w:val="Hyperlink"/>
                <w:rFonts w:eastAsiaTheme="majorEastAsia"/>
              </w:rPr>
              <w:t>Effects and associated risks to non-target species</w:t>
            </w:r>
            <w:r w:rsidR="002A2AA6">
              <w:rPr>
                <w:webHidden/>
              </w:rPr>
              <w:tab/>
            </w:r>
            <w:r w:rsidR="002A2AA6">
              <w:rPr>
                <w:webHidden/>
              </w:rPr>
              <w:fldChar w:fldCharType="begin"/>
            </w:r>
            <w:r w:rsidR="002A2AA6">
              <w:rPr>
                <w:webHidden/>
              </w:rPr>
              <w:instrText xml:space="preserve"> PAGEREF _Toc526432185 \h </w:instrText>
            </w:r>
            <w:r w:rsidR="002A2AA6">
              <w:rPr>
                <w:webHidden/>
              </w:rPr>
            </w:r>
            <w:r w:rsidR="002A2AA6">
              <w:rPr>
                <w:webHidden/>
              </w:rPr>
              <w:fldChar w:fldCharType="separate"/>
            </w:r>
            <w:r w:rsidR="00225D67">
              <w:rPr>
                <w:webHidden/>
              </w:rPr>
              <w:t>10</w:t>
            </w:r>
            <w:r w:rsidR="002A2AA6">
              <w:rPr>
                <w:webHidden/>
              </w:rPr>
              <w:fldChar w:fldCharType="end"/>
            </w:r>
          </w:hyperlink>
        </w:p>
        <w:p w:rsidR="002A2AA6" w:rsidRDefault="0086416E">
          <w:pPr>
            <w:pStyle w:val="TOC2"/>
            <w:rPr>
              <w:rFonts w:asciiTheme="minorHAnsi" w:eastAsiaTheme="minorEastAsia" w:hAnsiTheme="minorHAnsi" w:cstheme="minorBidi"/>
              <w:b w:val="0"/>
              <w:color w:val="auto"/>
              <w:sz w:val="22"/>
              <w:szCs w:val="22"/>
              <w:lang w:eastAsia="en-AU"/>
            </w:rPr>
          </w:pPr>
          <w:hyperlink w:anchor="_Toc526432186" w:history="1">
            <w:r w:rsidR="002A2AA6" w:rsidRPr="003F5B22">
              <w:rPr>
                <w:rStyle w:val="Hyperlink"/>
                <w:rFonts w:eastAsiaTheme="majorEastAsia"/>
              </w:rPr>
              <w:t>5.1</w:t>
            </w:r>
            <w:r w:rsidR="002A2AA6">
              <w:rPr>
                <w:rFonts w:asciiTheme="minorHAnsi" w:eastAsiaTheme="minorEastAsia" w:hAnsiTheme="minorHAnsi" w:cstheme="minorBidi"/>
                <w:b w:val="0"/>
                <w:color w:val="auto"/>
                <w:sz w:val="22"/>
                <w:szCs w:val="22"/>
                <w:lang w:eastAsia="en-AU"/>
              </w:rPr>
              <w:tab/>
            </w:r>
            <w:r w:rsidR="002A2AA6" w:rsidRPr="003F5B22">
              <w:rPr>
                <w:rStyle w:val="Hyperlink"/>
                <w:rFonts w:eastAsiaTheme="majorEastAsia"/>
              </w:rPr>
              <w:t>Terrestrial vertebrates</w:t>
            </w:r>
            <w:r w:rsidR="002A2AA6">
              <w:rPr>
                <w:webHidden/>
              </w:rPr>
              <w:tab/>
            </w:r>
            <w:r w:rsidR="002A2AA6">
              <w:rPr>
                <w:webHidden/>
              </w:rPr>
              <w:fldChar w:fldCharType="begin"/>
            </w:r>
            <w:r w:rsidR="002A2AA6">
              <w:rPr>
                <w:webHidden/>
              </w:rPr>
              <w:instrText xml:space="preserve"> PAGEREF _Toc526432186 \h </w:instrText>
            </w:r>
            <w:r w:rsidR="002A2AA6">
              <w:rPr>
                <w:webHidden/>
              </w:rPr>
            </w:r>
            <w:r w:rsidR="002A2AA6">
              <w:rPr>
                <w:webHidden/>
              </w:rPr>
              <w:fldChar w:fldCharType="separate"/>
            </w:r>
            <w:r w:rsidR="00225D67">
              <w:rPr>
                <w:webHidden/>
              </w:rPr>
              <w:t>11</w:t>
            </w:r>
            <w:r w:rsidR="002A2AA6">
              <w:rPr>
                <w:webHidden/>
              </w:rPr>
              <w:fldChar w:fldCharType="end"/>
            </w:r>
          </w:hyperlink>
        </w:p>
        <w:p w:rsidR="002A2AA6" w:rsidRDefault="0086416E">
          <w:pPr>
            <w:pStyle w:val="TOC3"/>
            <w:tabs>
              <w:tab w:val="left" w:pos="1100"/>
            </w:tabs>
            <w:rPr>
              <w:rFonts w:asciiTheme="minorHAnsi" w:eastAsiaTheme="minorEastAsia" w:hAnsiTheme="minorHAnsi" w:cstheme="minorBidi"/>
              <w:sz w:val="22"/>
              <w:szCs w:val="22"/>
              <w:lang w:eastAsia="en-AU"/>
            </w:rPr>
          </w:pPr>
          <w:hyperlink w:anchor="_Toc526432187" w:history="1">
            <w:r w:rsidR="002A2AA6" w:rsidRPr="003F5B22">
              <w:rPr>
                <w:rStyle w:val="Hyperlink"/>
                <w:rFonts w:eastAsiaTheme="majorEastAsia"/>
              </w:rPr>
              <w:t>5.1.1</w:t>
            </w:r>
            <w:r w:rsidR="002A2AA6">
              <w:rPr>
                <w:rFonts w:asciiTheme="minorHAnsi" w:eastAsiaTheme="minorEastAsia" w:hAnsiTheme="minorHAnsi" w:cstheme="minorBidi"/>
                <w:sz w:val="22"/>
                <w:szCs w:val="22"/>
                <w:lang w:eastAsia="en-AU"/>
              </w:rPr>
              <w:tab/>
            </w:r>
            <w:r w:rsidR="002A2AA6" w:rsidRPr="003F5B22">
              <w:rPr>
                <w:rStyle w:val="Hyperlink"/>
                <w:rFonts w:eastAsiaTheme="majorEastAsia"/>
              </w:rPr>
              <w:t>Assessment approach</w:t>
            </w:r>
            <w:r w:rsidR="002A2AA6">
              <w:rPr>
                <w:webHidden/>
              </w:rPr>
              <w:tab/>
            </w:r>
            <w:r w:rsidR="002A2AA6">
              <w:rPr>
                <w:webHidden/>
              </w:rPr>
              <w:fldChar w:fldCharType="begin"/>
            </w:r>
            <w:r w:rsidR="002A2AA6">
              <w:rPr>
                <w:webHidden/>
              </w:rPr>
              <w:instrText xml:space="preserve"> PAGEREF _Toc526432187 \h </w:instrText>
            </w:r>
            <w:r w:rsidR="002A2AA6">
              <w:rPr>
                <w:webHidden/>
              </w:rPr>
            </w:r>
            <w:r w:rsidR="002A2AA6">
              <w:rPr>
                <w:webHidden/>
              </w:rPr>
              <w:fldChar w:fldCharType="separate"/>
            </w:r>
            <w:r w:rsidR="00225D67">
              <w:rPr>
                <w:webHidden/>
              </w:rPr>
              <w:t>11</w:t>
            </w:r>
            <w:r w:rsidR="002A2AA6">
              <w:rPr>
                <w:webHidden/>
              </w:rPr>
              <w:fldChar w:fldCharType="end"/>
            </w:r>
          </w:hyperlink>
        </w:p>
        <w:p w:rsidR="002A2AA6" w:rsidRDefault="0086416E">
          <w:pPr>
            <w:pStyle w:val="TOC3"/>
            <w:tabs>
              <w:tab w:val="left" w:pos="1100"/>
            </w:tabs>
            <w:rPr>
              <w:rFonts w:asciiTheme="minorHAnsi" w:eastAsiaTheme="minorEastAsia" w:hAnsiTheme="minorHAnsi" w:cstheme="minorBidi"/>
              <w:sz w:val="22"/>
              <w:szCs w:val="22"/>
              <w:lang w:eastAsia="en-AU"/>
            </w:rPr>
          </w:pPr>
          <w:hyperlink w:anchor="_Toc526432188" w:history="1">
            <w:r w:rsidR="002A2AA6" w:rsidRPr="003F5B22">
              <w:rPr>
                <w:rStyle w:val="Hyperlink"/>
                <w:rFonts w:eastAsiaTheme="majorEastAsia"/>
              </w:rPr>
              <w:t>5.1.2</w:t>
            </w:r>
            <w:r w:rsidR="002A2AA6">
              <w:rPr>
                <w:rFonts w:asciiTheme="minorHAnsi" w:eastAsiaTheme="minorEastAsia" w:hAnsiTheme="minorHAnsi" w:cstheme="minorBidi"/>
                <w:sz w:val="22"/>
                <w:szCs w:val="22"/>
                <w:lang w:eastAsia="en-AU"/>
              </w:rPr>
              <w:tab/>
            </w:r>
            <w:r w:rsidR="002A2AA6" w:rsidRPr="003F5B22">
              <w:rPr>
                <w:rStyle w:val="Hyperlink"/>
                <w:rFonts w:eastAsiaTheme="majorEastAsia"/>
              </w:rPr>
              <w:t>Calculation approaches</w:t>
            </w:r>
            <w:r w:rsidR="002A2AA6">
              <w:rPr>
                <w:webHidden/>
              </w:rPr>
              <w:tab/>
            </w:r>
            <w:r w:rsidR="002A2AA6">
              <w:rPr>
                <w:webHidden/>
              </w:rPr>
              <w:fldChar w:fldCharType="begin"/>
            </w:r>
            <w:r w:rsidR="002A2AA6">
              <w:rPr>
                <w:webHidden/>
              </w:rPr>
              <w:instrText xml:space="preserve"> PAGEREF _Toc526432188 \h </w:instrText>
            </w:r>
            <w:r w:rsidR="002A2AA6">
              <w:rPr>
                <w:webHidden/>
              </w:rPr>
            </w:r>
            <w:r w:rsidR="002A2AA6">
              <w:rPr>
                <w:webHidden/>
              </w:rPr>
              <w:fldChar w:fldCharType="separate"/>
            </w:r>
            <w:r w:rsidR="00225D67">
              <w:rPr>
                <w:webHidden/>
              </w:rPr>
              <w:t>12</w:t>
            </w:r>
            <w:r w:rsidR="002A2AA6">
              <w:rPr>
                <w:webHidden/>
              </w:rPr>
              <w:fldChar w:fldCharType="end"/>
            </w:r>
          </w:hyperlink>
        </w:p>
        <w:p w:rsidR="002A2AA6" w:rsidRDefault="0086416E">
          <w:pPr>
            <w:pStyle w:val="TOC3"/>
            <w:tabs>
              <w:tab w:val="left" w:pos="1100"/>
            </w:tabs>
            <w:rPr>
              <w:rFonts w:asciiTheme="minorHAnsi" w:eastAsiaTheme="minorEastAsia" w:hAnsiTheme="minorHAnsi" w:cstheme="minorBidi"/>
              <w:sz w:val="22"/>
              <w:szCs w:val="22"/>
              <w:lang w:eastAsia="en-AU"/>
            </w:rPr>
          </w:pPr>
          <w:hyperlink w:anchor="_Toc526432189" w:history="1">
            <w:r w:rsidR="002A2AA6" w:rsidRPr="003F5B22">
              <w:rPr>
                <w:rStyle w:val="Hyperlink"/>
                <w:rFonts w:eastAsiaTheme="majorEastAsia"/>
              </w:rPr>
              <w:t>5.1.3</w:t>
            </w:r>
            <w:r w:rsidR="002A2AA6">
              <w:rPr>
                <w:rFonts w:asciiTheme="minorHAnsi" w:eastAsiaTheme="minorEastAsia" w:hAnsiTheme="minorHAnsi" w:cstheme="minorBidi"/>
                <w:sz w:val="22"/>
                <w:szCs w:val="22"/>
                <w:lang w:eastAsia="en-AU"/>
              </w:rPr>
              <w:tab/>
            </w:r>
            <w:r w:rsidR="002A2AA6" w:rsidRPr="003F5B22">
              <w:rPr>
                <w:rStyle w:val="Hyperlink"/>
                <w:rFonts w:eastAsiaTheme="majorEastAsia"/>
              </w:rPr>
              <w:t>Conclusions</w:t>
            </w:r>
            <w:r w:rsidR="002A2AA6">
              <w:rPr>
                <w:webHidden/>
              </w:rPr>
              <w:tab/>
            </w:r>
            <w:r w:rsidR="002A2AA6">
              <w:rPr>
                <w:webHidden/>
              </w:rPr>
              <w:fldChar w:fldCharType="begin"/>
            </w:r>
            <w:r w:rsidR="002A2AA6">
              <w:rPr>
                <w:webHidden/>
              </w:rPr>
              <w:instrText xml:space="preserve"> PAGEREF _Toc526432189 \h </w:instrText>
            </w:r>
            <w:r w:rsidR="002A2AA6">
              <w:rPr>
                <w:webHidden/>
              </w:rPr>
            </w:r>
            <w:r w:rsidR="002A2AA6">
              <w:rPr>
                <w:webHidden/>
              </w:rPr>
              <w:fldChar w:fldCharType="separate"/>
            </w:r>
            <w:r w:rsidR="00225D67">
              <w:rPr>
                <w:webHidden/>
              </w:rPr>
              <w:t>13</w:t>
            </w:r>
            <w:r w:rsidR="002A2AA6">
              <w:rPr>
                <w:webHidden/>
              </w:rPr>
              <w:fldChar w:fldCharType="end"/>
            </w:r>
          </w:hyperlink>
        </w:p>
        <w:p w:rsidR="002A2AA6" w:rsidRDefault="0086416E">
          <w:pPr>
            <w:pStyle w:val="TOC3"/>
            <w:tabs>
              <w:tab w:val="left" w:pos="1100"/>
            </w:tabs>
            <w:rPr>
              <w:rFonts w:asciiTheme="minorHAnsi" w:eastAsiaTheme="minorEastAsia" w:hAnsiTheme="minorHAnsi" w:cstheme="minorBidi"/>
              <w:sz w:val="22"/>
              <w:szCs w:val="22"/>
              <w:lang w:eastAsia="en-AU"/>
            </w:rPr>
          </w:pPr>
          <w:hyperlink w:anchor="_Toc526432190" w:history="1">
            <w:r w:rsidR="002A2AA6" w:rsidRPr="003F5B22">
              <w:rPr>
                <w:rStyle w:val="Hyperlink"/>
                <w:rFonts w:eastAsiaTheme="majorEastAsia"/>
              </w:rPr>
              <w:t>5.1.4</w:t>
            </w:r>
            <w:r w:rsidR="002A2AA6">
              <w:rPr>
                <w:rFonts w:asciiTheme="minorHAnsi" w:eastAsiaTheme="minorEastAsia" w:hAnsiTheme="minorHAnsi" w:cstheme="minorBidi"/>
                <w:sz w:val="22"/>
                <w:szCs w:val="22"/>
                <w:lang w:eastAsia="en-AU"/>
              </w:rPr>
              <w:tab/>
            </w:r>
            <w:r w:rsidR="002A2AA6" w:rsidRPr="003F5B22">
              <w:rPr>
                <w:rStyle w:val="Hyperlink"/>
                <w:rFonts w:eastAsiaTheme="majorEastAsia"/>
              </w:rPr>
              <w:t>References</w:t>
            </w:r>
            <w:r w:rsidR="002A2AA6">
              <w:rPr>
                <w:webHidden/>
              </w:rPr>
              <w:tab/>
            </w:r>
            <w:r w:rsidR="002A2AA6">
              <w:rPr>
                <w:webHidden/>
              </w:rPr>
              <w:fldChar w:fldCharType="begin"/>
            </w:r>
            <w:r w:rsidR="002A2AA6">
              <w:rPr>
                <w:webHidden/>
              </w:rPr>
              <w:instrText xml:space="preserve"> PAGEREF _Toc526432190 \h </w:instrText>
            </w:r>
            <w:r w:rsidR="002A2AA6">
              <w:rPr>
                <w:webHidden/>
              </w:rPr>
            </w:r>
            <w:r w:rsidR="002A2AA6">
              <w:rPr>
                <w:webHidden/>
              </w:rPr>
              <w:fldChar w:fldCharType="separate"/>
            </w:r>
            <w:r w:rsidR="00225D67">
              <w:rPr>
                <w:webHidden/>
              </w:rPr>
              <w:t>13</w:t>
            </w:r>
            <w:r w:rsidR="002A2AA6">
              <w:rPr>
                <w:webHidden/>
              </w:rPr>
              <w:fldChar w:fldCharType="end"/>
            </w:r>
          </w:hyperlink>
        </w:p>
        <w:p w:rsidR="002A2AA6" w:rsidRDefault="0086416E">
          <w:pPr>
            <w:pStyle w:val="TOC2"/>
            <w:rPr>
              <w:rFonts w:asciiTheme="minorHAnsi" w:eastAsiaTheme="minorEastAsia" w:hAnsiTheme="minorHAnsi" w:cstheme="minorBidi"/>
              <w:b w:val="0"/>
              <w:color w:val="auto"/>
              <w:sz w:val="22"/>
              <w:szCs w:val="22"/>
              <w:lang w:eastAsia="en-AU"/>
            </w:rPr>
          </w:pPr>
          <w:hyperlink w:anchor="_Toc526432191" w:history="1">
            <w:r w:rsidR="002A2AA6" w:rsidRPr="003F5B22">
              <w:rPr>
                <w:rStyle w:val="Hyperlink"/>
                <w:rFonts w:eastAsiaTheme="majorEastAsia"/>
              </w:rPr>
              <w:t>5.2</w:t>
            </w:r>
            <w:r w:rsidR="002A2AA6">
              <w:rPr>
                <w:rFonts w:asciiTheme="minorHAnsi" w:eastAsiaTheme="minorEastAsia" w:hAnsiTheme="minorHAnsi" w:cstheme="minorBidi"/>
                <w:b w:val="0"/>
                <w:color w:val="auto"/>
                <w:sz w:val="22"/>
                <w:szCs w:val="22"/>
                <w:lang w:eastAsia="en-AU"/>
              </w:rPr>
              <w:tab/>
            </w:r>
            <w:r w:rsidR="002A2AA6" w:rsidRPr="003F5B22">
              <w:rPr>
                <w:rStyle w:val="Hyperlink"/>
                <w:rFonts w:eastAsiaTheme="majorEastAsia"/>
              </w:rPr>
              <w:t>Aquatic species</w:t>
            </w:r>
            <w:r w:rsidR="002A2AA6">
              <w:rPr>
                <w:webHidden/>
              </w:rPr>
              <w:tab/>
            </w:r>
            <w:r w:rsidR="002A2AA6">
              <w:rPr>
                <w:webHidden/>
              </w:rPr>
              <w:fldChar w:fldCharType="begin"/>
            </w:r>
            <w:r w:rsidR="002A2AA6">
              <w:rPr>
                <w:webHidden/>
              </w:rPr>
              <w:instrText xml:space="preserve"> PAGEREF _Toc526432191 \h </w:instrText>
            </w:r>
            <w:r w:rsidR="002A2AA6">
              <w:rPr>
                <w:webHidden/>
              </w:rPr>
            </w:r>
            <w:r w:rsidR="002A2AA6">
              <w:rPr>
                <w:webHidden/>
              </w:rPr>
              <w:fldChar w:fldCharType="separate"/>
            </w:r>
            <w:r w:rsidR="00225D67">
              <w:rPr>
                <w:webHidden/>
              </w:rPr>
              <w:t>14</w:t>
            </w:r>
            <w:r w:rsidR="002A2AA6">
              <w:rPr>
                <w:webHidden/>
              </w:rPr>
              <w:fldChar w:fldCharType="end"/>
            </w:r>
          </w:hyperlink>
        </w:p>
        <w:p w:rsidR="002A2AA6" w:rsidRDefault="0086416E">
          <w:pPr>
            <w:pStyle w:val="TOC3"/>
            <w:tabs>
              <w:tab w:val="left" w:pos="1100"/>
            </w:tabs>
            <w:rPr>
              <w:rFonts w:asciiTheme="minorHAnsi" w:eastAsiaTheme="minorEastAsia" w:hAnsiTheme="minorHAnsi" w:cstheme="minorBidi"/>
              <w:sz w:val="22"/>
              <w:szCs w:val="22"/>
              <w:lang w:eastAsia="en-AU"/>
            </w:rPr>
          </w:pPr>
          <w:hyperlink w:anchor="_Toc526432192" w:history="1">
            <w:r w:rsidR="002A2AA6" w:rsidRPr="003F5B22">
              <w:rPr>
                <w:rStyle w:val="Hyperlink"/>
                <w:rFonts w:eastAsiaTheme="majorEastAsia"/>
              </w:rPr>
              <w:t>5.2.1</w:t>
            </w:r>
            <w:r w:rsidR="002A2AA6">
              <w:rPr>
                <w:rFonts w:asciiTheme="minorHAnsi" w:eastAsiaTheme="minorEastAsia" w:hAnsiTheme="minorHAnsi" w:cstheme="minorBidi"/>
                <w:sz w:val="22"/>
                <w:szCs w:val="22"/>
                <w:lang w:eastAsia="en-AU"/>
              </w:rPr>
              <w:tab/>
            </w:r>
            <w:r w:rsidR="002A2AA6" w:rsidRPr="003F5B22">
              <w:rPr>
                <w:rStyle w:val="Hyperlink"/>
                <w:rFonts w:eastAsiaTheme="majorEastAsia"/>
              </w:rPr>
              <w:t>Assessment approach</w:t>
            </w:r>
            <w:r w:rsidR="002A2AA6">
              <w:rPr>
                <w:webHidden/>
              </w:rPr>
              <w:tab/>
            </w:r>
            <w:r w:rsidR="002A2AA6">
              <w:rPr>
                <w:webHidden/>
              </w:rPr>
              <w:fldChar w:fldCharType="begin"/>
            </w:r>
            <w:r w:rsidR="002A2AA6">
              <w:rPr>
                <w:webHidden/>
              </w:rPr>
              <w:instrText xml:space="preserve"> PAGEREF _Toc526432192 \h </w:instrText>
            </w:r>
            <w:r w:rsidR="002A2AA6">
              <w:rPr>
                <w:webHidden/>
              </w:rPr>
            </w:r>
            <w:r w:rsidR="002A2AA6">
              <w:rPr>
                <w:webHidden/>
              </w:rPr>
              <w:fldChar w:fldCharType="separate"/>
            </w:r>
            <w:r w:rsidR="00225D67">
              <w:rPr>
                <w:webHidden/>
              </w:rPr>
              <w:t>14</w:t>
            </w:r>
            <w:r w:rsidR="002A2AA6">
              <w:rPr>
                <w:webHidden/>
              </w:rPr>
              <w:fldChar w:fldCharType="end"/>
            </w:r>
          </w:hyperlink>
        </w:p>
        <w:p w:rsidR="002A2AA6" w:rsidRDefault="0086416E">
          <w:pPr>
            <w:pStyle w:val="TOC3"/>
            <w:tabs>
              <w:tab w:val="left" w:pos="1100"/>
            </w:tabs>
            <w:rPr>
              <w:rFonts w:asciiTheme="minorHAnsi" w:eastAsiaTheme="minorEastAsia" w:hAnsiTheme="minorHAnsi" w:cstheme="minorBidi"/>
              <w:sz w:val="22"/>
              <w:szCs w:val="22"/>
              <w:lang w:eastAsia="en-AU"/>
            </w:rPr>
          </w:pPr>
          <w:hyperlink w:anchor="_Toc526432193" w:history="1">
            <w:r w:rsidR="002A2AA6" w:rsidRPr="003F5B22">
              <w:rPr>
                <w:rStyle w:val="Hyperlink"/>
                <w:rFonts w:eastAsiaTheme="majorEastAsia"/>
              </w:rPr>
              <w:t>5.2.2</w:t>
            </w:r>
            <w:r w:rsidR="002A2AA6">
              <w:rPr>
                <w:rFonts w:asciiTheme="minorHAnsi" w:eastAsiaTheme="minorEastAsia" w:hAnsiTheme="minorHAnsi" w:cstheme="minorBidi"/>
                <w:sz w:val="22"/>
                <w:szCs w:val="22"/>
                <w:lang w:eastAsia="en-AU"/>
              </w:rPr>
              <w:tab/>
            </w:r>
            <w:r w:rsidR="002A2AA6" w:rsidRPr="003F5B22">
              <w:rPr>
                <w:rStyle w:val="Hyperlink"/>
                <w:rFonts w:eastAsiaTheme="majorEastAsia"/>
              </w:rPr>
              <w:t>Calculation approaches</w:t>
            </w:r>
            <w:r w:rsidR="002A2AA6">
              <w:rPr>
                <w:webHidden/>
              </w:rPr>
              <w:tab/>
            </w:r>
            <w:r w:rsidR="002A2AA6">
              <w:rPr>
                <w:webHidden/>
              </w:rPr>
              <w:fldChar w:fldCharType="begin"/>
            </w:r>
            <w:r w:rsidR="002A2AA6">
              <w:rPr>
                <w:webHidden/>
              </w:rPr>
              <w:instrText xml:space="preserve"> PAGEREF _Toc526432193 \h </w:instrText>
            </w:r>
            <w:r w:rsidR="002A2AA6">
              <w:rPr>
                <w:webHidden/>
              </w:rPr>
            </w:r>
            <w:r w:rsidR="002A2AA6">
              <w:rPr>
                <w:webHidden/>
              </w:rPr>
              <w:fldChar w:fldCharType="separate"/>
            </w:r>
            <w:r w:rsidR="00225D67">
              <w:rPr>
                <w:webHidden/>
              </w:rPr>
              <w:t>14</w:t>
            </w:r>
            <w:r w:rsidR="002A2AA6">
              <w:rPr>
                <w:webHidden/>
              </w:rPr>
              <w:fldChar w:fldCharType="end"/>
            </w:r>
          </w:hyperlink>
        </w:p>
        <w:p w:rsidR="002A2AA6" w:rsidRDefault="0086416E">
          <w:pPr>
            <w:pStyle w:val="TOC3"/>
            <w:tabs>
              <w:tab w:val="left" w:pos="1100"/>
            </w:tabs>
            <w:rPr>
              <w:rFonts w:asciiTheme="minorHAnsi" w:eastAsiaTheme="minorEastAsia" w:hAnsiTheme="minorHAnsi" w:cstheme="minorBidi"/>
              <w:sz w:val="22"/>
              <w:szCs w:val="22"/>
              <w:lang w:eastAsia="en-AU"/>
            </w:rPr>
          </w:pPr>
          <w:hyperlink w:anchor="_Toc526432194" w:history="1">
            <w:r w:rsidR="002A2AA6" w:rsidRPr="003F5B22">
              <w:rPr>
                <w:rStyle w:val="Hyperlink"/>
                <w:rFonts w:eastAsiaTheme="majorEastAsia"/>
              </w:rPr>
              <w:t>5.2.3</w:t>
            </w:r>
            <w:r w:rsidR="002A2AA6">
              <w:rPr>
                <w:rFonts w:asciiTheme="minorHAnsi" w:eastAsiaTheme="minorEastAsia" w:hAnsiTheme="minorHAnsi" w:cstheme="minorBidi"/>
                <w:sz w:val="22"/>
                <w:szCs w:val="22"/>
                <w:lang w:eastAsia="en-AU"/>
              </w:rPr>
              <w:tab/>
            </w:r>
            <w:r w:rsidR="002A2AA6" w:rsidRPr="003F5B22">
              <w:rPr>
                <w:rStyle w:val="Hyperlink"/>
                <w:rFonts w:eastAsiaTheme="majorEastAsia"/>
              </w:rPr>
              <w:t>Conclusions</w:t>
            </w:r>
            <w:r w:rsidR="002A2AA6">
              <w:rPr>
                <w:webHidden/>
              </w:rPr>
              <w:tab/>
            </w:r>
            <w:r w:rsidR="002A2AA6">
              <w:rPr>
                <w:webHidden/>
              </w:rPr>
              <w:fldChar w:fldCharType="begin"/>
            </w:r>
            <w:r w:rsidR="002A2AA6">
              <w:rPr>
                <w:webHidden/>
              </w:rPr>
              <w:instrText xml:space="preserve"> PAGEREF _Toc526432194 \h </w:instrText>
            </w:r>
            <w:r w:rsidR="002A2AA6">
              <w:rPr>
                <w:webHidden/>
              </w:rPr>
            </w:r>
            <w:r w:rsidR="002A2AA6">
              <w:rPr>
                <w:webHidden/>
              </w:rPr>
              <w:fldChar w:fldCharType="separate"/>
            </w:r>
            <w:r w:rsidR="00225D67">
              <w:rPr>
                <w:webHidden/>
              </w:rPr>
              <w:t>14</w:t>
            </w:r>
            <w:r w:rsidR="002A2AA6">
              <w:rPr>
                <w:webHidden/>
              </w:rPr>
              <w:fldChar w:fldCharType="end"/>
            </w:r>
          </w:hyperlink>
        </w:p>
        <w:p w:rsidR="002A2AA6" w:rsidRDefault="0086416E">
          <w:pPr>
            <w:pStyle w:val="TOC3"/>
            <w:tabs>
              <w:tab w:val="left" w:pos="1100"/>
            </w:tabs>
            <w:rPr>
              <w:rFonts w:asciiTheme="minorHAnsi" w:eastAsiaTheme="minorEastAsia" w:hAnsiTheme="minorHAnsi" w:cstheme="minorBidi"/>
              <w:sz w:val="22"/>
              <w:szCs w:val="22"/>
              <w:lang w:eastAsia="en-AU"/>
            </w:rPr>
          </w:pPr>
          <w:hyperlink w:anchor="_Toc526432195" w:history="1">
            <w:r w:rsidR="002A2AA6" w:rsidRPr="003F5B22">
              <w:rPr>
                <w:rStyle w:val="Hyperlink"/>
                <w:rFonts w:eastAsiaTheme="majorEastAsia"/>
              </w:rPr>
              <w:t>5.2.4</w:t>
            </w:r>
            <w:r w:rsidR="002A2AA6">
              <w:rPr>
                <w:rFonts w:asciiTheme="minorHAnsi" w:eastAsiaTheme="minorEastAsia" w:hAnsiTheme="minorHAnsi" w:cstheme="minorBidi"/>
                <w:sz w:val="22"/>
                <w:szCs w:val="22"/>
                <w:lang w:eastAsia="en-AU"/>
              </w:rPr>
              <w:tab/>
            </w:r>
            <w:r w:rsidR="002A2AA6" w:rsidRPr="003F5B22">
              <w:rPr>
                <w:rStyle w:val="Hyperlink"/>
                <w:rFonts w:eastAsiaTheme="majorEastAsia"/>
              </w:rPr>
              <w:t>References</w:t>
            </w:r>
            <w:r w:rsidR="002A2AA6">
              <w:rPr>
                <w:webHidden/>
              </w:rPr>
              <w:tab/>
            </w:r>
            <w:r w:rsidR="002A2AA6">
              <w:rPr>
                <w:webHidden/>
              </w:rPr>
              <w:fldChar w:fldCharType="begin"/>
            </w:r>
            <w:r w:rsidR="002A2AA6">
              <w:rPr>
                <w:webHidden/>
              </w:rPr>
              <w:instrText xml:space="preserve"> PAGEREF _Toc526432195 \h </w:instrText>
            </w:r>
            <w:r w:rsidR="002A2AA6">
              <w:rPr>
                <w:webHidden/>
              </w:rPr>
            </w:r>
            <w:r w:rsidR="002A2AA6">
              <w:rPr>
                <w:webHidden/>
              </w:rPr>
              <w:fldChar w:fldCharType="separate"/>
            </w:r>
            <w:r w:rsidR="00225D67">
              <w:rPr>
                <w:webHidden/>
              </w:rPr>
              <w:t>15</w:t>
            </w:r>
            <w:r w:rsidR="002A2AA6">
              <w:rPr>
                <w:webHidden/>
              </w:rPr>
              <w:fldChar w:fldCharType="end"/>
            </w:r>
          </w:hyperlink>
        </w:p>
        <w:p w:rsidR="002A2AA6" w:rsidRDefault="0086416E">
          <w:pPr>
            <w:pStyle w:val="TOC2"/>
            <w:rPr>
              <w:rFonts w:asciiTheme="minorHAnsi" w:eastAsiaTheme="minorEastAsia" w:hAnsiTheme="minorHAnsi" w:cstheme="minorBidi"/>
              <w:b w:val="0"/>
              <w:color w:val="auto"/>
              <w:sz w:val="22"/>
              <w:szCs w:val="22"/>
              <w:lang w:eastAsia="en-AU"/>
            </w:rPr>
          </w:pPr>
          <w:hyperlink w:anchor="_Toc526432196" w:history="1">
            <w:r w:rsidR="002A2AA6" w:rsidRPr="003F5B22">
              <w:rPr>
                <w:rStyle w:val="Hyperlink"/>
                <w:rFonts w:eastAsiaTheme="majorEastAsia"/>
              </w:rPr>
              <w:t>5.3</w:t>
            </w:r>
            <w:r w:rsidR="002A2AA6">
              <w:rPr>
                <w:rFonts w:asciiTheme="minorHAnsi" w:eastAsiaTheme="minorEastAsia" w:hAnsiTheme="minorHAnsi" w:cstheme="minorBidi"/>
                <w:b w:val="0"/>
                <w:color w:val="auto"/>
                <w:sz w:val="22"/>
                <w:szCs w:val="22"/>
                <w:lang w:eastAsia="en-AU"/>
              </w:rPr>
              <w:tab/>
            </w:r>
            <w:r w:rsidR="002A2AA6" w:rsidRPr="003F5B22">
              <w:rPr>
                <w:rStyle w:val="Hyperlink"/>
                <w:rFonts w:eastAsiaTheme="majorEastAsia"/>
              </w:rPr>
              <w:t>Bees</w:t>
            </w:r>
            <w:r w:rsidR="002A2AA6">
              <w:rPr>
                <w:webHidden/>
              </w:rPr>
              <w:tab/>
            </w:r>
            <w:r w:rsidR="002A2AA6">
              <w:rPr>
                <w:webHidden/>
              </w:rPr>
              <w:fldChar w:fldCharType="begin"/>
            </w:r>
            <w:r w:rsidR="002A2AA6">
              <w:rPr>
                <w:webHidden/>
              </w:rPr>
              <w:instrText xml:space="preserve"> PAGEREF _Toc526432196 \h </w:instrText>
            </w:r>
            <w:r w:rsidR="002A2AA6">
              <w:rPr>
                <w:webHidden/>
              </w:rPr>
            </w:r>
            <w:r w:rsidR="002A2AA6">
              <w:rPr>
                <w:webHidden/>
              </w:rPr>
              <w:fldChar w:fldCharType="separate"/>
            </w:r>
            <w:r w:rsidR="00225D67">
              <w:rPr>
                <w:webHidden/>
              </w:rPr>
              <w:t>15</w:t>
            </w:r>
            <w:r w:rsidR="002A2AA6">
              <w:rPr>
                <w:webHidden/>
              </w:rPr>
              <w:fldChar w:fldCharType="end"/>
            </w:r>
          </w:hyperlink>
        </w:p>
        <w:p w:rsidR="002A2AA6" w:rsidRDefault="0086416E">
          <w:pPr>
            <w:pStyle w:val="TOC3"/>
            <w:tabs>
              <w:tab w:val="left" w:pos="1100"/>
            </w:tabs>
            <w:rPr>
              <w:rFonts w:asciiTheme="minorHAnsi" w:eastAsiaTheme="minorEastAsia" w:hAnsiTheme="minorHAnsi" w:cstheme="minorBidi"/>
              <w:sz w:val="22"/>
              <w:szCs w:val="22"/>
              <w:lang w:eastAsia="en-AU"/>
            </w:rPr>
          </w:pPr>
          <w:hyperlink w:anchor="_Toc526432197" w:history="1">
            <w:r w:rsidR="002A2AA6" w:rsidRPr="003F5B22">
              <w:rPr>
                <w:rStyle w:val="Hyperlink"/>
                <w:rFonts w:eastAsiaTheme="majorEastAsia"/>
              </w:rPr>
              <w:t>5.3.1</w:t>
            </w:r>
            <w:r w:rsidR="002A2AA6">
              <w:rPr>
                <w:rFonts w:asciiTheme="minorHAnsi" w:eastAsiaTheme="minorEastAsia" w:hAnsiTheme="minorHAnsi" w:cstheme="minorBidi"/>
                <w:sz w:val="22"/>
                <w:szCs w:val="22"/>
                <w:lang w:eastAsia="en-AU"/>
              </w:rPr>
              <w:tab/>
            </w:r>
            <w:r w:rsidR="002A2AA6" w:rsidRPr="003F5B22">
              <w:rPr>
                <w:rStyle w:val="Hyperlink"/>
                <w:rFonts w:eastAsiaTheme="majorEastAsia"/>
              </w:rPr>
              <w:t>Assessment approach</w:t>
            </w:r>
            <w:r w:rsidR="002A2AA6">
              <w:rPr>
                <w:webHidden/>
              </w:rPr>
              <w:tab/>
            </w:r>
            <w:r w:rsidR="002A2AA6">
              <w:rPr>
                <w:webHidden/>
              </w:rPr>
              <w:fldChar w:fldCharType="begin"/>
            </w:r>
            <w:r w:rsidR="002A2AA6">
              <w:rPr>
                <w:webHidden/>
              </w:rPr>
              <w:instrText xml:space="preserve"> PAGEREF _Toc526432197 \h </w:instrText>
            </w:r>
            <w:r w:rsidR="002A2AA6">
              <w:rPr>
                <w:webHidden/>
              </w:rPr>
            </w:r>
            <w:r w:rsidR="002A2AA6">
              <w:rPr>
                <w:webHidden/>
              </w:rPr>
              <w:fldChar w:fldCharType="separate"/>
            </w:r>
            <w:r w:rsidR="00225D67">
              <w:rPr>
                <w:webHidden/>
              </w:rPr>
              <w:t>15</w:t>
            </w:r>
            <w:r w:rsidR="002A2AA6">
              <w:rPr>
                <w:webHidden/>
              </w:rPr>
              <w:fldChar w:fldCharType="end"/>
            </w:r>
          </w:hyperlink>
        </w:p>
        <w:p w:rsidR="002A2AA6" w:rsidRDefault="0086416E">
          <w:pPr>
            <w:pStyle w:val="TOC3"/>
            <w:tabs>
              <w:tab w:val="left" w:pos="1100"/>
            </w:tabs>
            <w:rPr>
              <w:rFonts w:asciiTheme="minorHAnsi" w:eastAsiaTheme="minorEastAsia" w:hAnsiTheme="minorHAnsi" w:cstheme="minorBidi"/>
              <w:sz w:val="22"/>
              <w:szCs w:val="22"/>
              <w:lang w:eastAsia="en-AU"/>
            </w:rPr>
          </w:pPr>
          <w:hyperlink w:anchor="_Toc526432198" w:history="1">
            <w:r w:rsidR="002A2AA6" w:rsidRPr="003F5B22">
              <w:rPr>
                <w:rStyle w:val="Hyperlink"/>
                <w:rFonts w:eastAsiaTheme="majorEastAsia"/>
              </w:rPr>
              <w:t>5.3.2</w:t>
            </w:r>
            <w:r w:rsidR="002A2AA6">
              <w:rPr>
                <w:rFonts w:asciiTheme="minorHAnsi" w:eastAsiaTheme="minorEastAsia" w:hAnsiTheme="minorHAnsi" w:cstheme="minorBidi"/>
                <w:sz w:val="22"/>
                <w:szCs w:val="22"/>
                <w:lang w:eastAsia="en-AU"/>
              </w:rPr>
              <w:tab/>
            </w:r>
            <w:r w:rsidR="002A2AA6" w:rsidRPr="003F5B22">
              <w:rPr>
                <w:rStyle w:val="Hyperlink"/>
                <w:rFonts w:eastAsiaTheme="majorEastAsia"/>
              </w:rPr>
              <w:t>Calculation approaches</w:t>
            </w:r>
            <w:r w:rsidR="002A2AA6">
              <w:rPr>
                <w:webHidden/>
              </w:rPr>
              <w:tab/>
            </w:r>
            <w:r w:rsidR="002A2AA6">
              <w:rPr>
                <w:webHidden/>
              </w:rPr>
              <w:fldChar w:fldCharType="begin"/>
            </w:r>
            <w:r w:rsidR="002A2AA6">
              <w:rPr>
                <w:webHidden/>
              </w:rPr>
              <w:instrText xml:space="preserve"> PAGEREF _Toc526432198 \h </w:instrText>
            </w:r>
            <w:r w:rsidR="002A2AA6">
              <w:rPr>
                <w:webHidden/>
              </w:rPr>
            </w:r>
            <w:r w:rsidR="002A2AA6">
              <w:rPr>
                <w:webHidden/>
              </w:rPr>
              <w:fldChar w:fldCharType="separate"/>
            </w:r>
            <w:r w:rsidR="00225D67">
              <w:rPr>
                <w:webHidden/>
              </w:rPr>
              <w:t>15</w:t>
            </w:r>
            <w:r w:rsidR="002A2AA6">
              <w:rPr>
                <w:webHidden/>
              </w:rPr>
              <w:fldChar w:fldCharType="end"/>
            </w:r>
          </w:hyperlink>
        </w:p>
        <w:p w:rsidR="002A2AA6" w:rsidRDefault="0086416E">
          <w:pPr>
            <w:pStyle w:val="TOC3"/>
            <w:tabs>
              <w:tab w:val="left" w:pos="1100"/>
            </w:tabs>
            <w:rPr>
              <w:rFonts w:asciiTheme="minorHAnsi" w:eastAsiaTheme="minorEastAsia" w:hAnsiTheme="minorHAnsi" w:cstheme="minorBidi"/>
              <w:sz w:val="22"/>
              <w:szCs w:val="22"/>
              <w:lang w:eastAsia="en-AU"/>
            </w:rPr>
          </w:pPr>
          <w:hyperlink w:anchor="_Toc526432199" w:history="1">
            <w:r w:rsidR="002A2AA6" w:rsidRPr="003F5B22">
              <w:rPr>
                <w:rStyle w:val="Hyperlink"/>
                <w:rFonts w:eastAsiaTheme="majorEastAsia"/>
              </w:rPr>
              <w:t>5.3.3</w:t>
            </w:r>
            <w:r w:rsidR="002A2AA6">
              <w:rPr>
                <w:rFonts w:asciiTheme="minorHAnsi" w:eastAsiaTheme="minorEastAsia" w:hAnsiTheme="minorHAnsi" w:cstheme="minorBidi"/>
                <w:sz w:val="22"/>
                <w:szCs w:val="22"/>
                <w:lang w:eastAsia="en-AU"/>
              </w:rPr>
              <w:tab/>
            </w:r>
            <w:r w:rsidR="002A2AA6" w:rsidRPr="003F5B22">
              <w:rPr>
                <w:rStyle w:val="Hyperlink"/>
                <w:rFonts w:eastAsiaTheme="majorEastAsia"/>
              </w:rPr>
              <w:t>Conclusions</w:t>
            </w:r>
            <w:r w:rsidR="002A2AA6">
              <w:rPr>
                <w:webHidden/>
              </w:rPr>
              <w:tab/>
            </w:r>
            <w:r w:rsidR="002A2AA6">
              <w:rPr>
                <w:webHidden/>
              </w:rPr>
              <w:fldChar w:fldCharType="begin"/>
            </w:r>
            <w:r w:rsidR="002A2AA6">
              <w:rPr>
                <w:webHidden/>
              </w:rPr>
              <w:instrText xml:space="preserve"> PAGEREF _Toc526432199 \h </w:instrText>
            </w:r>
            <w:r w:rsidR="002A2AA6">
              <w:rPr>
                <w:webHidden/>
              </w:rPr>
            </w:r>
            <w:r w:rsidR="002A2AA6">
              <w:rPr>
                <w:webHidden/>
              </w:rPr>
              <w:fldChar w:fldCharType="separate"/>
            </w:r>
            <w:r w:rsidR="00225D67">
              <w:rPr>
                <w:webHidden/>
              </w:rPr>
              <w:t>16</w:t>
            </w:r>
            <w:r w:rsidR="002A2AA6">
              <w:rPr>
                <w:webHidden/>
              </w:rPr>
              <w:fldChar w:fldCharType="end"/>
            </w:r>
          </w:hyperlink>
        </w:p>
        <w:p w:rsidR="002A2AA6" w:rsidRDefault="0086416E">
          <w:pPr>
            <w:pStyle w:val="TOC3"/>
            <w:tabs>
              <w:tab w:val="left" w:pos="1100"/>
            </w:tabs>
            <w:rPr>
              <w:rFonts w:asciiTheme="minorHAnsi" w:eastAsiaTheme="minorEastAsia" w:hAnsiTheme="minorHAnsi" w:cstheme="minorBidi"/>
              <w:sz w:val="22"/>
              <w:szCs w:val="22"/>
              <w:lang w:eastAsia="en-AU"/>
            </w:rPr>
          </w:pPr>
          <w:hyperlink w:anchor="_Toc526432200" w:history="1">
            <w:r w:rsidR="002A2AA6" w:rsidRPr="003F5B22">
              <w:rPr>
                <w:rStyle w:val="Hyperlink"/>
                <w:rFonts w:eastAsiaTheme="majorEastAsia"/>
              </w:rPr>
              <w:t>5.3.4</w:t>
            </w:r>
            <w:r w:rsidR="002A2AA6">
              <w:rPr>
                <w:rFonts w:asciiTheme="minorHAnsi" w:eastAsiaTheme="minorEastAsia" w:hAnsiTheme="minorHAnsi" w:cstheme="minorBidi"/>
                <w:sz w:val="22"/>
                <w:szCs w:val="22"/>
                <w:lang w:eastAsia="en-AU"/>
              </w:rPr>
              <w:tab/>
            </w:r>
            <w:r w:rsidR="002A2AA6" w:rsidRPr="003F5B22">
              <w:rPr>
                <w:rStyle w:val="Hyperlink"/>
                <w:rFonts w:eastAsiaTheme="majorEastAsia"/>
              </w:rPr>
              <w:t>References</w:t>
            </w:r>
            <w:r w:rsidR="002A2AA6">
              <w:rPr>
                <w:webHidden/>
              </w:rPr>
              <w:tab/>
            </w:r>
            <w:r w:rsidR="002A2AA6">
              <w:rPr>
                <w:webHidden/>
              </w:rPr>
              <w:fldChar w:fldCharType="begin"/>
            </w:r>
            <w:r w:rsidR="002A2AA6">
              <w:rPr>
                <w:webHidden/>
              </w:rPr>
              <w:instrText xml:space="preserve"> PAGEREF _Toc526432200 \h </w:instrText>
            </w:r>
            <w:r w:rsidR="002A2AA6">
              <w:rPr>
                <w:webHidden/>
              </w:rPr>
            </w:r>
            <w:r w:rsidR="002A2AA6">
              <w:rPr>
                <w:webHidden/>
              </w:rPr>
              <w:fldChar w:fldCharType="separate"/>
            </w:r>
            <w:r w:rsidR="00225D67">
              <w:rPr>
                <w:webHidden/>
              </w:rPr>
              <w:t>16</w:t>
            </w:r>
            <w:r w:rsidR="002A2AA6">
              <w:rPr>
                <w:webHidden/>
              </w:rPr>
              <w:fldChar w:fldCharType="end"/>
            </w:r>
          </w:hyperlink>
        </w:p>
        <w:p w:rsidR="002A2AA6" w:rsidRDefault="0086416E">
          <w:pPr>
            <w:pStyle w:val="TOC2"/>
            <w:rPr>
              <w:rFonts w:asciiTheme="minorHAnsi" w:eastAsiaTheme="minorEastAsia" w:hAnsiTheme="minorHAnsi" w:cstheme="minorBidi"/>
              <w:b w:val="0"/>
              <w:color w:val="auto"/>
              <w:sz w:val="22"/>
              <w:szCs w:val="22"/>
              <w:lang w:eastAsia="en-AU"/>
            </w:rPr>
          </w:pPr>
          <w:hyperlink w:anchor="_Toc526432201" w:history="1">
            <w:r w:rsidR="002A2AA6" w:rsidRPr="003F5B22">
              <w:rPr>
                <w:rStyle w:val="Hyperlink"/>
                <w:rFonts w:eastAsiaTheme="majorEastAsia"/>
              </w:rPr>
              <w:t>5.4</w:t>
            </w:r>
            <w:r w:rsidR="002A2AA6">
              <w:rPr>
                <w:rFonts w:asciiTheme="minorHAnsi" w:eastAsiaTheme="minorEastAsia" w:hAnsiTheme="minorHAnsi" w:cstheme="minorBidi"/>
                <w:b w:val="0"/>
                <w:color w:val="auto"/>
                <w:sz w:val="22"/>
                <w:szCs w:val="22"/>
                <w:lang w:eastAsia="en-AU"/>
              </w:rPr>
              <w:tab/>
            </w:r>
            <w:r w:rsidR="002A2AA6" w:rsidRPr="003F5B22">
              <w:rPr>
                <w:rStyle w:val="Hyperlink"/>
                <w:rFonts w:eastAsiaTheme="majorEastAsia"/>
              </w:rPr>
              <w:t>Other non-target arthropods</w:t>
            </w:r>
            <w:r w:rsidR="002A2AA6">
              <w:rPr>
                <w:webHidden/>
              </w:rPr>
              <w:tab/>
            </w:r>
            <w:r w:rsidR="002A2AA6">
              <w:rPr>
                <w:webHidden/>
              </w:rPr>
              <w:fldChar w:fldCharType="begin"/>
            </w:r>
            <w:r w:rsidR="002A2AA6">
              <w:rPr>
                <w:webHidden/>
              </w:rPr>
              <w:instrText xml:space="preserve"> PAGEREF _Toc526432201 \h </w:instrText>
            </w:r>
            <w:r w:rsidR="002A2AA6">
              <w:rPr>
                <w:webHidden/>
              </w:rPr>
            </w:r>
            <w:r w:rsidR="002A2AA6">
              <w:rPr>
                <w:webHidden/>
              </w:rPr>
              <w:fldChar w:fldCharType="separate"/>
            </w:r>
            <w:r w:rsidR="00225D67">
              <w:rPr>
                <w:webHidden/>
              </w:rPr>
              <w:t>16</w:t>
            </w:r>
            <w:r w:rsidR="002A2AA6">
              <w:rPr>
                <w:webHidden/>
              </w:rPr>
              <w:fldChar w:fldCharType="end"/>
            </w:r>
          </w:hyperlink>
        </w:p>
        <w:p w:rsidR="002A2AA6" w:rsidRDefault="0086416E">
          <w:pPr>
            <w:pStyle w:val="TOC3"/>
            <w:tabs>
              <w:tab w:val="left" w:pos="1100"/>
            </w:tabs>
            <w:rPr>
              <w:rFonts w:asciiTheme="minorHAnsi" w:eastAsiaTheme="minorEastAsia" w:hAnsiTheme="minorHAnsi" w:cstheme="minorBidi"/>
              <w:sz w:val="22"/>
              <w:szCs w:val="22"/>
              <w:lang w:eastAsia="en-AU"/>
            </w:rPr>
          </w:pPr>
          <w:hyperlink w:anchor="_Toc526432202" w:history="1">
            <w:r w:rsidR="002A2AA6" w:rsidRPr="003F5B22">
              <w:rPr>
                <w:rStyle w:val="Hyperlink"/>
                <w:rFonts w:eastAsiaTheme="majorEastAsia"/>
              </w:rPr>
              <w:t>5.4.1</w:t>
            </w:r>
            <w:r w:rsidR="002A2AA6">
              <w:rPr>
                <w:rFonts w:asciiTheme="minorHAnsi" w:eastAsiaTheme="minorEastAsia" w:hAnsiTheme="minorHAnsi" w:cstheme="minorBidi"/>
                <w:sz w:val="22"/>
                <w:szCs w:val="22"/>
                <w:lang w:eastAsia="en-AU"/>
              </w:rPr>
              <w:tab/>
            </w:r>
            <w:r w:rsidR="002A2AA6" w:rsidRPr="003F5B22">
              <w:rPr>
                <w:rStyle w:val="Hyperlink"/>
                <w:rFonts w:eastAsiaTheme="majorEastAsia"/>
              </w:rPr>
              <w:t>Assessment approach</w:t>
            </w:r>
            <w:r w:rsidR="002A2AA6">
              <w:rPr>
                <w:webHidden/>
              </w:rPr>
              <w:tab/>
            </w:r>
            <w:r w:rsidR="002A2AA6">
              <w:rPr>
                <w:webHidden/>
              </w:rPr>
              <w:fldChar w:fldCharType="begin"/>
            </w:r>
            <w:r w:rsidR="002A2AA6">
              <w:rPr>
                <w:webHidden/>
              </w:rPr>
              <w:instrText xml:space="preserve"> PAGEREF _Toc526432202 \h </w:instrText>
            </w:r>
            <w:r w:rsidR="002A2AA6">
              <w:rPr>
                <w:webHidden/>
              </w:rPr>
            </w:r>
            <w:r w:rsidR="002A2AA6">
              <w:rPr>
                <w:webHidden/>
              </w:rPr>
              <w:fldChar w:fldCharType="separate"/>
            </w:r>
            <w:r w:rsidR="00225D67">
              <w:rPr>
                <w:webHidden/>
              </w:rPr>
              <w:t>16</w:t>
            </w:r>
            <w:r w:rsidR="002A2AA6">
              <w:rPr>
                <w:webHidden/>
              </w:rPr>
              <w:fldChar w:fldCharType="end"/>
            </w:r>
          </w:hyperlink>
        </w:p>
        <w:p w:rsidR="002A2AA6" w:rsidRDefault="0086416E">
          <w:pPr>
            <w:pStyle w:val="TOC3"/>
            <w:tabs>
              <w:tab w:val="left" w:pos="1100"/>
            </w:tabs>
            <w:rPr>
              <w:rFonts w:asciiTheme="minorHAnsi" w:eastAsiaTheme="minorEastAsia" w:hAnsiTheme="minorHAnsi" w:cstheme="minorBidi"/>
              <w:sz w:val="22"/>
              <w:szCs w:val="22"/>
              <w:lang w:eastAsia="en-AU"/>
            </w:rPr>
          </w:pPr>
          <w:hyperlink w:anchor="_Toc526432203" w:history="1">
            <w:r w:rsidR="002A2AA6" w:rsidRPr="003F5B22">
              <w:rPr>
                <w:rStyle w:val="Hyperlink"/>
                <w:rFonts w:eastAsiaTheme="majorEastAsia"/>
              </w:rPr>
              <w:t>5.4.2</w:t>
            </w:r>
            <w:r w:rsidR="002A2AA6">
              <w:rPr>
                <w:rFonts w:asciiTheme="minorHAnsi" w:eastAsiaTheme="minorEastAsia" w:hAnsiTheme="minorHAnsi" w:cstheme="minorBidi"/>
                <w:sz w:val="22"/>
                <w:szCs w:val="22"/>
                <w:lang w:eastAsia="en-AU"/>
              </w:rPr>
              <w:tab/>
            </w:r>
            <w:r w:rsidR="002A2AA6" w:rsidRPr="003F5B22">
              <w:rPr>
                <w:rStyle w:val="Hyperlink"/>
                <w:rFonts w:eastAsiaTheme="majorEastAsia"/>
              </w:rPr>
              <w:t>High level calculation approaches</w:t>
            </w:r>
            <w:r w:rsidR="002A2AA6">
              <w:rPr>
                <w:webHidden/>
              </w:rPr>
              <w:tab/>
            </w:r>
            <w:r w:rsidR="002A2AA6">
              <w:rPr>
                <w:webHidden/>
              </w:rPr>
              <w:fldChar w:fldCharType="begin"/>
            </w:r>
            <w:r w:rsidR="002A2AA6">
              <w:rPr>
                <w:webHidden/>
              </w:rPr>
              <w:instrText xml:space="preserve"> PAGEREF _Toc526432203 \h </w:instrText>
            </w:r>
            <w:r w:rsidR="002A2AA6">
              <w:rPr>
                <w:webHidden/>
              </w:rPr>
            </w:r>
            <w:r w:rsidR="002A2AA6">
              <w:rPr>
                <w:webHidden/>
              </w:rPr>
              <w:fldChar w:fldCharType="separate"/>
            </w:r>
            <w:r w:rsidR="00225D67">
              <w:rPr>
                <w:webHidden/>
              </w:rPr>
              <w:t>17</w:t>
            </w:r>
            <w:r w:rsidR="002A2AA6">
              <w:rPr>
                <w:webHidden/>
              </w:rPr>
              <w:fldChar w:fldCharType="end"/>
            </w:r>
          </w:hyperlink>
        </w:p>
        <w:p w:rsidR="002A2AA6" w:rsidRDefault="0086416E">
          <w:pPr>
            <w:pStyle w:val="TOC3"/>
            <w:tabs>
              <w:tab w:val="left" w:pos="1100"/>
            </w:tabs>
            <w:rPr>
              <w:rFonts w:asciiTheme="minorHAnsi" w:eastAsiaTheme="minorEastAsia" w:hAnsiTheme="minorHAnsi" w:cstheme="minorBidi"/>
              <w:sz w:val="22"/>
              <w:szCs w:val="22"/>
              <w:lang w:eastAsia="en-AU"/>
            </w:rPr>
          </w:pPr>
          <w:hyperlink w:anchor="_Toc526432204" w:history="1">
            <w:r w:rsidR="002A2AA6" w:rsidRPr="003F5B22">
              <w:rPr>
                <w:rStyle w:val="Hyperlink"/>
                <w:rFonts w:eastAsiaTheme="majorEastAsia"/>
              </w:rPr>
              <w:t>5.4.3</w:t>
            </w:r>
            <w:r w:rsidR="002A2AA6">
              <w:rPr>
                <w:rFonts w:asciiTheme="minorHAnsi" w:eastAsiaTheme="minorEastAsia" w:hAnsiTheme="minorHAnsi" w:cstheme="minorBidi"/>
                <w:sz w:val="22"/>
                <w:szCs w:val="22"/>
                <w:lang w:eastAsia="en-AU"/>
              </w:rPr>
              <w:tab/>
            </w:r>
            <w:r w:rsidR="002A2AA6" w:rsidRPr="003F5B22">
              <w:rPr>
                <w:rStyle w:val="Hyperlink"/>
                <w:rFonts w:eastAsiaTheme="majorEastAsia"/>
              </w:rPr>
              <w:t>Conclusions</w:t>
            </w:r>
            <w:r w:rsidR="002A2AA6">
              <w:rPr>
                <w:webHidden/>
              </w:rPr>
              <w:tab/>
            </w:r>
            <w:r w:rsidR="002A2AA6">
              <w:rPr>
                <w:webHidden/>
              </w:rPr>
              <w:fldChar w:fldCharType="begin"/>
            </w:r>
            <w:r w:rsidR="002A2AA6">
              <w:rPr>
                <w:webHidden/>
              </w:rPr>
              <w:instrText xml:space="preserve"> PAGEREF _Toc526432204 \h </w:instrText>
            </w:r>
            <w:r w:rsidR="002A2AA6">
              <w:rPr>
                <w:webHidden/>
              </w:rPr>
            </w:r>
            <w:r w:rsidR="002A2AA6">
              <w:rPr>
                <w:webHidden/>
              </w:rPr>
              <w:fldChar w:fldCharType="separate"/>
            </w:r>
            <w:r w:rsidR="00225D67">
              <w:rPr>
                <w:webHidden/>
              </w:rPr>
              <w:t>17</w:t>
            </w:r>
            <w:r w:rsidR="002A2AA6">
              <w:rPr>
                <w:webHidden/>
              </w:rPr>
              <w:fldChar w:fldCharType="end"/>
            </w:r>
          </w:hyperlink>
        </w:p>
        <w:p w:rsidR="002A2AA6" w:rsidRDefault="0086416E">
          <w:pPr>
            <w:pStyle w:val="TOC3"/>
            <w:tabs>
              <w:tab w:val="left" w:pos="1100"/>
            </w:tabs>
            <w:rPr>
              <w:rFonts w:asciiTheme="minorHAnsi" w:eastAsiaTheme="minorEastAsia" w:hAnsiTheme="minorHAnsi" w:cstheme="minorBidi"/>
              <w:sz w:val="22"/>
              <w:szCs w:val="22"/>
              <w:lang w:eastAsia="en-AU"/>
            </w:rPr>
          </w:pPr>
          <w:hyperlink w:anchor="_Toc526432205" w:history="1">
            <w:r w:rsidR="002A2AA6" w:rsidRPr="003F5B22">
              <w:rPr>
                <w:rStyle w:val="Hyperlink"/>
                <w:rFonts w:eastAsiaTheme="majorEastAsia"/>
              </w:rPr>
              <w:t>5.4.4</w:t>
            </w:r>
            <w:r w:rsidR="002A2AA6">
              <w:rPr>
                <w:rFonts w:asciiTheme="minorHAnsi" w:eastAsiaTheme="minorEastAsia" w:hAnsiTheme="minorHAnsi" w:cstheme="minorBidi"/>
                <w:sz w:val="22"/>
                <w:szCs w:val="22"/>
                <w:lang w:eastAsia="en-AU"/>
              </w:rPr>
              <w:tab/>
            </w:r>
            <w:r w:rsidR="002A2AA6" w:rsidRPr="003F5B22">
              <w:rPr>
                <w:rStyle w:val="Hyperlink"/>
                <w:rFonts w:eastAsiaTheme="majorEastAsia"/>
              </w:rPr>
              <w:t>References</w:t>
            </w:r>
            <w:r w:rsidR="002A2AA6">
              <w:rPr>
                <w:webHidden/>
              </w:rPr>
              <w:tab/>
            </w:r>
            <w:r w:rsidR="002A2AA6">
              <w:rPr>
                <w:webHidden/>
              </w:rPr>
              <w:fldChar w:fldCharType="begin"/>
            </w:r>
            <w:r w:rsidR="002A2AA6">
              <w:rPr>
                <w:webHidden/>
              </w:rPr>
              <w:instrText xml:space="preserve"> PAGEREF _Toc526432205 \h </w:instrText>
            </w:r>
            <w:r w:rsidR="002A2AA6">
              <w:rPr>
                <w:webHidden/>
              </w:rPr>
            </w:r>
            <w:r w:rsidR="002A2AA6">
              <w:rPr>
                <w:webHidden/>
              </w:rPr>
              <w:fldChar w:fldCharType="separate"/>
            </w:r>
            <w:r w:rsidR="00225D67">
              <w:rPr>
                <w:webHidden/>
              </w:rPr>
              <w:t>17</w:t>
            </w:r>
            <w:r w:rsidR="002A2AA6">
              <w:rPr>
                <w:webHidden/>
              </w:rPr>
              <w:fldChar w:fldCharType="end"/>
            </w:r>
          </w:hyperlink>
        </w:p>
        <w:p w:rsidR="002A2AA6" w:rsidRDefault="0086416E">
          <w:pPr>
            <w:pStyle w:val="TOC2"/>
            <w:rPr>
              <w:rFonts w:asciiTheme="minorHAnsi" w:eastAsiaTheme="minorEastAsia" w:hAnsiTheme="minorHAnsi" w:cstheme="minorBidi"/>
              <w:b w:val="0"/>
              <w:color w:val="auto"/>
              <w:sz w:val="22"/>
              <w:szCs w:val="22"/>
              <w:lang w:eastAsia="en-AU"/>
            </w:rPr>
          </w:pPr>
          <w:hyperlink w:anchor="_Toc526432206" w:history="1">
            <w:r w:rsidR="002A2AA6" w:rsidRPr="003F5B22">
              <w:rPr>
                <w:rStyle w:val="Hyperlink"/>
                <w:rFonts w:eastAsiaTheme="majorEastAsia"/>
              </w:rPr>
              <w:t>5.5</w:t>
            </w:r>
            <w:r w:rsidR="002A2AA6">
              <w:rPr>
                <w:rFonts w:asciiTheme="minorHAnsi" w:eastAsiaTheme="minorEastAsia" w:hAnsiTheme="minorHAnsi" w:cstheme="minorBidi"/>
                <w:b w:val="0"/>
                <w:color w:val="auto"/>
                <w:sz w:val="22"/>
                <w:szCs w:val="22"/>
                <w:lang w:eastAsia="en-AU"/>
              </w:rPr>
              <w:tab/>
            </w:r>
            <w:r w:rsidR="002A2AA6" w:rsidRPr="003F5B22">
              <w:rPr>
                <w:rStyle w:val="Hyperlink"/>
                <w:rFonts w:eastAsiaTheme="majorEastAsia"/>
              </w:rPr>
              <w:t>Soil organisms</w:t>
            </w:r>
            <w:r w:rsidR="002A2AA6">
              <w:rPr>
                <w:webHidden/>
              </w:rPr>
              <w:tab/>
            </w:r>
            <w:r w:rsidR="002A2AA6">
              <w:rPr>
                <w:webHidden/>
              </w:rPr>
              <w:fldChar w:fldCharType="begin"/>
            </w:r>
            <w:r w:rsidR="002A2AA6">
              <w:rPr>
                <w:webHidden/>
              </w:rPr>
              <w:instrText xml:space="preserve"> PAGEREF _Toc526432206 \h </w:instrText>
            </w:r>
            <w:r w:rsidR="002A2AA6">
              <w:rPr>
                <w:webHidden/>
              </w:rPr>
            </w:r>
            <w:r w:rsidR="002A2AA6">
              <w:rPr>
                <w:webHidden/>
              </w:rPr>
              <w:fldChar w:fldCharType="separate"/>
            </w:r>
            <w:r w:rsidR="00225D67">
              <w:rPr>
                <w:webHidden/>
              </w:rPr>
              <w:t>17</w:t>
            </w:r>
            <w:r w:rsidR="002A2AA6">
              <w:rPr>
                <w:webHidden/>
              </w:rPr>
              <w:fldChar w:fldCharType="end"/>
            </w:r>
          </w:hyperlink>
        </w:p>
        <w:p w:rsidR="002A2AA6" w:rsidRDefault="0086416E">
          <w:pPr>
            <w:pStyle w:val="TOC3"/>
            <w:tabs>
              <w:tab w:val="left" w:pos="1100"/>
            </w:tabs>
            <w:rPr>
              <w:rFonts w:asciiTheme="minorHAnsi" w:eastAsiaTheme="minorEastAsia" w:hAnsiTheme="minorHAnsi" w:cstheme="minorBidi"/>
              <w:sz w:val="22"/>
              <w:szCs w:val="22"/>
              <w:lang w:eastAsia="en-AU"/>
            </w:rPr>
          </w:pPr>
          <w:hyperlink w:anchor="_Toc526432207" w:history="1">
            <w:r w:rsidR="002A2AA6" w:rsidRPr="003F5B22">
              <w:rPr>
                <w:rStyle w:val="Hyperlink"/>
                <w:rFonts w:eastAsiaTheme="majorEastAsia"/>
              </w:rPr>
              <w:t>5.5.1</w:t>
            </w:r>
            <w:r w:rsidR="002A2AA6">
              <w:rPr>
                <w:rFonts w:asciiTheme="minorHAnsi" w:eastAsiaTheme="minorEastAsia" w:hAnsiTheme="minorHAnsi" w:cstheme="minorBidi"/>
                <w:sz w:val="22"/>
                <w:szCs w:val="22"/>
                <w:lang w:eastAsia="en-AU"/>
              </w:rPr>
              <w:tab/>
            </w:r>
            <w:r w:rsidR="002A2AA6" w:rsidRPr="003F5B22">
              <w:rPr>
                <w:rStyle w:val="Hyperlink"/>
                <w:rFonts w:eastAsiaTheme="majorEastAsia"/>
              </w:rPr>
              <w:t>Assessment approach</w:t>
            </w:r>
            <w:r w:rsidR="002A2AA6">
              <w:rPr>
                <w:webHidden/>
              </w:rPr>
              <w:tab/>
            </w:r>
            <w:r w:rsidR="002A2AA6">
              <w:rPr>
                <w:webHidden/>
              </w:rPr>
              <w:fldChar w:fldCharType="begin"/>
            </w:r>
            <w:r w:rsidR="002A2AA6">
              <w:rPr>
                <w:webHidden/>
              </w:rPr>
              <w:instrText xml:space="preserve"> PAGEREF _Toc526432207 \h </w:instrText>
            </w:r>
            <w:r w:rsidR="002A2AA6">
              <w:rPr>
                <w:webHidden/>
              </w:rPr>
            </w:r>
            <w:r w:rsidR="002A2AA6">
              <w:rPr>
                <w:webHidden/>
              </w:rPr>
              <w:fldChar w:fldCharType="separate"/>
            </w:r>
            <w:r w:rsidR="00225D67">
              <w:rPr>
                <w:webHidden/>
              </w:rPr>
              <w:t>18</w:t>
            </w:r>
            <w:r w:rsidR="002A2AA6">
              <w:rPr>
                <w:webHidden/>
              </w:rPr>
              <w:fldChar w:fldCharType="end"/>
            </w:r>
          </w:hyperlink>
        </w:p>
        <w:p w:rsidR="002A2AA6" w:rsidRDefault="0086416E">
          <w:pPr>
            <w:pStyle w:val="TOC3"/>
            <w:tabs>
              <w:tab w:val="left" w:pos="1100"/>
            </w:tabs>
            <w:rPr>
              <w:rFonts w:asciiTheme="minorHAnsi" w:eastAsiaTheme="minorEastAsia" w:hAnsiTheme="minorHAnsi" w:cstheme="minorBidi"/>
              <w:sz w:val="22"/>
              <w:szCs w:val="22"/>
              <w:lang w:eastAsia="en-AU"/>
            </w:rPr>
          </w:pPr>
          <w:hyperlink w:anchor="_Toc526432208" w:history="1">
            <w:r w:rsidR="002A2AA6" w:rsidRPr="003F5B22">
              <w:rPr>
                <w:rStyle w:val="Hyperlink"/>
                <w:rFonts w:eastAsiaTheme="majorEastAsia"/>
              </w:rPr>
              <w:t>5.5.2</w:t>
            </w:r>
            <w:r w:rsidR="002A2AA6">
              <w:rPr>
                <w:rFonts w:asciiTheme="minorHAnsi" w:eastAsiaTheme="minorEastAsia" w:hAnsiTheme="minorHAnsi" w:cstheme="minorBidi"/>
                <w:sz w:val="22"/>
                <w:szCs w:val="22"/>
                <w:lang w:eastAsia="en-AU"/>
              </w:rPr>
              <w:tab/>
            </w:r>
            <w:r w:rsidR="002A2AA6" w:rsidRPr="003F5B22">
              <w:rPr>
                <w:rStyle w:val="Hyperlink"/>
                <w:rFonts w:eastAsiaTheme="majorEastAsia"/>
              </w:rPr>
              <w:t>Calculation approaches</w:t>
            </w:r>
            <w:r w:rsidR="002A2AA6">
              <w:rPr>
                <w:webHidden/>
              </w:rPr>
              <w:tab/>
            </w:r>
            <w:r w:rsidR="002A2AA6">
              <w:rPr>
                <w:webHidden/>
              </w:rPr>
              <w:fldChar w:fldCharType="begin"/>
            </w:r>
            <w:r w:rsidR="002A2AA6">
              <w:rPr>
                <w:webHidden/>
              </w:rPr>
              <w:instrText xml:space="preserve"> PAGEREF _Toc526432208 \h </w:instrText>
            </w:r>
            <w:r w:rsidR="002A2AA6">
              <w:rPr>
                <w:webHidden/>
              </w:rPr>
            </w:r>
            <w:r w:rsidR="002A2AA6">
              <w:rPr>
                <w:webHidden/>
              </w:rPr>
              <w:fldChar w:fldCharType="separate"/>
            </w:r>
            <w:r w:rsidR="00225D67">
              <w:rPr>
                <w:webHidden/>
              </w:rPr>
              <w:t>18</w:t>
            </w:r>
            <w:r w:rsidR="002A2AA6">
              <w:rPr>
                <w:webHidden/>
              </w:rPr>
              <w:fldChar w:fldCharType="end"/>
            </w:r>
          </w:hyperlink>
        </w:p>
        <w:p w:rsidR="002A2AA6" w:rsidRDefault="0086416E">
          <w:pPr>
            <w:pStyle w:val="TOC3"/>
            <w:tabs>
              <w:tab w:val="left" w:pos="1100"/>
            </w:tabs>
            <w:rPr>
              <w:rFonts w:asciiTheme="minorHAnsi" w:eastAsiaTheme="minorEastAsia" w:hAnsiTheme="minorHAnsi" w:cstheme="minorBidi"/>
              <w:sz w:val="22"/>
              <w:szCs w:val="22"/>
              <w:lang w:eastAsia="en-AU"/>
            </w:rPr>
          </w:pPr>
          <w:hyperlink w:anchor="_Toc526432209" w:history="1">
            <w:r w:rsidR="002A2AA6" w:rsidRPr="003F5B22">
              <w:rPr>
                <w:rStyle w:val="Hyperlink"/>
                <w:rFonts w:eastAsiaTheme="majorEastAsia"/>
              </w:rPr>
              <w:t>5.5.3</w:t>
            </w:r>
            <w:r w:rsidR="002A2AA6">
              <w:rPr>
                <w:rFonts w:asciiTheme="minorHAnsi" w:eastAsiaTheme="minorEastAsia" w:hAnsiTheme="minorHAnsi" w:cstheme="minorBidi"/>
                <w:sz w:val="22"/>
                <w:szCs w:val="22"/>
                <w:lang w:eastAsia="en-AU"/>
              </w:rPr>
              <w:tab/>
            </w:r>
            <w:r w:rsidR="002A2AA6" w:rsidRPr="003F5B22">
              <w:rPr>
                <w:rStyle w:val="Hyperlink"/>
                <w:rFonts w:eastAsiaTheme="majorEastAsia"/>
              </w:rPr>
              <w:t>Conclusions</w:t>
            </w:r>
            <w:r w:rsidR="002A2AA6">
              <w:rPr>
                <w:webHidden/>
              </w:rPr>
              <w:tab/>
            </w:r>
            <w:r w:rsidR="002A2AA6">
              <w:rPr>
                <w:webHidden/>
              </w:rPr>
              <w:fldChar w:fldCharType="begin"/>
            </w:r>
            <w:r w:rsidR="002A2AA6">
              <w:rPr>
                <w:webHidden/>
              </w:rPr>
              <w:instrText xml:space="preserve"> PAGEREF _Toc526432209 \h </w:instrText>
            </w:r>
            <w:r w:rsidR="002A2AA6">
              <w:rPr>
                <w:webHidden/>
              </w:rPr>
            </w:r>
            <w:r w:rsidR="002A2AA6">
              <w:rPr>
                <w:webHidden/>
              </w:rPr>
              <w:fldChar w:fldCharType="separate"/>
            </w:r>
            <w:r w:rsidR="00225D67">
              <w:rPr>
                <w:webHidden/>
              </w:rPr>
              <w:t>19</w:t>
            </w:r>
            <w:r w:rsidR="002A2AA6">
              <w:rPr>
                <w:webHidden/>
              </w:rPr>
              <w:fldChar w:fldCharType="end"/>
            </w:r>
          </w:hyperlink>
        </w:p>
        <w:p w:rsidR="002A2AA6" w:rsidRDefault="0086416E">
          <w:pPr>
            <w:pStyle w:val="TOC3"/>
            <w:tabs>
              <w:tab w:val="left" w:pos="1100"/>
            </w:tabs>
            <w:rPr>
              <w:rFonts w:asciiTheme="minorHAnsi" w:eastAsiaTheme="minorEastAsia" w:hAnsiTheme="minorHAnsi" w:cstheme="minorBidi"/>
              <w:sz w:val="22"/>
              <w:szCs w:val="22"/>
              <w:lang w:eastAsia="en-AU"/>
            </w:rPr>
          </w:pPr>
          <w:hyperlink w:anchor="_Toc526432210" w:history="1">
            <w:r w:rsidR="002A2AA6" w:rsidRPr="003F5B22">
              <w:rPr>
                <w:rStyle w:val="Hyperlink"/>
                <w:rFonts w:eastAsiaTheme="majorEastAsia"/>
              </w:rPr>
              <w:t>5.5.4</w:t>
            </w:r>
            <w:r w:rsidR="002A2AA6">
              <w:rPr>
                <w:rFonts w:asciiTheme="minorHAnsi" w:eastAsiaTheme="minorEastAsia" w:hAnsiTheme="minorHAnsi" w:cstheme="minorBidi"/>
                <w:sz w:val="22"/>
                <w:szCs w:val="22"/>
                <w:lang w:eastAsia="en-AU"/>
              </w:rPr>
              <w:tab/>
            </w:r>
            <w:r w:rsidR="002A2AA6" w:rsidRPr="003F5B22">
              <w:rPr>
                <w:rStyle w:val="Hyperlink"/>
                <w:rFonts w:eastAsiaTheme="majorEastAsia"/>
              </w:rPr>
              <w:t>References</w:t>
            </w:r>
            <w:r w:rsidR="002A2AA6">
              <w:rPr>
                <w:webHidden/>
              </w:rPr>
              <w:tab/>
            </w:r>
            <w:r w:rsidR="002A2AA6">
              <w:rPr>
                <w:webHidden/>
              </w:rPr>
              <w:fldChar w:fldCharType="begin"/>
            </w:r>
            <w:r w:rsidR="002A2AA6">
              <w:rPr>
                <w:webHidden/>
              </w:rPr>
              <w:instrText xml:space="preserve"> PAGEREF _Toc526432210 \h </w:instrText>
            </w:r>
            <w:r w:rsidR="002A2AA6">
              <w:rPr>
                <w:webHidden/>
              </w:rPr>
            </w:r>
            <w:r w:rsidR="002A2AA6">
              <w:rPr>
                <w:webHidden/>
              </w:rPr>
              <w:fldChar w:fldCharType="separate"/>
            </w:r>
            <w:r w:rsidR="00225D67">
              <w:rPr>
                <w:webHidden/>
              </w:rPr>
              <w:t>19</w:t>
            </w:r>
            <w:r w:rsidR="002A2AA6">
              <w:rPr>
                <w:webHidden/>
              </w:rPr>
              <w:fldChar w:fldCharType="end"/>
            </w:r>
          </w:hyperlink>
        </w:p>
        <w:p w:rsidR="002A2AA6" w:rsidRDefault="0086416E">
          <w:pPr>
            <w:pStyle w:val="TOC2"/>
            <w:rPr>
              <w:rFonts w:asciiTheme="minorHAnsi" w:eastAsiaTheme="minorEastAsia" w:hAnsiTheme="minorHAnsi" w:cstheme="minorBidi"/>
              <w:b w:val="0"/>
              <w:color w:val="auto"/>
              <w:sz w:val="22"/>
              <w:szCs w:val="22"/>
              <w:lang w:eastAsia="en-AU"/>
            </w:rPr>
          </w:pPr>
          <w:hyperlink w:anchor="_Toc526432211" w:history="1">
            <w:r w:rsidR="002A2AA6" w:rsidRPr="003F5B22">
              <w:rPr>
                <w:rStyle w:val="Hyperlink"/>
                <w:rFonts w:eastAsiaTheme="majorEastAsia"/>
              </w:rPr>
              <w:t>5.6</w:t>
            </w:r>
            <w:r w:rsidR="002A2AA6">
              <w:rPr>
                <w:rFonts w:asciiTheme="minorHAnsi" w:eastAsiaTheme="minorEastAsia" w:hAnsiTheme="minorHAnsi" w:cstheme="minorBidi"/>
                <w:b w:val="0"/>
                <w:color w:val="auto"/>
                <w:sz w:val="22"/>
                <w:szCs w:val="22"/>
                <w:lang w:eastAsia="en-AU"/>
              </w:rPr>
              <w:tab/>
            </w:r>
            <w:r w:rsidR="002A2AA6" w:rsidRPr="003F5B22">
              <w:rPr>
                <w:rStyle w:val="Hyperlink"/>
                <w:rFonts w:eastAsiaTheme="majorEastAsia"/>
              </w:rPr>
              <w:t>Non-target terrestrial plants</w:t>
            </w:r>
            <w:r w:rsidR="002A2AA6">
              <w:rPr>
                <w:webHidden/>
              </w:rPr>
              <w:tab/>
            </w:r>
            <w:r w:rsidR="002A2AA6">
              <w:rPr>
                <w:webHidden/>
              </w:rPr>
              <w:fldChar w:fldCharType="begin"/>
            </w:r>
            <w:r w:rsidR="002A2AA6">
              <w:rPr>
                <w:webHidden/>
              </w:rPr>
              <w:instrText xml:space="preserve"> PAGEREF _Toc526432211 \h </w:instrText>
            </w:r>
            <w:r w:rsidR="002A2AA6">
              <w:rPr>
                <w:webHidden/>
              </w:rPr>
            </w:r>
            <w:r w:rsidR="002A2AA6">
              <w:rPr>
                <w:webHidden/>
              </w:rPr>
              <w:fldChar w:fldCharType="separate"/>
            </w:r>
            <w:r w:rsidR="00225D67">
              <w:rPr>
                <w:webHidden/>
              </w:rPr>
              <w:t>19</w:t>
            </w:r>
            <w:r w:rsidR="002A2AA6">
              <w:rPr>
                <w:webHidden/>
              </w:rPr>
              <w:fldChar w:fldCharType="end"/>
            </w:r>
          </w:hyperlink>
        </w:p>
        <w:p w:rsidR="002A2AA6" w:rsidRDefault="0086416E">
          <w:pPr>
            <w:pStyle w:val="TOC3"/>
            <w:tabs>
              <w:tab w:val="left" w:pos="1100"/>
            </w:tabs>
            <w:rPr>
              <w:rFonts w:asciiTheme="minorHAnsi" w:eastAsiaTheme="minorEastAsia" w:hAnsiTheme="minorHAnsi" w:cstheme="minorBidi"/>
              <w:sz w:val="22"/>
              <w:szCs w:val="22"/>
              <w:lang w:eastAsia="en-AU"/>
            </w:rPr>
          </w:pPr>
          <w:hyperlink w:anchor="_Toc526432212" w:history="1">
            <w:r w:rsidR="002A2AA6" w:rsidRPr="003F5B22">
              <w:rPr>
                <w:rStyle w:val="Hyperlink"/>
                <w:rFonts w:eastAsiaTheme="majorEastAsia"/>
              </w:rPr>
              <w:t>5.6.1</w:t>
            </w:r>
            <w:r w:rsidR="002A2AA6">
              <w:rPr>
                <w:rFonts w:asciiTheme="minorHAnsi" w:eastAsiaTheme="minorEastAsia" w:hAnsiTheme="minorHAnsi" w:cstheme="minorBidi"/>
                <w:sz w:val="22"/>
                <w:szCs w:val="22"/>
                <w:lang w:eastAsia="en-AU"/>
              </w:rPr>
              <w:tab/>
            </w:r>
            <w:r w:rsidR="002A2AA6" w:rsidRPr="003F5B22">
              <w:rPr>
                <w:rStyle w:val="Hyperlink"/>
                <w:rFonts w:eastAsiaTheme="majorEastAsia"/>
              </w:rPr>
              <w:t>Assessment approach</w:t>
            </w:r>
            <w:r w:rsidR="002A2AA6">
              <w:rPr>
                <w:webHidden/>
              </w:rPr>
              <w:tab/>
            </w:r>
            <w:r w:rsidR="002A2AA6">
              <w:rPr>
                <w:webHidden/>
              </w:rPr>
              <w:fldChar w:fldCharType="begin"/>
            </w:r>
            <w:r w:rsidR="002A2AA6">
              <w:rPr>
                <w:webHidden/>
              </w:rPr>
              <w:instrText xml:space="preserve"> PAGEREF _Toc526432212 \h </w:instrText>
            </w:r>
            <w:r w:rsidR="002A2AA6">
              <w:rPr>
                <w:webHidden/>
              </w:rPr>
            </w:r>
            <w:r w:rsidR="002A2AA6">
              <w:rPr>
                <w:webHidden/>
              </w:rPr>
              <w:fldChar w:fldCharType="separate"/>
            </w:r>
            <w:r w:rsidR="00225D67">
              <w:rPr>
                <w:webHidden/>
              </w:rPr>
              <w:t>19</w:t>
            </w:r>
            <w:r w:rsidR="002A2AA6">
              <w:rPr>
                <w:webHidden/>
              </w:rPr>
              <w:fldChar w:fldCharType="end"/>
            </w:r>
          </w:hyperlink>
        </w:p>
        <w:p w:rsidR="002A2AA6" w:rsidRDefault="0086416E">
          <w:pPr>
            <w:pStyle w:val="TOC3"/>
            <w:tabs>
              <w:tab w:val="left" w:pos="1100"/>
            </w:tabs>
            <w:rPr>
              <w:rFonts w:asciiTheme="minorHAnsi" w:eastAsiaTheme="minorEastAsia" w:hAnsiTheme="minorHAnsi" w:cstheme="minorBidi"/>
              <w:sz w:val="22"/>
              <w:szCs w:val="22"/>
              <w:lang w:eastAsia="en-AU"/>
            </w:rPr>
          </w:pPr>
          <w:hyperlink w:anchor="_Toc526432213" w:history="1">
            <w:r w:rsidR="002A2AA6" w:rsidRPr="003F5B22">
              <w:rPr>
                <w:rStyle w:val="Hyperlink"/>
                <w:rFonts w:eastAsiaTheme="majorEastAsia"/>
              </w:rPr>
              <w:t>5.6.2</w:t>
            </w:r>
            <w:r w:rsidR="002A2AA6">
              <w:rPr>
                <w:rFonts w:asciiTheme="minorHAnsi" w:eastAsiaTheme="minorEastAsia" w:hAnsiTheme="minorHAnsi" w:cstheme="minorBidi"/>
                <w:sz w:val="22"/>
                <w:szCs w:val="22"/>
                <w:lang w:eastAsia="en-AU"/>
              </w:rPr>
              <w:tab/>
            </w:r>
            <w:r w:rsidR="002A2AA6" w:rsidRPr="003F5B22">
              <w:rPr>
                <w:rStyle w:val="Hyperlink"/>
                <w:rFonts w:eastAsiaTheme="majorEastAsia"/>
              </w:rPr>
              <w:t>Calculation approaches</w:t>
            </w:r>
            <w:r w:rsidR="002A2AA6">
              <w:rPr>
                <w:webHidden/>
              </w:rPr>
              <w:tab/>
            </w:r>
            <w:r w:rsidR="002A2AA6">
              <w:rPr>
                <w:webHidden/>
              </w:rPr>
              <w:fldChar w:fldCharType="begin"/>
            </w:r>
            <w:r w:rsidR="002A2AA6">
              <w:rPr>
                <w:webHidden/>
              </w:rPr>
              <w:instrText xml:space="preserve"> PAGEREF _Toc526432213 \h </w:instrText>
            </w:r>
            <w:r w:rsidR="002A2AA6">
              <w:rPr>
                <w:webHidden/>
              </w:rPr>
            </w:r>
            <w:r w:rsidR="002A2AA6">
              <w:rPr>
                <w:webHidden/>
              </w:rPr>
              <w:fldChar w:fldCharType="separate"/>
            </w:r>
            <w:r w:rsidR="00225D67">
              <w:rPr>
                <w:webHidden/>
              </w:rPr>
              <w:t>20</w:t>
            </w:r>
            <w:r w:rsidR="002A2AA6">
              <w:rPr>
                <w:webHidden/>
              </w:rPr>
              <w:fldChar w:fldCharType="end"/>
            </w:r>
          </w:hyperlink>
        </w:p>
        <w:p w:rsidR="002A2AA6" w:rsidRDefault="0086416E">
          <w:pPr>
            <w:pStyle w:val="TOC3"/>
            <w:tabs>
              <w:tab w:val="left" w:pos="1100"/>
            </w:tabs>
            <w:rPr>
              <w:rFonts w:asciiTheme="minorHAnsi" w:eastAsiaTheme="minorEastAsia" w:hAnsiTheme="minorHAnsi" w:cstheme="minorBidi"/>
              <w:sz w:val="22"/>
              <w:szCs w:val="22"/>
              <w:lang w:eastAsia="en-AU"/>
            </w:rPr>
          </w:pPr>
          <w:hyperlink w:anchor="_Toc526432214" w:history="1">
            <w:r w:rsidR="002A2AA6" w:rsidRPr="003F5B22">
              <w:rPr>
                <w:rStyle w:val="Hyperlink"/>
                <w:rFonts w:eastAsiaTheme="majorEastAsia"/>
              </w:rPr>
              <w:t>5.6.3</w:t>
            </w:r>
            <w:r w:rsidR="002A2AA6">
              <w:rPr>
                <w:rFonts w:asciiTheme="minorHAnsi" w:eastAsiaTheme="minorEastAsia" w:hAnsiTheme="minorHAnsi" w:cstheme="minorBidi"/>
                <w:sz w:val="22"/>
                <w:szCs w:val="22"/>
                <w:lang w:eastAsia="en-AU"/>
              </w:rPr>
              <w:tab/>
            </w:r>
            <w:r w:rsidR="002A2AA6" w:rsidRPr="003F5B22">
              <w:rPr>
                <w:rStyle w:val="Hyperlink"/>
                <w:rFonts w:eastAsiaTheme="majorEastAsia"/>
              </w:rPr>
              <w:t>References</w:t>
            </w:r>
            <w:r w:rsidR="002A2AA6">
              <w:rPr>
                <w:webHidden/>
              </w:rPr>
              <w:tab/>
            </w:r>
            <w:r w:rsidR="002A2AA6">
              <w:rPr>
                <w:webHidden/>
              </w:rPr>
              <w:fldChar w:fldCharType="begin"/>
            </w:r>
            <w:r w:rsidR="002A2AA6">
              <w:rPr>
                <w:webHidden/>
              </w:rPr>
              <w:instrText xml:space="preserve"> PAGEREF _Toc526432214 \h </w:instrText>
            </w:r>
            <w:r w:rsidR="002A2AA6">
              <w:rPr>
                <w:webHidden/>
              </w:rPr>
            </w:r>
            <w:r w:rsidR="002A2AA6">
              <w:rPr>
                <w:webHidden/>
              </w:rPr>
              <w:fldChar w:fldCharType="separate"/>
            </w:r>
            <w:r w:rsidR="00225D67">
              <w:rPr>
                <w:webHidden/>
              </w:rPr>
              <w:t>20</w:t>
            </w:r>
            <w:r w:rsidR="002A2AA6">
              <w:rPr>
                <w:webHidden/>
              </w:rPr>
              <w:fldChar w:fldCharType="end"/>
            </w:r>
          </w:hyperlink>
        </w:p>
        <w:p w:rsidR="002A2AA6" w:rsidRDefault="0086416E">
          <w:pPr>
            <w:pStyle w:val="TOC2"/>
            <w:rPr>
              <w:rFonts w:asciiTheme="minorHAnsi" w:eastAsiaTheme="minorEastAsia" w:hAnsiTheme="minorHAnsi" w:cstheme="minorBidi"/>
              <w:b w:val="0"/>
              <w:color w:val="auto"/>
              <w:sz w:val="22"/>
              <w:szCs w:val="22"/>
              <w:lang w:eastAsia="en-AU"/>
            </w:rPr>
          </w:pPr>
          <w:hyperlink w:anchor="_Toc526432215" w:history="1">
            <w:r w:rsidR="002A2AA6" w:rsidRPr="003F5B22">
              <w:rPr>
                <w:rStyle w:val="Hyperlink"/>
                <w:rFonts w:eastAsiaTheme="majorEastAsia"/>
              </w:rPr>
              <w:t>5.7</w:t>
            </w:r>
            <w:r w:rsidR="002A2AA6">
              <w:rPr>
                <w:rFonts w:asciiTheme="minorHAnsi" w:eastAsiaTheme="minorEastAsia" w:hAnsiTheme="minorHAnsi" w:cstheme="minorBidi"/>
                <w:b w:val="0"/>
                <w:color w:val="auto"/>
                <w:sz w:val="22"/>
                <w:szCs w:val="22"/>
                <w:lang w:eastAsia="en-AU"/>
              </w:rPr>
              <w:tab/>
            </w:r>
            <w:r w:rsidR="002A2AA6" w:rsidRPr="003F5B22">
              <w:rPr>
                <w:rStyle w:val="Hyperlink"/>
                <w:rFonts w:eastAsiaTheme="majorEastAsia"/>
              </w:rPr>
              <w:t>Spray drift</w:t>
            </w:r>
            <w:r w:rsidR="002A2AA6">
              <w:rPr>
                <w:webHidden/>
              </w:rPr>
              <w:tab/>
            </w:r>
            <w:r w:rsidR="002A2AA6">
              <w:rPr>
                <w:webHidden/>
              </w:rPr>
              <w:fldChar w:fldCharType="begin"/>
            </w:r>
            <w:r w:rsidR="002A2AA6">
              <w:rPr>
                <w:webHidden/>
              </w:rPr>
              <w:instrText xml:space="preserve"> PAGEREF _Toc526432215 \h </w:instrText>
            </w:r>
            <w:r w:rsidR="002A2AA6">
              <w:rPr>
                <w:webHidden/>
              </w:rPr>
            </w:r>
            <w:r w:rsidR="002A2AA6">
              <w:rPr>
                <w:webHidden/>
              </w:rPr>
              <w:fldChar w:fldCharType="separate"/>
            </w:r>
            <w:r w:rsidR="00225D67">
              <w:rPr>
                <w:webHidden/>
              </w:rPr>
              <w:t>20</w:t>
            </w:r>
            <w:r w:rsidR="002A2AA6">
              <w:rPr>
                <w:webHidden/>
              </w:rPr>
              <w:fldChar w:fldCharType="end"/>
            </w:r>
          </w:hyperlink>
        </w:p>
        <w:p w:rsidR="002A2AA6" w:rsidRDefault="0086416E">
          <w:pPr>
            <w:pStyle w:val="TOC2"/>
            <w:rPr>
              <w:rFonts w:asciiTheme="minorHAnsi" w:eastAsiaTheme="minorEastAsia" w:hAnsiTheme="minorHAnsi" w:cstheme="minorBidi"/>
              <w:b w:val="0"/>
              <w:color w:val="auto"/>
              <w:sz w:val="22"/>
              <w:szCs w:val="22"/>
              <w:lang w:eastAsia="en-AU"/>
            </w:rPr>
          </w:pPr>
          <w:hyperlink w:anchor="_Toc526432216" w:history="1">
            <w:r w:rsidR="002A2AA6" w:rsidRPr="003F5B22">
              <w:rPr>
                <w:rStyle w:val="Hyperlink"/>
                <w:rFonts w:eastAsiaTheme="majorEastAsia"/>
              </w:rPr>
              <w:t>5.8</w:t>
            </w:r>
            <w:r w:rsidR="002A2AA6">
              <w:rPr>
                <w:rFonts w:asciiTheme="minorHAnsi" w:eastAsiaTheme="minorEastAsia" w:hAnsiTheme="minorHAnsi" w:cstheme="minorBidi"/>
                <w:b w:val="0"/>
                <w:color w:val="auto"/>
                <w:sz w:val="22"/>
                <w:szCs w:val="22"/>
                <w:lang w:eastAsia="en-AU"/>
              </w:rPr>
              <w:tab/>
            </w:r>
            <w:r w:rsidR="002A2AA6" w:rsidRPr="003F5B22">
              <w:rPr>
                <w:rStyle w:val="Hyperlink"/>
                <w:rFonts w:eastAsiaTheme="majorEastAsia"/>
              </w:rPr>
              <w:t>Runoff modelling</w:t>
            </w:r>
            <w:r w:rsidR="002A2AA6">
              <w:rPr>
                <w:webHidden/>
              </w:rPr>
              <w:tab/>
            </w:r>
            <w:r w:rsidR="002A2AA6">
              <w:rPr>
                <w:webHidden/>
              </w:rPr>
              <w:fldChar w:fldCharType="begin"/>
            </w:r>
            <w:r w:rsidR="002A2AA6">
              <w:rPr>
                <w:webHidden/>
              </w:rPr>
              <w:instrText xml:space="preserve"> PAGEREF _Toc526432216 \h </w:instrText>
            </w:r>
            <w:r w:rsidR="002A2AA6">
              <w:rPr>
                <w:webHidden/>
              </w:rPr>
            </w:r>
            <w:r w:rsidR="002A2AA6">
              <w:rPr>
                <w:webHidden/>
              </w:rPr>
              <w:fldChar w:fldCharType="separate"/>
            </w:r>
            <w:r w:rsidR="00225D67">
              <w:rPr>
                <w:webHidden/>
              </w:rPr>
              <w:t>21</w:t>
            </w:r>
            <w:r w:rsidR="002A2AA6">
              <w:rPr>
                <w:webHidden/>
              </w:rPr>
              <w:fldChar w:fldCharType="end"/>
            </w:r>
          </w:hyperlink>
        </w:p>
        <w:p w:rsidR="002A2AA6" w:rsidRDefault="0086416E">
          <w:pPr>
            <w:pStyle w:val="TOC3"/>
            <w:tabs>
              <w:tab w:val="left" w:pos="1100"/>
            </w:tabs>
            <w:rPr>
              <w:rFonts w:asciiTheme="minorHAnsi" w:eastAsiaTheme="minorEastAsia" w:hAnsiTheme="minorHAnsi" w:cstheme="minorBidi"/>
              <w:sz w:val="22"/>
              <w:szCs w:val="22"/>
              <w:lang w:eastAsia="en-AU"/>
            </w:rPr>
          </w:pPr>
          <w:hyperlink w:anchor="_Toc526432217" w:history="1">
            <w:r w:rsidR="002A2AA6" w:rsidRPr="003F5B22">
              <w:rPr>
                <w:rStyle w:val="Hyperlink"/>
                <w:rFonts w:eastAsiaTheme="majorEastAsia"/>
              </w:rPr>
              <w:t>5.8.1</w:t>
            </w:r>
            <w:r w:rsidR="002A2AA6">
              <w:rPr>
                <w:rFonts w:asciiTheme="minorHAnsi" w:eastAsiaTheme="minorEastAsia" w:hAnsiTheme="minorHAnsi" w:cstheme="minorBidi"/>
                <w:sz w:val="22"/>
                <w:szCs w:val="22"/>
                <w:lang w:eastAsia="en-AU"/>
              </w:rPr>
              <w:tab/>
            </w:r>
            <w:r w:rsidR="002A2AA6" w:rsidRPr="003F5B22">
              <w:rPr>
                <w:rStyle w:val="Hyperlink"/>
                <w:rFonts w:eastAsiaTheme="majorEastAsia"/>
              </w:rPr>
              <w:t>Tier 1 runoff assessment</w:t>
            </w:r>
            <w:r w:rsidR="002A2AA6">
              <w:rPr>
                <w:webHidden/>
              </w:rPr>
              <w:tab/>
            </w:r>
            <w:r w:rsidR="002A2AA6">
              <w:rPr>
                <w:webHidden/>
              </w:rPr>
              <w:fldChar w:fldCharType="begin"/>
            </w:r>
            <w:r w:rsidR="002A2AA6">
              <w:rPr>
                <w:webHidden/>
              </w:rPr>
              <w:instrText xml:space="preserve"> PAGEREF _Toc526432217 \h </w:instrText>
            </w:r>
            <w:r w:rsidR="002A2AA6">
              <w:rPr>
                <w:webHidden/>
              </w:rPr>
            </w:r>
            <w:r w:rsidR="002A2AA6">
              <w:rPr>
                <w:webHidden/>
              </w:rPr>
              <w:fldChar w:fldCharType="separate"/>
            </w:r>
            <w:r w:rsidR="00225D67">
              <w:rPr>
                <w:webHidden/>
              </w:rPr>
              <w:t>23</w:t>
            </w:r>
            <w:r w:rsidR="002A2AA6">
              <w:rPr>
                <w:webHidden/>
              </w:rPr>
              <w:fldChar w:fldCharType="end"/>
            </w:r>
          </w:hyperlink>
        </w:p>
        <w:p w:rsidR="002A2AA6" w:rsidRDefault="0086416E">
          <w:pPr>
            <w:pStyle w:val="TOC3"/>
            <w:tabs>
              <w:tab w:val="left" w:pos="1100"/>
            </w:tabs>
            <w:rPr>
              <w:rFonts w:asciiTheme="minorHAnsi" w:eastAsiaTheme="minorEastAsia" w:hAnsiTheme="minorHAnsi" w:cstheme="minorBidi"/>
              <w:sz w:val="22"/>
              <w:szCs w:val="22"/>
              <w:lang w:eastAsia="en-AU"/>
            </w:rPr>
          </w:pPr>
          <w:hyperlink w:anchor="_Toc526432218" w:history="1">
            <w:r w:rsidR="002A2AA6" w:rsidRPr="003F5B22">
              <w:rPr>
                <w:rStyle w:val="Hyperlink"/>
                <w:rFonts w:eastAsiaTheme="majorEastAsia"/>
              </w:rPr>
              <w:t>5.8.2</w:t>
            </w:r>
            <w:r w:rsidR="002A2AA6">
              <w:rPr>
                <w:rFonts w:asciiTheme="minorHAnsi" w:eastAsiaTheme="minorEastAsia" w:hAnsiTheme="minorHAnsi" w:cstheme="minorBidi"/>
                <w:sz w:val="22"/>
                <w:szCs w:val="22"/>
                <w:lang w:eastAsia="en-AU"/>
              </w:rPr>
              <w:tab/>
            </w:r>
            <w:r w:rsidR="002A2AA6" w:rsidRPr="003F5B22">
              <w:rPr>
                <w:rStyle w:val="Hyperlink"/>
                <w:rFonts w:eastAsiaTheme="majorEastAsia"/>
              </w:rPr>
              <w:t>Tier 2 runoff assessment</w:t>
            </w:r>
            <w:r w:rsidR="002A2AA6">
              <w:rPr>
                <w:webHidden/>
              </w:rPr>
              <w:tab/>
            </w:r>
            <w:r w:rsidR="002A2AA6">
              <w:rPr>
                <w:webHidden/>
              </w:rPr>
              <w:fldChar w:fldCharType="begin"/>
            </w:r>
            <w:r w:rsidR="002A2AA6">
              <w:rPr>
                <w:webHidden/>
              </w:rPr>
              <w:instrText xml:space="preserve"> PAGEREF _Toc526432218 \h </w:instrText>
            </w:r>
            <w:r w:rsidR="002A2AA6">
              <w:rPr>
                <w:webHidden/>
              </w:rPr>
            </w:r>
            <w:r w:rsidR="002A2AA6">
              <w:rPr>
                <w:webHidden/>
              </w:rPr>
              <w:fldChar w:fldCharType="separate"/>
            </w:r>
            <w:r w:rsidR="00225D67">
              <w:rPr>
                <w:webHidden/>
              </w:rPr>
              <w:t>23</w:t>
            </w:r>
            <w:r w:rsidR="002A2AA6">
              <w:rPr>
                <w:webHidden/>
              </w:rPr>
              <w:fldChar w:fldCharType="end"/>
            </w:r>
          </w:hyperlink>
        </w:p>
        <w:p w:rsidR="002A2AA6" w:rsidRDefault="0086416E">
          <w:pPr>
            <w:pStyle w:val="TOC2"/>
            <w:rPr>
              <w:rFonts w:asciiTheme="minorHAnsi" w:eastAsiaTheme="minorEastAsia" w:hAnsiTheme="minorHAnsi" w:cstheme="minorBidi"/>
              <w:b w:val="0"/>
              <w:color w:val="auto"/>
              <w:sz w:val="22"/>
              <w:szCs w:val="22"/>
              <w:lang w:eastAsia="en-AU"/>
            </w:rPr>
          </w:pPr>
          <w:hyperlink w:anchor="_Toc526432219" w:history="1">
            <w:r w:rsidR="002A2AA6" w:rsidRPr="003F5B22">
              <w:rPr>
                <w:rStyle w:val="Hyperlink"/>
                <w:rFonts w:eastAsiaTheme="majorEastAsia"/>
              </w:rPr>
              <w:t>5.9</w:t>
            </w:r>
            <w:r w:rsidR="002A2AA6">
              <w:rPr>
                <w:rFonts w:asciiTheme="minorHAnsi" w:eastAsiaTheme="minorEastAsia" w:hAnsiTheme="minorHAnsi" w:cstheme="minorBidi"/>
                <w:b w:val="0"/>
                <w:color w:val="auto"/>
                <w:sz w:val="22"/>
                <w:szCs w:val="22"/>
                <w:lang w:eastAsia="en-AU"/>
              </w:rPr>
              <w:tab/>
            </w:r>
            <w:r w:rsidR="002A2AA6" w:rsidRPr="003F5B22">
              <w:rPr>
                <w:rStyle w:val="Hyperlink"/>
                <w:rFonts w:eastAsiaTheme="majorEastAsia"/>
              </w:rPr>
              <w:t>Sediment runoff</w:t>
            </w:r>
            <w:r w:rsidR="002A2AA6">
              <w:rPr>
                <w:webHidden/>
              </w:rPr>
              <w:tab/>
            </w:r>
            <w:r w:rsidR="002A2AA6">
              <w:rPr>
                <w:webHidden/>
              </w:rPr>
              <w:fldChar w:fldCharType="begin"/>
            </w:r>
            <w:r w:rsidR="002A2AA6">
              <w:rPr>
                <w:webHidden/>
              </w:rPr>
              <w:instrText xml:space="preserve"> PAGEREF _Toc526432219 \h </w:instrText>
            </w:r>
            <w:r w:rsidR="002A2AA6">
              <w:rPr>
                <w:webHidden/>
              </w:rPr>
            </w:r>
            <w:r w:rsidR="002A2AA6">
              <w:rPr>
                <w:webHidden/>
              </w:rPr>
              <w:fldChar w:fldCharType="separate"/>
            </w:r>
            <w:r w:rsidR="00225D67">
              <w:rPr>
                <w:webHidden/>
              </w:rPr>
              <w:t>25</w:t>
            </w:r>
            <w:r w:rsidR="002A2AA6">
              <w:rPr>
                <w:webHidden/>
              </w:rPr>
              <w:fldChar w:fldCharType="end"/>
            </w:r>
          </w:hyperlink>
        </w:p>
        <w:p w:rsidR="002A2AA6" w:rsidRDefault="0086416E">
          <w:pPr>
            <w:pStyle w:val="TOC2"/>
            <w:rPr>
              <w:rFonts w:asciiTheme="minorHAnsi" w:eastAsiaTheme="minorEastAsia" w:hAnsiTheme="minorHAnsi" w:cstheme="minorBidi"/>
              <w:b w:val="0"/>
              <w:color w:val="auto"/>
              <w:sz w:val="22"/>
              <w:szCs w:val="22"/>
              <w:lang w:eastAsia="en-AU"/>
            </w:rPr>
          </w:pPr>
          <w:hyperlink w:anchor="_Toc526432220" w:history="1">
            <w:r w:rsidR="002A2AA6" w:rsidRPr="003F5B22">
              <w:rPr>
                <w:rStyle w:val="Hyperlink"/>
                <w:rFonts w:eastAsiaTheme="majorEastAsia"/>
              </w:rPr>
              <w:t>5.10</w:t>
            </w:r>
            <w:r w:rsidR="002A2AA6">
              <w:rPr>
                <w:rFonts w:asciiTheme="minorHAnsi" w:eastAsiaTheme="minorEastAsia" w:hAnsiTheme="minorHAnsi" w:cstheme="minorBidi"/>
                <w:b w:val="0"/>
                <w:color w:val="auto"/>
                <w:sz w:val="22"/>
                <w:szCs w:val="22"/>
                <w:lang w:eastAsia="en-AU"/>
              </w:rPr>
              <w:tab/>
            </w:r>
            <w:r w:rsidR="002A2AA6" w:rsidRPr="003F5B22">
              <w:rPr>
                <w:rStyle w:val="Hyperlink"/>
                <w:rFonts w:eastAsiaTheme="majorEastAsia"/>
              </w:rPr>
              <w:t>Sediment of a pond</w:t>
            </w:r>
            <w:r w:rsidR="002A2AA6">
              <w:rPr>
                <w:webHidden/>
              </w:rPr>
              <w:tab/>
            </w:r>
            <w:r w:rsidR="002A2AA6">
              <w:rPr>
                <w:webHidden/>
              </w:rPr>
              <w:fldChar w:fldCharType="begin"/>
            </w:r>
            <w:r w:rsidR="002A2AA6">
              <w:rPr>
                <w:webHidden/>
              </w:rPr>
              <w:instrText xml:space="preserve"> PAGEREF _Toc526432220 \h </w:instrText>
            </w:r>
            <w:r w:rsidR="002A2AA6">
              <w:rPr>
                <w:webHidden/>
              </w:rPr>
            </w:r>
            <w:r w:rsidR="002A2AA6">
              <w:rPr>
                <w:webHidden/>
              </w:rPr>
              <w:fldChar w:fldCharType="separate"/>
            </w:r>
            <w:r w:rsidR="00225D67">
              <w:rPr>
                <w:webHidden/>
              </w:rPr>
              <w:t>25</w:t>
            </w:r>
            <w:r w:rsidR="002A2AA6">
              <w:rPr>
                <w:webHidden/>
              </w:rPr>
              <w:fldChar w:fldCharType="end"/>
            </w:r>
          </w:hyperlink>
        </w:p>
        <w:p w:rsidR="002A2AA6" w:rsidRDefault="0086416E">
          <w:pPr>
            <w:pStyle w:val="TOC2"/>
            <w:rPr>
              <w:rFonts w:asciiTheme="minorHAnsi" w:eastAsiaTheme="minorEastAsia" w:hAnsiTheme="minorHAnsi" w:cstheme="minorBidi"/>
              <w:b w:val="0"/>
              <w:color w:val="auto"/>
              <w:sz w:val="22"/>
              <w:szCs w:val="22"/>
              <w:lang w:eastAsia="en-AU"/>
            </w:rPr>
          </w:pPr>
          <w:hyperlink w:anchor="_Toc526432221" w:history="1">
            <w:r w:rsidR="002A2AA6" w:rsidRPr="003F5B22">
              <w:rPr>
                <w:rStyle w:val="Hyperlink"/>
                <w:rFonts w:eastAsiaTheme="majorEastAsia"/>
              </w:rPr>
              <w:t>5.11</w:t>
            </w:r>
            <w:r w:rsidR="002A2AA6">
              <w:rPr>
                <w:rFonts w:asciiTheme="minorHAnsi" w:eastAsiaTheme="minorEastAsia" w:hAnsiTheme="minorHAnsi" w:cstheme="minorBidi"/>
                <w:b w:val="0"/>
                <w:color w:val="auto"/>
                <w:sz w:val="22"/>
                <w:szCs w:val="22"/>
                <w:lang w:eastAsia="en-AU"/>
              </w:rPr>
              <w:tab/>
            </w:r>
            <w:r w:rsidR="002A2AA6" w:rsidRPr="003F5B22">
              <w:rPr>
                <w:rStyle w:val="Hyperlink"/>
                <w:rFonts w:eastAsiaTheme="majorEastAsia"/>
              </w:rPr>
              <w:t>Groundwater</w:t>
            </w:r>
            <w:r w:rsidR="002A2AA6">
              <w:rPr>
                <w:webHidden/>
              </w:rPr>
              <w:tab/>
            </w:r>
            <w:r w:rsidR="002A2AA6">
              <w:rPr>
                <w:webHidden/>
              </w:rPr>
              <w:fldChar w:fldCharType="begin"/>
            </w:r>
            <w:r w:rsidR="002A2AA6">
              <w:rPr>
                <w:webHidden/>
              </w:rPr>
              <w:instrText xml:space="preserve"> PAGEREF _Toc526432221 \h </w:instrText>
            </w:r>
            <w:r w:rsidR="002A2AA6">
              <w:rPr>
                <w:webHidden/>
              </w:rPr>
            </w:r>
            <w:r w:rsidR="002A2AA6">
              <w:rPr>
                <w:webHidden/>
              </w:rPr>
              <w:fldChar w:fldCharType="separate"/>
            </w:r>
            <w:r w:rsidR="00225D67">
              <w:rPr>
                <w:webHidden/>
              </w:rPr>
              <w:t>25</w:t>
            </w:r>
            <w:r w:rsidR="002A2AA6">
              <w:rPr>
                <w:webHidden/>
              </w:rPr>
              <w:fldChar w:fldCharType="end"/>
            </w:r>
          </w:hyperlink>
        </w:p>
        <w:p w:rsidR="002A2AA6" w:rsidRDefault="0086416E">
          <w:pPr>
            <w:pStyle w:val="TOC1"/>
            <w:rPr>
              <w:rFonts w:asciiTheme="minorHAnsi" w:eastAsiaTheme="minorEastAsia" w:hAnsiTheme="minorHAnsi" w:cstheme="minorBidi"/>
              <w:b w:val="0"/>
              <w:bCs w:val="0"/>
              <w:caps w:val="0"/>
              <w:color w:val="auto"/>
              <w:kern w:val="0"/>
              <w:szCs w:val="22"/>
              <w:lang w:eastAsia="en-AU"/>
            </w:rPr>
          </w:pPr>
          <w:hyperlink w:anchor="_Toc526432222" w:history="1">
            <w:r w:rsidR="002A2AA6" w:rsidRPr="003F5B22">
              <w:rPr>
                <w:rStyle w:val="Hyperlink"/>
                <w:rFonts w:eastAsiaTheme="majorEastAsia"/>
              </w:rPr>
              <w:t>6</w:t>
            </w:r>
            <w:r w:rsidR="002A2AA6">
              <w:rPr>
                <w:rFonts w:asciiTheme="minorHAnsi" w:eastAsiaTheme="minorEastAsia" w:hAnsiTheme="minorHAnsi" w:cstheme="minorBidi"/>
                <w:b w:val="0"/>
                <w:bCs w:val="0"/>
                <w:caps w:val="0"/>
                <w:color w:val="auto"/>
                <w:kern w:val="0"/>
                <w:szCs w:val="22"/>
                <w:lang w:eastAsia="en-AU"/>
              </w:rPr>
              <w:tab/>
            </w:r>
            <w:r w:rsidR="002A2AA6" w:rsidRPr="003F5B22">
              <w:rPr>
                <w:rStyle w:val="Hyperlink"/>
                <w:rFonts w:eastAsiaTheme="majorEastAsia"/>
              </w:rPr>
              <w:t>Effects and associated risks of combination product to non-target species</w:t>
            </w:r>
            <w:r w:rsidR="002A2AA6">
              <w:rPr>
                <w:webHidden/>
              </w:rPr>
              <w:tab/>
            </w:r>
            <w:r w:rsidR="002A2AA6">
              <w:rPr>
                <w:webHidden/>
              </w:rPr>
              <w:fldChar w:fldCharType="begin"/>
            </w:r>
            <w:r w:rsidR="002A2AA6">
              <w:rPr>
                <w:webHidden/>
              </w:rPr>
              <w:instrText xml:space="preserve"> PAGEREF _Toc526432222 \h </w:instrText>
            </w:r>
            <w:r w:rsidR="002A2AA6">
              <w:rPr>
                <w:webHidden/>
              </w:rPr>
            </w:r>
            <w:r w:rsidR="002A2AA6">
              <w:rPr>
                <w:webHidden/>
              </w:rPr>
              <w:fldChar w:fldCharType="separate"/>
            </w:r>
            <w:r w:rsidR="00225D67">
              <w:rPr>
                <w:webHidden/>
              </w:rPr>
              <w:t>26</w:t>
            </w:r>
            <w:r w:rsidR="002A2AA6">
              <w:rPr>
                <w:webHidden/>
              </w:rPr>
              <w:fldChar w:fldCharType="end"/>
            </w:r>
          </w:hyperlink>
        </w:p>
        <w:p w:rsidR="002A2AA6" w:rsidRDefault="0086416E">
          <w:pPr>
            <w:pStyle w:val="TOC1"/>
            <w:rPr>
              <w:rFonts w:asciiTheme="minorHAnsi" w:eastAsiaTheme="minorEastAsia" w:hAnsiTheme="minorHAnsi" w:cstheme="minorBidi"/>
              <w:b w:val="0"/>
              <w:bCs w:val="0"/>
              <w:caps w:val="0"/>
              <w:color w:val="auto"/>
              <w:kern w:val="0"/>
              <w:szCs w:val="22"/>
              <w:lang w:eastAsia="en-AU"/>
            </w:rPr>
          </w:pPr>
          <w:hyperlink w:anchor="_Toc526432223" w:history="1">
            <w:r w:rsidR="002A2AA6" w:rsidRPr="003F5B22">
              <w:rPr>
                <w:rStyle w:val="Hyperlink"/>
                <w:rFonts w:eastAsiaTheme="majorEastAsia"/>
              </w:rPr>
              <w:t>7</w:t>
            </w:r>
            <w:r w:rsidR="002A2AA6">
              <w:rPr>
                <w:rFonts w:asciiTheme="minorHAnsi" w:eastAsiaTheme="minorEastAsia" w:hAnsiTheme="minorHAnsi" w:cstheme="minorBidi"/>
                <w:b w:val="0"/>
                <w:bCs w:val="0"/>
                <w:caps w:val="0"/>
                <w:color w:val="auto"/>
                <w:kern w:val="0"/>
                <w:szCs w:val="22"/>
                <w:lang w:eastAsia="en-AU"/>
              </w:rPr>
              <w:tab/>
            </w:r>
            <w:r w:rsidR="002A2AA6" w:rsidRPr="003F5B22">
              <w:rPr>
                <w:rStyle w:val="Hyperlink"/>
                <w:rFonts w:eastAsiaTheme="majorEastAsia"/>
              </w:rPr>
              <w:t>Overall Conclusions</w:t>
            </w:r>
            <w:r w:rsidR="002A2AA6">
              <w:rPr>
                <w:webHidden/>
              </w:rPr>
              <w:tab/>
            </w:r>
            <w:r w:rsidR="002A2AA6">
              <w:rPr>
                <w:webHidden/>
              </w:rPr>
              <w:fldChar w:fldCharType="begin"/>
            </w:r>
            <w:r w:rsidR="002A2AA6">
              <w:rPr>
                <w:webHidden/>
              </w:rPr>
              <w:instrText xml:space="preserve"> PAGEREF _Toc526432223 \h </w:instrText>
            </w:r>
            <w:r w:rsidR="002A2AA6">
              <w:rPr>
                <w:webHidden/>
              </w:rPr>
            </w:r>
            <w:r w:rsidR="002A2AA6">
              <w:rPr>
                <w:webHidden/>
              </w:rPr>
              <w:fldChar w:fldCharType="separate"/>
            </w:r>
            <w:r w:rsidR="00225D67">
              <w:rPr>
                <w:webHidden/>
              </w:rPr>
              <w:t>27</w:t>
            </w:r>
            <w:r w:rsidR="002A2AA6">
              <w:rPr>
                <w:webHidden/>
              </w:rPr>
              <w:fldChar w:fldCharType="end"/>
            </w:r>
          </w:hyperlink>
        </w:p>
        <w:p w:rsidR="002A2AA6" w:rsidRDefault="0086416E">
          <w:pPr>
            <w:pStyle w:val="TOC1"/>
            <w:rPr>
              <w:rFonts w:asciiTheme="minorHAnsi" w:eastAsiaTheme="minorEastAsia" w:hAnsiTheme="minorHAnsi" w:cstheme="minorBidi"/>
              <w:b w:val="0"/>
              <w:bCs w:val="0"/>
              <w:caps w:val="0"/>
              <w:color w:val="auto"/>
              <w:kern w:val="0"/>
              <w:szCs w:val="22"/>
              <w:lang w:eastAsia="en-AU"/>
            </w:rPr>
          </w:pPr>
          <w:hyperlink w:anchor="_Toc526432224" w:history="1">
            <w:r w:rsidR="002A2AA6" w:rsidRPr="003F5B22">
              <w:rPr>
                <w:rStyle w:val="Hyperlink"/>
                <w:rFonts w:eastAsiaTheme="majorEastAsia"/>
              </w:rPr>
              <w:t>8</w:t>
            </w:r>
            <w:r w:rsidR="002A2AA6">
              <w:rPr>
                <w:rFonts w:asciiTheme="minorHAnsi" w:eastAsiaTheme="minorEastAsia" w:hAnsiTheme="minorHAnsi" w:cstheme="minorBidi"/>
                <w:b w:val="0"/>
                <w:bCs w:val="0"/>
                <w:caps w:val="0"/>
                <w:color w:val="auto"/>
                <w:kern w:val="0"/>
                <w:szCs w:val="22"/>
                <w:lang w:eastAsia="en-AU"/>
              </w:rPr>
              <w:tab/>
            </w:r>
            <w:r w:rsidR="002A2AA6" w:rsidRPr="003F5B22">
              <w:rPr>
                <w:rStyle w:val="Hyperlink"/>
                <w:rFonts w:eastAsiaTheme="majorEastAsia"/>
              </w:rPr>
              <w:t>Labelling recommendations</w:t>
            </w:r>
            <w:r w:rsidR="002A2AA6">
              <w:rPr>
                <w:webHidden/>
              </w:rPr>
              <w:tab/>
            </w:r>
            <w:r w:rsidR="002A2AA6">
              <w:rPr>
                <w:webHidden/>
              </w:rPr>
              <w:fldChar w:fldCharType="begin"/>
            </w:r>
            <w:r w:rsidR="002A2AA6">
              <w:rPr>
                <w:webHidden/>
              </w:rPr>
              <w:instrText xml:space="preserve"> PAGEREF _Toc526432224 \h </w:instrText>
            </w:r>
            <w:r w:rsidR="002A2AA6">
              <w:rPr>
                <w:webHidden/>
              </w:rPr>
            </w:r>
            <w:r w:rsidR="002A2AA6">
              <w:rPr>
                <w:webHidden/>
              </w:rPr>
              <w:fldChar w:fldCharType="separate"/>
            </w:r>
            <w:r w:rsidR="00225D67">
              <w:rPr>
                <w:webHidden/>
              </w:rPr>
              <w:t>28</w:t>
            </w:r>
            <w:r w:rsidR="002A2AA6">
              <w:rPr>
                <w:webHidden/>
              </w:rPr>
              <w:fldChar w:fldCharType="end"/>
            </w:r>
          </w:hyperlink>
        </w:p>
        <w:p w:rsidR="002A2AA6" w:rsidRDefault="0086416E">
          <w:pPr>
            <w:pStyle w:val="TOC1"/>
            <w:rPr>
              <w:rFonts w:asciiTheme="minorHAnsi" w:eastAsiaTheme="minorEastAsia" w:hAnsiTheme="minorHAnsi" w:cstheme="minorBidi"/>
              <w:b w:val="0"/>
              <w:bCs w:val="0"/>
              <w:caps w:val="0"/>
              <w:color w:val="auto"/>
              <w:kern w:val="0"/>
              <w:szCs w:val="22"/>
              <w:lang w:eastAsia="en-AU"/>
            </w:rPr>
          </w:pPr>
          <w:hyperlink w:anchor="_Toc526432225" w:history="1">
            <w:r w:rsidR="002A2AA6" w:rsidRPr="003F5B22">
              <w:rPr>
                <w:rStyle w:val="Hyperlink"/>
                <w:rFonts w:eastAsiaTheme="majorEastAsia"/>
              </w:rPr>
              <w:t>9</w:t>
            </w:r>
            <w:r w:rsidR="002A2AA6">
              <w:rPr>
                <w:rFonts w:asciiTheme="minorHAnsi" w:eastAsiaTheme="minorEastAsia" w:hAnsiTheme="minorHAnsi" w:cstheme="minorBidi"/>
                <w:b w:val="0"/>
                <w:bCs w:val="0"/>
                <w:caps w:val="0"/>
                <w:color w:val="auto"/>
                <w:kern w:val="0"/>
                <w:szCs w:val="22"/>
                <w:lang w:eastAsia="en-AU"/>
              </w:rPr>
              <w:tab/>
            </w:r>
            <w:r w:rsidR="002A2AA6" w:rsidRPr="003F5B22">
              <w:rPr>
                <w:rStyle w:val="Hyperlink"/>
                <w:rFonts w:eastAsiaTheme="majorEastAsia"/>
              </w:rPr>
              <w:t>References</w:t>
            </w:r>
            <w:r w:rsidR="002A2AA6">
              <w:rPr>
                <w:webHidden/>
              </w:rPr>
              <w:tab/>
            </w:r>
            <w:r w:rsidR="002A2AA6">
              <w:rPr>
                <w:webHidden/>
              </w:rPr>
              <w:fldChar w:fldCharType="begin"/>
            </w:r>
            <w:r w:rsidR="002A2AA6">
              <w:rPr>
                <w:webHidden/>
              </w:rPr>
              <w:instrText xml:space="preserve"> PAGEREF _Toc526432225 \h </w:instrText>
            </w:r>
            <w:r w:rsidR="002A2AA6">
              <w:rPr>
                <w:webHidden/>
              </w:rPr>
            </w:r>
            <w:r w:rsidR="002A2AA6">
              <w:rPr>
                <w:webHidden/>
              </w:rPr>
              <w:fldChar w:fldCharType="separate"/>
            </w:r>
            <w:r w:rsidR="00225D67">
              <w:rPr>
                <w:webHidden/>
              </w:rPr>
              <w:t>29</w:t>
            </w:r>
            <w:r w:rsidR="002A2AA6">
              <w:rPr>
                <w:webHidden/>
              </w:rPr>
              <w:fldChar w:fldCharType="end"/>
            </w:r>
          </w:hyperlink>
        </w:p>
        <w:p w:rsidR="002A2AA6" w:rsidRDefault="0086416E">
          <w:pPr>
            <w:pStyle w:val="TOC1"/>
            <w:rPr>
              <w:rFonts w:asciiTheme="minorHAnsi" w:eastAsiaTheme="minorEastAsia" w:hAnsiTheme="minorHAnsi" w:cstheme="minorBidi"/>
              <w:b w:val="0"/>
              <w:bCs w:val="0"/>
              <w:caps w:val="0"/>
              <w:color w:val="auto"/>
              <w:kern w:val="0"/>
              <w:szCs w:val="22"/>
              <w:lang w:eastAsia="en-AU"/>
            </w:rPr>
          </w:pPr>
          <w:hyperlink w:anchor="_Toc526432226" w:history="1">
            <w:r w:rsidR="002A2AA6" w:rsidRPr="003F5B22">
              <w:rPr>
                <w:rStyle w:val="Hyperlink"/>
                <w:rFonts w:eastAsiaTheme="majorEastAsia"/>
              </w:rPr>
              <w:t>10</w:t>
            </w:r>
            <w:r w:rsidR="002A2AA6">
              <w:rPr>
                <w:rFonts w:asciiTheme="minorHAnsi" w:eastAsiaTheme="minorEastAsia" w:hAnsiTheme="minorHAnsi" w:cstheme="minorBidi"/>
                <w:b w:val="0"/>
                <w:bCs w:val="0"/>
                <w:caps w:val="0"/>
                <w:color w:val="auto"/>
                <w:kern w:val="0"/>
                <w:szCs w:val="22"/>
                <w:lang w:eastAsia="en-AU"/>
              </w:rPr>
              <w:tab/>
            </w:r>
            <w:r w:rsidR="002A2AA6" w:rsidRPr="003F5B22">
              <w:rPr>
                <w:rStyle w:val="Hyperlink"/>
                <w:rFonts w:eastAsiaTheme="majorEastAsia"/>
              </w:rPr>
              <w:t>Abbreviations</w:t>
            </w:r>
            <w:r w:rsidR="002A2AA6">
              <w:rPr>
                <w:webHidden/>
              </w:rPr>
              <w:tab/>
            </w:r>
            <w:r w:rsidR="002A2AA6">
              <w:rPr>
                <w:webHidden/>
              </w:rPr>
              <w:fldChar w:fldCharType="begin"/>
            </w:r>
            <w:r w:rsidR="002A2AA6">
              <w:rPr>
                <w:webHidden/>
              </w:rPr>
              <w:instrText xml:space="preserve"> PAGEREF _Toc526432226 \h </w:instrText>
            </w:r>
            <w:r w:rsidR="002A2AA6">
              <w:rPr>
                <w:webHidden/>
              </w:rPr>
            </w:r>
            <w:r w:rsidR="002A2AA6">
              <w:rPr>
                <w:webHidden/>
              </w:rPr>
              <w:fldChar w:fldCharType="separate"/>
            </w:r>
            <w:r w:rsidR="00225D67">
              <w:rPr>
                <w:webHidden/>
              </w:rPr>
              <w:t>30</w:t>
            </w:r>
            <w:r w:rsidR="002A2AA6">
              <w:rPr>
                <w:webHidden/>
              </w:rPr>
              <w:fldChar w:fldCharType="end"/>
            </w:r>
          </w:hyperlink>
        </w:p>
        <w:p w:rsidR="002A2AA6" w:rsidRDefault="0086416E">
          <w:pPr>
            <w:pStyle w:val="TOC1"/>
            <w:rPr>
              <w:rFonts w:asciiTheme="minorHAnsi" w:eastAsiaTheme="minorEastAsia" w:hAnsiTheme="minorHAnsi" w:cstheme="minorBidi"/>
              <w:b w:val="0"/>
              <w:bCs w:val="0"/>
              <w:caps w:val="0"/>
              <w:color w:val="auto"/>
              <w:kern w:val="0"/>
              <w:szCs w:val="22"/>
              <w:lang w:eastAsia="en-AU"/>
            </w:rPr>
          </w:pPr>
          <w:hyperlink w:anchor="_Toc526432227" w:history="1">
            <w:r w:rsidR="002A2AA6" w:rsidRPr="003F5B22">
              <w:rPr>
                <w:rStyle w:val="Hyperlink"/>
                <w:rFonts w:eastAsiaTheme="majorEastAsia"/>
              </w:rPr>
              <w:t>11</w:t>
            </w:r>
            <w:r w:rsidR="002A2AA6">
              <w:rPr>
                <w:rFonts w:asciiTheme="minorHAnsi" w:eastAsiaTheme="minorEastAsia" w:hAnsiTheme="minorHAnsi" w:cstheme="minorBidi"/>
                <w:b w:val="0"/>
                <w:bCs w:val="0"/>
                <w:caps w:val="0"/>
                <w:color w:val="auto"/>
                <w:kern w:val="0"/>
                <w:szCs w:val="22"/>
                <w:lang w:eastAsia="en-AU"/>
              </w:rPr>
              <w:tab/>
            </w:r>
            <w:r w:rsidR="002A2AA6" w:rsidRPr="003F5B22">
              <w:rPr>
                <w:rStyle w:val="Hyperlink"/>
                <w:rFonts w:eastAsiaTheme="majorEastAsia"/>
              </w:rPr>
              <w:t>Glossary</w:t>
            </w:r>
            <w:r w:rsidR="002A2AA6">
              <w:rPr>
                <w:webHidden/>
              </w:rPr>
              <w:tab/>
            </w:r>
            <w:r w:rsidR="002A2AA6">
              <w:rPr>
                <w:webHidden/>
              </w:rPr>
              <w:fldChar w:fldCharType="begin"/>
            </w:r>
            <w:r w:rsidR="002A2AA6">
              <w:rPr>
                <w:webHidden/>
              </w:rPr>
              <w:instrText xml:space="preserve"> PAGEREF _Toc526432227 \h </w:instrText>
            </w:r>
            <w:r w:rsidR="002A2AA6">
              <w:rPr>
                <w:webHidden/>
              </w:rPr>
            </w:r>
            <w:r w:rsidR="002A2AA6">
              <w:rPr>
                <w:webHidden/>
              </w:rPr>
              <w:fldChar w:fldCharType="separate"/>
            </w:r>
            <w:r w:rsidR="00225D67">
              <w:rPr>
                <w:webHidden/>
              </w:rPr>
              <w:t>32</w:t>
            </w:r>
            <w:r w:rsidR="002A2AA6">
              <w:rPr>
                <w:webHidden/>
              </w:rPr>
              <w:fldChar w:fldCharType="end"/>
            </w:r>
          </w:hyperlink>
        </w:p>
        <w:p w:rsidR="002A2AA6" w:rsidRDefault="0086416E">
          <w:pPr>
            <w:pStyle w:val="TOC1"/>
            <w:rPr>
              <w:rFonts w:asciiTheme="minorHAnsi" w:eastAsiaTheme="minorEastAsia" w:hAnsiTheme="minorHAnsi" w:cstheme="minorBidi"/>
              <w:b w:val="0"/>
              <w:bCs w:val="0"/>
              <w:caps w:val="0"/>
              <w:color w:val="auto"/>
              <w:kern w:val="0"/>
              <w:szCs w:val="22"/>
              <w:lang w:eastAsia="en-AU"/>
            </w:rPr>
          </w:pPr>
          <w:hyperlink w:anchor="_Toc526432228" w:history="1">
            <w:r w:rsidR="002A2AA6" w:rsidRPr="003F5B22">
              <w:rPr>
                <w:rStyle w:val="Hyperlink"/>
                <w:rFonts w:eastAsiaTheme="majorEastAsia"/>
              </w:rPr>
              <w:t>1</w:t>
            </w:r>
            <w:r w:rsidR="002A2AA6">
              <w:rPr>
                <w:rFonts w:asciiTheme="minorHAnsi" w:eastAsiaTheme="minorEastAsia" w:hAnsiTheme="minorHAnsi" w:cstheme="minorBidi"/>
                <w:b w:val="0"/>
                <w:bCs w:val="0"/>
                <w:caps w:val="0"/>
                <w:color w:val="auto"/>
                <w:kern w:val="0"/>
                <w:szCs w:val="22"/>
                <w:lang w:eastAsia="en-AU"/>
              </w:rPr>
              <w:tab/>
            </w:r>
            <w:r w:rsidR="002A2AA6" w:rsidRPr="003F5B22">
              <w:rPr>
                <w:rStyle w:val="Hyperlink"/>
                <w:rFonts w:eastAsiaTheme="majorEastAsia"/>
              </w:rPr>
              <w:t>APpendix A – Terrestrial Vertebrates</w:t>
            </w:r>
            <w:r w:rsidR="002A2AA6">
              <w:rPr>
                <w:webHidden/>
              </w:rPr>
              <w:tab/>
            </w:r>
            <w:r w:rsidR="002A2AA6">
              <w:rPr>
                <w:webHidden/>
              </w:rPr>
              <w:fldChar w:fldCharType="begin"/>
            </w:r>
            <w:r w:rsidR="002A2AA6">
              <w:rPr>
                <w:webHidden/>
              </w:rPr>
              <w:instrText xml:space="preserve"> PAGEREF _Toc526432228 \h </w:instrText>
            </w:r>
            <w:r w:rsidR="002A2AA6">
              <w:rPr>
                <w:webHidden/>
              </w:rPr>
            </w:r>
            <w:r w:rsidR="002A2AA6">
              <w:rPr>
                <w:webHidden/>
              </w:rPr>
              <w:fldChar w:fldCharType="separate"/>
            </w:r>
            <w:r w:rsidR="00225D67">
              <w:rPr>
                <w:webHidden/>
              </w:rPr>
              <w:t>34</w:t>
            </w:r>
            <w:r w:rsidR="002A2AA6">
              <w:rPr>
                <w:webHidden/>
              </w:rPr>
              <w:fldChar w:fldCharType="end"/>
            </w:r>
          </w:hyperlink>
        </w:p>
        <w:p w:rsidR="002A2AA6" w:rsidRDefault="0086416E">
          <w:pPr>
            <w:pStyle w:val="TOC2"/>
            <w:rPr>
              <w:rFonts w:asciiTheme="minorHAnsi" w:eastAsiaTheme="minorEastAsia" w:hAnsiTheme="minorHAnsi" w:cstheme="minorBidi"/>
              <w:b w:val="0"/>
              <w:color w:val="auto"/>
              <w:sz w:val="22"/>
              <w:szCs w:val="22"/>
              <w:lang w:eastAsia="en-AU"/>
            </w:rPr>
          </w:pPr>
          <w:hyperlink w:anchor="_Toc526432229" w:history="1">
            <w:r w:rsidR="002A2AA6" w:rsidRPr="003F5B22">
              <w:rPr>
                <w:rStyle w:val="Hyperlink"/>
                <w:rFonts w:eastAsiaTheme="majorEastAsia"/>
              </w:rPr>
              <w:t>1.1</w:t>
            </w:r>
            <w:r w:rsidR="002A2AA6">
              <w:rPr>
                <w:rFonts w:asciiTheme="minorHAnsi" w:eastAsiaTheme="minorEastAsia" w:hAnsiTheme="minorHAnsi" w:cstheme="minorBidi"/>
                <w:b w:val="0"/>
                <w:color w:val="auto"/>
                <w:sz w:val="22"/>
                <w:szCs w:val="22"/>
                <w:lang w:eastAsia="en-AU"/>
              </w:rPr>
              <w:tab/>
            </w:r>
            <w:r w:rsidR="002A2AA6" w:rsidRPr="003F5B22">
              <w:rPr>
                <w:rStyle w:val="Hyperlink"/>
                <w:rFonts w:eastAsiaTheme="majorEastAsia"/>
              </w:rPr>
              <w:t>Introduction</w:t>
            </w:r>
            <w:r w:rsidR="002A2AA6">
              <w:rPr>
                <w:webHidden/>
              </w:rPr>
              <w:tab/>
            </w:r>
            <w:r w:rsidR="002A2AA6">
              <w:rPr>
                <w:webHidden/>
              </w:rPr>
              <w:fldChar w:fldCharType="begin"/>
            </w:r>
            <w:r w:rsidR="002A2AA6">
              <w:rPr>
                <w:webHidden/>
              </w:rPr>
              <w:instrText xml:space="preserve"> PAGEREF _Toc526432229 \h </w:instrText>
            </w:r>
            <w:r w:rsidR="002A2AA6">
              <w:rPr>
                <w:webHidden/>
              </w:rPr>
            </w:r>
            <w:r w:rsidR="002A2AA6">
              <w:rPr>
                <w:webHidden/>
              </w:rPr>
              <w:fldChar w:fldCharType="separate"/>
            </w:r>
            <w:r w:rsidR="00225D67">
              <w:rPr>
                <w:webHidden/>
              </w:rPr>
              <w:t>34</w:t>
            </w:r>
            <w:r w:rsidR="002A2AA6">
              <w:rPr>
                <w:webHidden/>
              </w:rPr>
              <w:fldChar w:fldCharType="end"/>
            </w:r>
          </w:hyperlink>
        </w:p>
        <w:p w:rsidR="002A2AA6" w:rsidRDefault="0086416E">
          <w:pPr>
            <w:pStyle w:val="TOC2"/>
            <w:rPr>
              <w:rFonts w:asciiTheme="minorHAnsi" w:eastAsiaTheme="minorEastAsia" w:hAnsiTheme="minorHAnsi" w:cstheme="minorBidi"/>
              <w:b w:val="0"/>
              <w:color w:val="auto"/>
              <w:sz w:val="22"/>
              <w:szCs w:val="22"/>
              <w:lang w:eastAsia="en-AU"/>
            </w:rPr>
          </w:pPr>
          <w:hyperlink w:anchor="_Toc526432230" w:history="1">
            <w:r w:rsidR="002A2AA6" w:rsidRPr="003F5B22">
              <w:rPr>
                <w:rStyle w:val="Hyperlink"/>
                <w:rFonts w:eastAsiaTheme="majorEastAsia"/>
              </w:rPr>
              <w:t>1.2</w:t>
            </w:r>
            <w:r w:rsidR="002A2AA6">
              <w:rPr>
                <w:rFonts w:asciiTheme="minorHAnsi" w:eastAsiaTheme="minorEastAsia" w:hAnsiTheme="minorHAnsi" w:cstheme="minorBidi"/>
                <w:b w:val="0"/>
                <w:color w:val="auto"/>
                <w:sz w:val="22"/>
                <w:szCs w:val="22"/>
                <w:lang w:eastAsia="en-AU"/>
              </w:rPr>
              <w:tab/>
            </w:r>
            <w:r w:rsidR="002A2AA6" w:rsidRPr="003F5B22">
              <w:rPr>
                <w:rStyle w:val="Hyperlink"/>
                <w:rFonts w:eastAsiaTheme="majorEastAsia"/>
              </w:rPr>
              <w:t>Toxicity figures</w:t>
            </w:r>
            <w:r w:rsidR="002A2AA6">
              <w:rPr>
                <w:webHidden/>
              </w:rPr>
              <w:tab/>
            </w:r>
            <w:r w:rsidR="002A2AA6">
              <w:rPr>
                <w:webHidden/>
              </w:rPr>
              <w:fldChar w:fldCharType="begin"/>
            </w:r>
            <w:r w:rsidR="002A2AA6">
              <w:rPr>
                <w:webHidden/>
              </w:rPr>
              <w:instrText xml:space="preserve"> PAGEREF _Toc526432230 \h </w:instrText>
            </w:r>
            <w:r w:rsidR="002A2AA6">
              <w:rPr>
                <w:webHidden/>
              </w:rPr>
            </w:r>
            <w:r w:rsidR="002A2AA6">
              <w:rPr>
                <w:webHidden/>
              </w:rPr>
              <w:fldChar w:fldCharType="separate"/>
            </w:r>
            <w:r w:rsidR="00225D67">
              <w:rPr>
                <w:webHidden/>
              </w:rPr>
              <w:t>34</w:t>
            </w:r>
            <w:r w:rsidR="002A2AA6">
              <w:rPr>
                <w:webHidden/>
              </w:rPr>
              <w:fldChar w:fldCharType="end"/>
            </w:r>
          </w:hyperlink>
        </w:p>
        <w:p w:rsidR="002A2AA6" w:rsidRDefault="0086416E">
          <w:pPr>
            <w:pStyle w:val="TOC2"/>
            <w:rPr>
              <w:rFonts w:asciiTheme="minorHAnsi" w:eastAsiaTheme="minorEastAsia" w:hAnsiTheme="minorHAnsi" w:cstheme="minorBidi"/>
              <w:b w:val="0"/>
              <w:color w:val="auto"/>
              <w:sz w:val="22"/>
              <w:szCs w:val="22"/>
              <w:lang w:eastAsia="en-AU"/>
            </w:rPr>
          </w:pPr>
          <w:hyperlink w:anchor="_Toc526432231" w:history="1">
            <w:r w:rsidR="002A2AA6" w:rsidRPr="003F5B22">
              <w:rPr>
                <w:rStyle w:val="Hyperlink"/>
                <w:rFonts w:eastAsiaTheme="majorEastAsia"/>
              </w:rPr>
              <w:t>1.3</w:t>
            </w:r>
            <w:r w:rsidR="002A2AA6">
              <w:rPr>
                <w:rFonts w:asciiTheme="minorHAnsi" w:eastAsiaTheme="minorEastAsia" w:hAnsiTheme="minorHAnsi" w:cstheme="minorBidi"/>
                <w:b w:val="0"/>
                <w:color w:val="auto"/>
                <w:sz w:val="22"/>
                <w:szCs w:val="22"/>
                <w:lang w:eastAsia="en-AU"/>
              </w:rPr>
              <w:tab/>
            </w:r>
            <w:r w:rsidR="002A2AA6" w:rsidRPr="003F5B22">
              <w:rPr>
                <w:rStyle w:val="Hyperlink"/>
                <w:rFonts w:eastAsiaTheme="majorEastAsia"/>
              </w:rPr>
              <w:t>Risk assessment</w:t>
            </w:r>
            <w:r w:rsidR="002A2AA6">
              <w:rPr>
                <w:webHidden/>
              </w:rPr>
              <w:tab/>
            </w:r>
            <w:r w:rsidR="002A2AA6">
              <w:rPr>
                <w:webHidden/>
              </w:rPr>
              <w:fldChar w:fldCharType="begin"/>
            </w:r>
            <w:r w:rsidR="002A2AA6">
              <w:rPr>
                <w:webHidden/>
              </w:rPr>
              <w:instrText xml:space="preserve"> PAGEREF _Toc526432231 \h </w:instrText>
            </w:r>
            <w:r w:rsidR="002A2AA6">
              <w:rPr>
                <w:webHidden/>
              </w:rPr>
            </w:r>
            <w:r w:rsidR="002A2AA6">
              <w:rPr>
                <w:webHidden/>
              </w:rPr>
              <w:fldChar w:fldCharType="separate"/>
            </w:r>
            <w:r w:rsidR="00225D67">
              <w:rPr>
                <w:webHidden/>
              </w:rPr>
              <w:t>35</w:t>
            </w:r>
            <w:r w:rsidR="002A2AA6">
              <w:rPr>
                <w:webHidden/>
              </w:rPr>
              <w:fldChar w:fldCharType="end"/>
            </w:r>
          </w:hyperlink>
        </w:p>
        <w:p w:rsidR="002A2AA6" w:rsidRDefault="0086416E">
          <w:pPr>
            <w:pStyle w:val="TOC3"/>
            <w:tabs>
              <w:tab w:val="left" w:pos="1100"/>
            </w:tabs>
            <w:rPr>
              <w:rFonts w:asciiTheme="minorHAnsi" w:eastAsiaTheme="minorEastAsia" w:hAnsiTheme="minorHAnsi" w:cstheme="minorBidi"/>
              <w:sz w:val="22"/>
              <w:szCs w:val="22"/>
              <w:lang w:eastAsia="en-AU"/>
            </w:rPr>
          </w:pPr>
          <w:hyperlink w:anchor="_Toc526432232" w:history="1">
            <w:r w:rsidR="002A2AA6" w:rsidRPr="003F5B22">
              <w:rPr>
                <w:rStyle w:val="Hyperlink"/>
                <w:rFonts w:eastAsiaTheme="majorEastAsia"/>
              </w:rPr>
              <w:t>1.3.1</w:t>
            </w:r>
            <w:r w:rsidR="002A2AA6">
              <w:rPr>
                <w:rFonts w:asciiTheme="minorHAnsi" w:eastAsiaTheme="minorEastAsia" w:hAnsiTheme="minorHAnsi" w:cstheme="minorBidi"/>
                <w:sz w:val="22"/>
                <w:szCs w:val="22"/>
                <w:lang w:eastAsia="en-AU"/>
              </w:rPr>
              <w:tab/>
            </w:r>
            <w:r w:rsidR="002A2AA6" w:rsidRPr="003F5B22">
              <w:rPr>
                <w:rStyle w:val="Hyperlink"/>
                <w:rFonts w:eastAsiaTheme="majorEastAsia"/>
              </w:rPr>
              <w:t>Home garden uses</w:t>
            </w:r>
            <w:r w:rsidR="002A2AA6">
              <w:rPr>
                <w:webHidden/>
              </w:rPr>
              <w:tab/>
            </w:r>
            <w:r w:rsidR="002A2AA6">
              <w:rPr>
                <w:webHidden/>
              </w:rPr>
              <w:fldChar w:fldCharType="begin"/>
            </w:r>
            <w:r w:rsidR="002A2AA6">
              <w:rPr>
                <w:webHidden/>
              </w:rPr>
              <w:instrText xml:space="preserve"> PAGEREF _Toc526432232 \h </w:instrText>
            </w:r>
            <w:r w:rsidR="002A2AA6">
              <w:rPr>
                <w:webHidden/>
              </w:rPr>
            </w:r>
            <w:r w:rsidR="002A2AA6">
              <w:rPr>
                <w:webHidden/>
              </w:rPr>
              <w:fldChar w:fldCharType="separate"/>
            </w:r>
            <w:r w:rsidR="00225D67">
              <w:rPr>
                <w:webHidden/>
              </w:rPr>
              <w:t>36</w:t>
            </w:r>
            <w:r w:rsidR="002A2AA6">
              <w:rPr>
                <w:webHidden/>
              </w:rPr>
              <w:fldChar w:fldCharType="end"/>
            </w:r>
          </w:hyperlink>
        </w:p>
        <w:p w:rsidR="002A2AA6" w:rsidRDefault="0086416E">
          <w:pPr>
            <w:pStyle w:val="TOC3"/>
            <w:tabs>
              <w:tab w:val="left" w:pos="1100"/>
            </w:tabs>
            <w:rPr>
              <w:rFonts w:asciiTheme="minorHAnsi" w:eastAsiaTheme="minorEastAsia" w:hAnsiTheme="minorHAnsi" w:cstheme="minorBidi"/>
              <w:sz w:val="22"/>
              <w:szCs w:val="22"/>
              <w:lang w:eastAsia="en-AU"/>
            </w:rPr>
          </w:pPr>
          <w:hyperlink w:anchor="_Toc526432233" w:history="1">
            <w:r w:rsidR="002A2AA6" w:rsidRPr="003F5B22">
              <w:rPr>
                <w:rStyle w:val="Hyperlink"/>
                <w:rFonts w:eastAsiaTheme="majorEastAsia"/>
              </w:rPr>
              <w:t>1.3.2</w:t>
            </w:r>
            <w:r w:rsidR="002A2AA6">
              <w:rPr>
                <w:rFonts w:asciiTheme="minorHAnsi" w:eastAsiaTheme="minorEastAsia" w:hAnsiTheme="minorHAnsi" w:cstheme="minorBidi"/>
                <w:sz w:val="22"/>
                <w:szCs w:val="22"/>
                <w:lang w:eastAsia="en-AU"/>
              </w:rPr>
              <w:tab/>
            </w:r>
            <w:r w:rsidR="002A2AA6" w:rsidRPr="003F5B22">
              <w:rPr>
                <w:rStyle w:val="Hyperlink"/>
                <w:rFonts w:eastAsiaTheme="majorEastAsia"/>
              </w:rPr>
              <w:t>Seed treatments and solid formulations</w:t>
            </w:r>
            <w:r w:rsidR="002A2AA6">
              <w:rPr>
                <w:webHidden/>
              </w:rPr>
              <w:tab/>
            </w:r>
            <w:r w:rsidR="002A2AA6">
              <w:rPr>
                <w:webHidden/>
              </w:rPr>
              <w:fldChar w:fldCharType="begin"/>
            </w:r>
            <w:r w:rsidR="002A2AA6">
              <w:rPr>
                <w:webHidden/>
              </w:rPr>
              <w:instrText xml:space="preserve"> PAGEREF _Toc526432233 \h </w:instrText>
            </w:r>
            <w:r w:rsidR="002A2AA6">
              <w:rPr>
                <w:webHidden/>
              </w:rPr>
            </w:r>
            <w:r w:rsidR="002A2AA6">
              <w:rPr>
                <w:webHidden/>
              </w:rPr>
              <w:fldChar w:fldCharType="separate"/>
            </w:r>
            <w:r w:rsidR="00225D67">
              <w:rPr>
                <w:webHidden/>
              </w:rPr>
              <w:t>37</w:t>
            </w:r>
            <w:r w:rsidR="002A2AA6">
              <w:rPr>
                <w:webHidden/>
              </w:rPr>
              <w:fldChar w:fldCharType="end"/>
            </w:r>
          </w:hyperlink>
        </w:p>
        <w:p w:rsidR="002A2AA6" w:rsidRDefault="0086416E">
          <w:pPr>
            <w:pStyle w:val="TOC3"/>
            <w:tabs>
              <w:tab w:val="left" w:pos="1100"/>
            </w:tabs>
            <w:rPr>
              <w:rFonts w:asciiTheme="minorHAnsi" w:eastAsiaTheme="minorEastAsia" w:hAnsiTheme="minorHAnsi" w:cstheme="minorBidi"/>
              <w:sz w:val="22"/>
              <w:szCs w:val="22"/>
              <w:lang w:eastAsia="en-AU"/>
            </w:rPr>
          </w:pPr>
          <w:hyperlink w:anchor="_Toc526432234" w:history="1">
            <w:r w:rsidR="002A2AA6" w:rsidRPr="003F5B22">
              <w:rPr>
                <w:rStyle w:val="Hyperlink"/>
                <w:rFonts w:eastAsiaTheme="majorEastAsia"/>
              </w:rPr>
              <w:t>1.3.3</w:t>
            </w:r>
            <w:r w:rsidR="002A2AA6">
              <w:rPr>
                <w:rFonts w:asciiTheme="minorHAnsi" w:eastAsiaTheme="minorEastAsia" w:hAnsiTheme="minorHAnsi" w:cstheme="minorBidi"/>
                <w:sz w:val="22"/>
                <w:szCs w:val="22"/>
                <w:lang w:eastAsia="en-AU"/>
              </w:rPr>
              <w:tab/>
            </w:r>
            <w:r w:rsidR="002A2AA6" w:rsidRPr="003F5B22">
              <w:rPr>
                <w:rStyle w:val="Hyperlink"/>
                <w:rFonts w:eastAsiaTheme="majorEastAsia"/>
              </w:rPr>
              <w:t>Rodenticides</w:t>
            </w:r>
            <w:r w:rsidR="002A2AA6">
              <w:rPr>
                <w:webHidden/>
              </w:rPr>
              <w:tab/>
            </w:r>
            <w:r w:rsidR="002A2AA6">
              <w:rPr>
                <w:webHidden/>
              </w:rPr>
              <w:fldChar w:fldCharType="begin"/>
            </w:r>
            <w:r w:rsidR="002A2AA6">
              <w:rPr>
                <w:webHidden/>
              </w:rPr>
              <w:instrText xml:space="preserve"> PAGEREF _Toc526432234 \h </w:instrText>
            </w:r>
            <w:r w:rsidR="002A2AA6">
              <w:rPr>
                <w:webHidden/>
              </w:rPr>
            </w:r>
            <w:r w:rsidR="002A2AA6">
              <w:rPr>
                <w:webHidden/>
              </w:rPr>
              <w:fldChar w:fldCharType="separate"/>
            </w:r>
            <w:r w:rsidR="00225D67">
              <w:rPr>
                <w:webHidden/>
              </w:rPr>
              <w:t>40</w:t>
            </w:r>
            <w:r w:rsidR="002A2AA6">
              <w:rPr>
                <w:webHidden/>
              </w:rPr>
              <w:fldChar w:fldCharType="end"/>
            </w:r>
          </w:hyperlink>
        </w:p>
        <w:p w:rsidR="002A2AA6" w:rsidRDefault="0086416E">
          <w:pPr>
            <w:pStyle w:val="TOC3"/>
            <w:tabs>
              <w:tab w:val="left" w:pos="1100"/>
            </w:tabs>
            <w:rPr>
              <w:rFonts w:asciiTheme="minorHAnsi" w:eastAsiaTheme="minorEastAsia" w:hAnsiTheme="minorHAnsi" w:cstheme="minorBidi"/>
              <w:sz w:val="22"/>
              <w:szCs w:val="22"/>
              <w:lang w:eastAsia="en-AU"/>
            </w:rPr>
          </w:pPr>
          <w:hyperlink w:anchor="_Toc526432235" w:history="1">
            <w:r w:rsidR="002A2AA6" w:rsidRPr="003F5B22">
              <w:rPr>
                <w:rStyle w:val="Hyperlink"/>
                <w:rFonts w:eastAsiaTheme="majorEastAsia"/>
              </w:rPr>
              <w:t>1.3.4</w:t>
            </w:r>
            <w:r w:rsidR="002A2AA6">
              <w:rPr>
                <w:rFonts w:asciiTheme="minorHAnsi" w:eastAsiaTheme="minorEastAsia" w:hAnsiTheme="minorHAnsi" w:cstheme="minorBidi"/>
                <w:sz w:val="22"/>
                <w:szCs w:val="22"/>
                <w:lang w:eastAsia="en-AU"/>
              </w:rPr>
              <w:tab/>
            </w:r>
            <w:r w:rsidR="002A2AA6" w:rsidRPr="003F5B22">
              <w:rPr>
                <w:rStyle w:val="Hyperlink"/>
                <w:rFonts w:eastAsiaTheme="majorEastAsia"/>
              </w:rPr>
              <w:t>Avicides</w:t>
            </w:r>
            <w:r w:rsidR="002A2AA6">
              <w:rPr>
                <w:webHidden/>
              </w:rPr>
              <w:tab/>
            </w:r>
            <w:r w:rsidR="002A2AA6">
              <w:rPr>
                <w:webHidden/>
              </w:rPr>
              <w:fldChar w:fldCharType="begin"/>
            </w:r>
            <w:r w:rsidR="002A2AA6">
              <w:rPr>
                <w:webHidden/>
              </w:rPr>
              <w:instrText xml:space="preserve"> PAGEREF _Toc526432235 \h </w:instrText>
            </w:r>
            <w:r w:rsidR="002A2AA6">
              <w:rPr>
                <w:webHidden/>
              </w:rPr>
            </w:r>
            <w:r w:rsidR="002A2AA6">
              <w:rPr>
                <w:webHidden/>
              </w:rPr>
              <w:fldChar w:fldCharType="separate"/>
            </w:r>
            <w:r w:rsidR="00225D67">
              <w:rPr>
                <w:webHidden/>
              </w:rPr>
              <w:t>41</w:t>
            </w:r>
            <w:r w:rsidR="002A2AA6">
              <w:rPr>
                <w:webHidden/>
              </w:rPr>
              <w:fldChar w:fldCharType="end"/>
            </w:r>
          </w:hyperlink>
        </w:p>
        <w:p w:rsidR="002A2AA6" w:rsidRDefault="0086416E">
          <w:pPr>
            <w:pStyle w:val="TOC2"/>
            <w:rPr>
              <w:rFonts w:asciiTheme="minorHAnsi" w:eastAsiaTheme="minorEastAsia" w:hAnsiTheme="minorHAnsi" w:cstheme="minorBidi"/>
              <w:b w:val="0"/>
              <w:color w:val="auto"/>
              <w:sz w:val="22"/>
              <w:szCs w:val="22"/>
              <w:lang w:eastAsia="en-AU"/>
            </w:rPr>
          </w:pPr>
          <w:hyperlink w:anchor="_Toc526432236" w:history="1">
            <w:r w:rsidR="002A2AA6" w:rsidRPr="003F5B22">
              <w:rPr>
                <w:rStyle w:val="Hyperlink"/>
                <w:rFonts w:eastAsiaTheme="majorEastAsia"/>
              </w:rPr>
              <w:t>1.4</w:t>
            </w:r>
            <w:r w:rsidR="002A2AA6">
              <w:rPr>
                <w:rFonts w:asciiTheme="minorHAnsi" w:eastAsiaTheme="minorEastAsia" w:hAnsiTheme="minorHAnsi" w:cstheme="minorBidi"/>
                <w:b w:val="0"/>
                <w:color w:val="auto"/>
                <w:sz w:val="22"/>
                <w:szCs w:val="22"/>
                <w:lang w:eastAsia="en-AU"/>
              </w:rPr>
              <w:tab/>
            </w:r>
            <w:r w:rsidR="002A2AA6" w:rsidRPr="003F5B22">
              <w:rPr>
                <w:rStyle w:val="Hyperlink"/>
                <w:rFonts w:eastAsiaTheme="majorEastAsia"/>
              </w:rPr>
              <w:t>Combination toxicity</w:t>
            </w:r>
            <w:r w:rsidR="002A2AA6">
              <w:rPr>
                <w:webHidden/>
              </w:rPr>
              <w:tab/>
            </w:r>
            <w:r w:rsidR="002A2AA6">
              <w:rPr>
                <w:webHidden/>
              </w:rPr>
              <w:fldChar w:fldCharType="begin"/>
            </w:r>
            <w:r w:rsidR="002A2AA6">
              <w:rPr>
                <w:webHidden/>
              </w:rPr>
              <w:instrText xml:space="preserve"> PAGEREF _Toc526432236 \h </w:instrText>
            </w:r>
            <w:r w:rsidR="002A2AA6">
              <w:rPr>
                <w:webHidden/>
              </w:rPr>
            </w:r>
            <w:r w:rsidR="002A2AA6">
              <w:rPr>
                <w:webHidden/>
              </w:rPr>
              <w:fldChar w:fldCharType="separate"/>
            </w:r>
            <w:r w:rsidR="00225D67">
              <w:rPr>
                <w:webHidden/>
              </w:rPr>
              <w:t>42</w:t>
            </w:r>
            <w:r w:rsidR="002A2AA6">
              <w:rPr>
                <w:webHidden/>
              </w:rPr>
              <w:fldChar w:fldCharType="end"/>
            </w:r>
          </w:hyperlink>
        </w:p>
        <w:p w:rsidR="002A2AA6" w:rsidRDefault="0086416E">
          <w:pPr>
            <w:pStyle w:val="TOC2"/>
            <w:rPr>
              <w:rFonts w:asciiTheme="minorHAnsi" w:eastAsiaTheme="minorEastAsia" w:hAnsiTheme="minorHAnsi" w:cstheme="minorBidi"/>
              <w:b w:val="0"/>
              <w:color w:val="auto"/>
              <w:sz w:val="22"/>
              <w:szCs w:val="22"/>
              <w:lang w:eastAsia="en-AU"/>
            </w:rPr>
          </w:pPr>
          <w:hyperlink w:anchor="_Toc526432237" w:history="1">
            <w:r w:rsidR="002A2AA6" w:rsidRPr="003F5B22">
              <w:rPr>
                <w:rStyle w:val="Hyperlink"/>
                <w:rFonts w:eastAsiaTheme="majorEastAsia"/>
              </w:rPr>
              <w:t>1.5</w:t>
            </w:r>
            <w:r w:rsidR="002A2AA6">
              <w:rPr>
                <w:rFonts w:asciiTheme="minorHAnsi" w:eastAsiaTheme="minorEastAsia" w:hAnsiTheme="minorHAnsi" w:cstheme="minorBidi"/>
                <w:b w:val="0"/>
                <w:color w:val="auto"/>
                <w:sz w:val="22"/>
                <w:szCs w:val="22"/>
                <w:lang w:eastAsia="en-AU"/>
              </w:rPr>
              <w:tab/>
            </w:r>
            <w:r w:rsidR="002A2AA6" w:rsidRPr="003F5B22">
              <w:rPr>
                <w:rStyle w:val="Hyperlink"/>
                <w:rFonts w:eastAsiaTheme="majorEastAsia"/>
              </w:rPr>
              <w:t>Risk assessment tables</w:t>
            </w:r>
            <w:r w:rsidR="002A2AA6">
              <w:rPr>
                <w:webHidden/>
              </w:rPr>
              <w:tab/>
            </w:r>
            <w:r w:rsidR="002A2AA6">
              <w:rPr>
                <w:webHidden/>
              </w:rPr>
              <w:fldChar w:fldCharType="begin"/>
            </w:r>
            <w:r w:rsidR="002A2AA6">
              <w:rPr>
                <w:webHidden/>
              </w:rPr>
              <w:instrText xml:space="preserve"> PAGEREF _Toc526432237 \h </w:instrText>
            </w:r>
            <w:r w:rsidR="002A2AA6">
              <w:rPr>
                <w:webHidden/>
              </w:rPr>
            </w:r>
            <w:r w:rsidR="002A2AA6">
              <w:rPr>
                <w:webHidden/>
              </w:rPr>
              <w:fldChar w:fldCharType="separate"/>
            </w:r>
            <w:r w:rsidR="00225D67">
              <w:rPr>
                <w:webHidden/>
              </w:rPr>
              <w:t>42</w:t>
            </w:r>
            <w:r w:rsidR="002A2AA6">
              <w:rPr>
                <w:webHidden/>
              </w:rPr>
              <w:fldChar w:fldCharType="end"/>
            </w:r>
          </w:hyperlink>
        </w:p>
        <w:p w:rsidR="002A2AA6" w:rsidRDefault="0086416E">
          <w:pPr>
            <w:pStyle w:val="TOC2"/>
            <w:rPr>
              <w:rFonts w:asciiTheme="minorHAnsi" w:eastAsiaTheme="minorEastAsia" w:hAnsiTheme="minorHAnsi" w:cstheme="minorBidi"/>
              <w:b w:val="0"/>
              <w:color w:val="auto"/>
              <w:sz w:val="22"/>
              <w:szCs w:val="22"/>
              <w:lang w:eastAsia="en-AU"/>
            </w:rPr>
          </w:pPr>
          <w:hyperlink w:anchor="_Toc526432238" w:history="1">
            <w:r w:rsidR="002A2AA6" w:rsidRPr="003F5B22">
              <w:rPr>
                <w:rStyle w:val="Hyperlink"/>
                <w:rFonts w:eastAsiaTheme="majorEastAsia"/>
              </w:rPr>
              <w:t>1.6</w:t>
            </w:r>
            <w:r w:rsidR="002A2AA6">
              <w:rPr>
                <w:rFonts w:asciiTheme="minorHAnsi" w:eastAsiaTheme="minorEastAsia" w:hAnsiTheme="minorHAnsi" w:cstheme="minorBidi"/>
                <w:b w:val="0"/>
                <w:color w:val="auto"/>
                <w:sz w:val="22"/>
                <w:szCs w:val="22"/>
                <w:lang w:eastAsia="en-AU"/>
              </w:rPr>
              <w:tab/>
            </w:r>
            <w:r w:rsidR="002A2AA6" w:rsidRPr="003F5B22">
              <w:rPr>
                <w:rStyle w:val="Hyperlink"/>
                <w:rFonts w:eastAsiaTheme="majorEastAsia"/>
              </w:rPr>
              <w:t>Risk mitigation</w:t>
            </w:r>
            <w:r w:rsidR="002A2AA6">
              <w:rPr>
                <w:webHidden/>
              </w:rPr>
              <w:tab/>
            </w:r>
            <w:r w:rsidR="002A2AA6">
              <w:rPr>
                <w:webHidden/>
              </w:rPr>
              <w:fldChar w:fldCharType="begin"/>
            </w:r>
            <w:r w:rsidR="002A2AA6">
              <w:rPr>
                <w:webHidden/>
              </w:rPr>
              <w:instrText xml:space="preserve"> PAGEREF _Toc526432238 \h </w:instrText>
            </w:r>
            <w:r w:rsidR="002A2AA6">
              <w:rPr>
                <w:webHidden/>
              </w:rPr>
            </w:r>
            <w:r w:rsidR="002A2AA6">
              <w:rPr>
                <w:webHidden/>
              </w:rPr>
              <w:fldChar w:fldCharType="separate"/>
            </w:r>
            <w:r w:rsidR="00225D67">
              <w:rPr>
                <w:webHidden/>
              </w:rPr>
              <w:t>48</w:t>
            </w:r>
            <w:r w:rsidR="002A2AA6">
              <w:rPr>
                <w:webHidden/>
              </w:rPr>
              <w:fldChar w:fldCharType="end"/>
            </w:r>
          </w:hyperlink>
        </w:p>
        <w:p w:rsidR="002A2AA6" w:rsidRDefault="0086416E">
          <w:pPr>
            <w:pStyle w:val="TOC2"/>
            <w:rPr>
              <w:rFonts w:asciiTheme="minorHAnsi" w:eastAsiaTheme="minorEastAsia" w:hAnsiTheme="minorHAnsi" w:cstheme="minorBidi"/>
              <w:b w:val="0"/>
              <w:color w:val="auto"/>
              <w:sz w:val="22"/>
              <w:szCs w:val="22"/>
              <w:lang w:eastAsia="en-AU"/>
            </w:rPr>
          </w:pPr>
          <w:hyperlink w:anchor="_Toc526432239" w:history="1">
            <w:r w:rsidR="002A2AA6" w:rsidRPr="003F5B22">
              <w:rPr>
                <w:rStyle w:val="Hyperlink"/>
                <w:rFonts w:eastAsiaTheme="majorEastAsia"/>
              </w:rPr>
              <w:t>1.7</w:t>
            </w:r>
            <w:r w:rsidR="002A2AA6">
              <w:rPr>
                <w:rFonts w:asciiTheme="minorHAnsi" w:eastAsiaTheme="minorEastAsia" w:hAnsiTheme="minorHAnsi" w:cstheme="minorBidi"/>
                <w:b w:val="0"/>
                <w:color w:val="auto"/>
                <w:sz w:val="22"/>
                <w:szCs w:val="22"/>
                <w:lang w:eastAsia="en-AU"/>
              </w:rPr>
              <w:tab/>
            </w:r>
            <w:r w:rsidR="002A2AA6" w:rsidRPr="003F5B22">
              <w:rPr>
                <w:rStyle w:val="Hyperlink"/>
                <w:rFonts w:eastAsiaTheme="majorEastAsia"/>
              </w:rPr>
              <w:t>References</w:t>
            </w:r>
            <w:r w:rsidR="002A2AA6">
              <w:rPr>
                <w:webHidden/>
              </w:rPr>
              <w:tab/>
            </w:r>
            <w:r w:rsidR="002A2AA6">
              <w:rPr>
                <w:webHidden/>
              </w:rPr>
              <w:fldChar w:fldCharType="begin"/>
            </w:r>
            <w:r w:rsidR="002A2AA6">
              <w:rPr>
                <w:webHidden/>
              </w:rPr>
              <w:instrText xml:space="preserve"> PAGEREF _Toc526432239 \h </w:instrText>
            </w:r>
            <w:r w:rsidR="002A2AA6">
              <w:rPr>
                <w:webHidden/>
              </w:rPr>
            </w:r>
            <w:r w:rsidR="002A2AA6">
              <w:rPr>
                <w:webHidden/>
              </w:rPr>
              <w:fldChar w:fldCharType="separate"/>
            </w:r>
            <w:r w:rsidR="00225D67">
              <w:rPr>
                <w:webHidden/>
              </w:rPr>
              <w:t>49</w:t>
            </w:r>
            <w:r w:rsidR="002A2AA6">
              <w:rPr>
                <w:webHidden/>
              </w:rPr>
              <w:fldChar w:fldCharType="end"/>
            </w:r>
          </w:hyperlink>
        </w:p>
        <w:p w:rsidR="002A2AA6" w:rsidRDefault="0086416E">
          <w:pPr>
            <w:pStyle w:val="TOC1"/>
            <w:rPr>
              <w:rFonts w:asciiTheme="minorHAnsi" w:eastAsiaTheme="minorEastAsia" w:hAnsiTheme="minorHAnsi" w:cstheme="minorBidi"/>
              <w:b w:val="0"/>
              <w:bCs w:val="0"/>
              <w:caps w:val="0"/>
              <w:color w:val="auto"/>
              <w:kern w:val="0"/>
              <w:szCs w:val="22"/>
              <w:lang w:eastAsia="en-AU"/>
            </w:rPr>
          </w:pPr>
          <w:hyperlink w:anchor="_Toc526432240" w:history="1">
            <w:r w:rsidR="002A2AA6" w:rsidRPr="003F5B22">
              <w:rPr>
                <w:rStyle w:val="Hyperlink"/>
                <w:rFonts w:eastAsiaTheme="majorEastAsia"/>
              </w:rPr>
              <w:t>1</w:t>
            </w:r>
            <w:r w:rsidR="002A2AA6">
              <w:rPr>
                <w:rFonts w:asciiTheme="minorHAnsi" w:eastAsiaTheme="minorEastAsia" w:hAnsiTheme="minorHAnsi" w:cstheme="minorBidi"/>
                <w:b w:val="0"/>
                <w:bCs w:val="0"/>
                <w:caps w:val="0"/>
                <w:color w:val="auto"/>
                <w:kern w:val="0"/>
                <w:szCs w:val="22"/>
                <w:lang w:eastAsia="en-AU"/>
              </w:rPr>
              <w:tab/>
            </w:r>
            <w:r w:rsidR="002A2AA6" w:rsidRPr="003F5B22">
              <w:rPr>
                <w:rStyle w:val="Hyperlink"/>
                <w:rFonts w:eastAsiaTheme="majorEastAsia"/>
              </w:rPr>
              <w:t>APpendix B – Other Non-Target Arthropods</w:t>
            </w:r>
            <w:r w:rsidR="002A2AA6">
              <w:rPr>
                <w:webHidden/>
              </w:rPr>
              <w:tab/>
            </w:r>
            <w:r w:rsidR="002A2AA6">
              <w:rPr>
                <w:webHidden/>
              </w:rPr>
              <w:fldChar w:fldCharType="begin"/>
            </w:r>
            <w:r w:rsidR="002A2AA6">
              <w:rPr>
                <w:webHidden/>
              </w:rPr>
              <w:instrText xml:space="preserve"> PAGEREF _Toc526432240 \h </w:instrText>
            </w:r>
            <w:r w:rsidR="002A2AA6">
              <w:rPr>
                <w:webHidden/>
              </w:rPr>
            </w:r>
            <w:r w:rsidR="002A2AA6">
              <w:rPr>
                <w:webHidden/>
              </w:rPr>
              <w:fldChar w:fldCharType="separate"/>
            </w:r>
            <w:r w:rsidR="00225D67">
              <w:rPr>
                <w:webHidden/>
              </w:rPr>
              <w:t>51</w:t>
            </w:r>
            <w:r w:rsidR="002A2AA6">
              <w:rPr>
                <w:webHidden/>
              </w:rPr>
              <w:fldChar w:fldCharType="end"/>
            </w:r>
          </w:hyperlink>
        </w:p>
        <w:p w:rsidR="002A2AA6" w:rsidRDefault="0086416E">
          <w:pPr>
            <w:pStyle w:val="TOC2"/>
            <w:rPr>
              <w:rFonts w:asciiTheme="minorHAnsi" w:eastAsiaTheme="minorEastAsia" w:hAnsiTheme="minorHAnsi" w:cstheme="minorBidi"/>
              <w:b w:val="0"/>
              <w:color w:val="auto"/>
              <w:sz w:val="22"/>
              <w:szCs w:val="22"/>
              <w:lang w:eastAsia="en-AU"/>
            </w:rPr>
          </w:pPr>
          <w:hyperlink w:anchor="_Toc526432241" w:history="1">
            <w:r w:rsidR="002A2AA6" w:rsidRPr="003F5B22">
              <w:rPr>
                <w:rStyle w:val="Hyperlink"/>
                <w:rFonts w:eastAsiaTheme="majorEastAsia"/>
              </w:rPr>
              <w:t>1.1</w:t>
            </w:r>
            <w:r w:rsidR="002A2AA6">
              <w:rPr>
                <w:rFonts w:asciiTheme="minorHAnsi" w:eastAsiaTheme="minorEastAsia" w:hAnsiTheme="minorHAnsi" w:cstheme="minorBidi"/>
                <w:b w:val="0"/>
                <w:color w:val="auto"/>
                <w:sz w:val="22"/>
                <w:szCs w:val="22"/>
                <w:lang w:eastAsia="en-AU"/>
              </w:rPr>
              <w:tab/>
            </w:r>
            <w:r w:rsidR="002A2AA6" w:rsidRPr="003F5B22">
              <w:rPr>
                <w:rStyle w:val="Hyperlink"/>
                <w:rFonts w:eastAsiaTheme="majorEastAsia"/>
              </w:rPr>
              <w:t>Introduction</w:t>
            </w:r>
            <w:r w:rsidR="002A2AA6">
              <w:rPr>
                <w:webHidden/>
              </w:rPr>
              <w:tab/>
            </w:r>
            <w:r w:rsidR="002A2AA6">
              <w:rPr>
                <w:webHidden/>
              </w:rPr>
              <w:fldChar w:fldCharType="begin"/>
            </w:r>
            <w:r w:rsidR="002A2AA6">
              <w:rPr>
                <w:webHidden/>
              </w:rPr>
              <w:instrText xml:space="preserve"> PAGEREF _Toc526432241 \h </w:instrText>
            </w:r>
            <w:r w:rsidR="002A2AA6">
              <w:rPr>
                <w:webHidden/>
              </w:rPr>
            </w:r>
            <w:r w:rsidR="002A2AA6">
              <w:rPr>
                <w:webHidden/>
              </w:rPr>
              <w:fldChar w:fldCharType="separate"/>
            </w:r>
            <w:r w:rsidR="00225D67">
              <w:rPr>
                <w:webHidden/>
              </w:rPr>
              <w:t>51</w:t>
            </w:r>
            <w:r w:rsidR="002A2AA6">
              <w:rPr>
                <w:webHidden/>
              </w:rPr>
              <w:fldChar w:fldCharType="end"/>
            </w:r>
          </w:hyperlink>
        </w:p>
        <w:p w:rsidR="002A2AA6" w:rsidRDefault="0086416E">
          <w:pPr>
            <w:pStyle w:val="TOC2"/>
            <w:rPr>
              <w:rFonts w:asciiTheme="minorHAnsi" w:eastAsiaTheme="minorEastAsia" w:hAnsiTheme="minorHAnsi" w:cstheme="minorBidi"/>
              <w:b w:val="0"/>
              <w:color w:val="auto"/>
              <w:sz w:val="22"/>
              <w:szCs w:val="22"/>
              <w:lang w:eastAsia="en-AU"/>
            </w:rPr>
          </w:pPr>
          <w:hyperlink w:anchor="_Toc526432242" w:history="1">
            <w:r w:rsidR="002A2AA6" w:rsidRPr="003F5B22">
              <w:rPr>
                <w:rStyle w:val="Hyperlink"/>
                <w:rFonts w:eastAsiaTheme="majorEastAsia"/>
              </w:rPr>
              <w:t>1.2</w:t>
            </w:r>
            <w:r w:rsidR="002A2AA6">
              <w:rPr>
                <w:rFonts w:asciiTheme="minorHAnsi" w:eastAsiaTheme="minorEastAsia" w:hAnsiTheme="minorHAnsi" w:cstheme="minorBidi"/>
                <w:b w:val="0"/>
                <w:color w:val="auto"/>
                <w:sz w:val="22"/>
                <w:szCs w:val="22"/>
                <w:lang w:eastAsia="en-AU"/>
              </w:rPr>
              <w:tab/>
            </w:r>
            <w:r w:rsidR="002A2AA6" w:rsidRPr="003F5B22">
              <w:rPr>
                <w:rStyle w:val="Hyperlink"/>
                <w:rFonts w:eastAsiaTheme="majorEastAsia"/>
              </w:rPr>
              <w:t>Toxicity values</w:t>
            </w:r>
            <w:r w:rsidR="002A2AA6">
              <w:rPr>
                <w:webHidden/>
              </w:rPr>
              <w:tab/>
            </w:r>
            <w:r w:rsidR="002A2AA6">
              <w:rPr>
                <w:webHidden/>
              </w:rPr>
              <w:fldChar w:fldCharType="begin"/>
            </w:r>
            <w:r w:rsidR="002A2AA6">
              <w:rPr>
                <w:webHidden/>
              </w:rPr>
              <w:instrText xml:space="preserve"> PAGEREF _Toc526432242 \h </w:instrText>
            </w:r>
            <w:r w:rsidR="002A2AA6">
              <w:rPr>
                <w:webHidden/>
              </w:rPr>
            </w:r>
            <w:r w:rsidR="002A2AA6">
              <w:rPr>
                <w:webHidden/>
              </w:rPr>
              <w:fldChar w:fldCharType="separate"/>
            </w:r>
            <w:r w:rsidR="00225D67">
              <w:rPr>
                <w:webHidden/>
              </w:rPr>
              <w:t>51</w:t>
            </w:r>
            <w:r w:rsidR="002A2AA6">
              <w:rPr>
                <w:webHidden/>
              </w:rPr>
              <w:fldChar w:fldCharType="end"/>
            </w:r>
          </w:hyperlink>
        </w:p>
        <w:p w:rsidR="002A2AA6" w:rsidRDefault="0086416E">
          <w:pPr>
            <w:pStyle w:val="TOC2"/>
            <w:rPr>
              <w:rFonts w:asciiTheme="minorHAnsi" w:eastAsiaTheme="minorEastAsia" w:hAnsiTheme="minorHAnsi" w:cstheme="minorBidi"/>
              <w:b w:val="0"/>
              <w:color w:val="auto"/>
              <w:sz w:val="22"/>
              <w:szCs w:val="22"/>
              <w:lang w:eastAsia="en-AU"/>
            </w:rPr>
          </w:pPr>
          <w:hyperlink w:anchor="_Toc526432243" w:history="1">
            <w:r w:rsidR="002A2AA6" w:rsidRPr="003F5B22">
              <w:rPr>
                <w:rStyle w:val="Hyperlink"/>
                <w:rFonts w:eastAsiaTheme="majorEastAsia"/>
              </w:rPr>
              <w:t>1.3</w:t>
            </w:r>
            <w:r w:rsidR="002A2AA6">
              <w:rPr>
                <w:rFonts w:asciiTheme="minorHAnsi" w:eastAsiaTheme="minorEastAsia" w:hAnsiTheme="minorHAnsi" w:cstheme="minorBidi"/>
                <w:b w:val="0"/>
                <w:color w:val="auto"/>
                <w:sz w:val="22"/>
                <w:szCs w:val="22"/>
                <w:lang w:eastAsia="en-AU"/>
              </w:rPr>
              <w:tab/>
            </w:r>
            <w:r w:rsidR="002A2AA6" w:rsidRPr="003F5B22">
              <w:rPr>
                <w:rStyle w:val="Hyperlink"/>
                <w:rFonts w:eastAsiaTheme="majorEastAsia"/>
              </w:rPr>
              <w:t>Risk assessment</w:t>
            </w:r>
            <w:r w:rsidR="002A2AA6">
              <w:rPr>
                <w:webHidden/>
              </w:rPr>
              <w:tab/>
            </w:r>
            <w:r w:rsidR="002A2AA6">
              <w:rPr>
                <w:webHidden/>
              </w:rPr>
              <w:fldChar w:fldCharType="begin"/>
            </w:r>
            <w:r w:rsidR="002A2AA6">
              <w:rPr>
                <w:webHidden/>
              </w:rPr>
              <w:instrText xml:space="preserve"> PAGEREF _Toc526432243 \h </w:instrText>
            </w:r>
            <w:r w:rsidR="002A2AA6">
              <w:rPr>
                <w:webHidden/>
              </w:rPr>
            </w:r>
            <w:r w:rsidR="002A2AA6">
              <w:rPr>
                <w:webHidden/>
              </w:rPr>
              <w:fldChar w:fldCharType="separate"/>
            </w:r>
            <w:r w:rsidR="00225D67">
              <w:rPr>
                <w:webHidden/>
              </w:rPr>
              <w:t>52</w:t>
            </w:r>
            <w:r w:rsidR="002A2AA6">
              <w:rPr>
                <w:webHidden/>
              </w:rPr>
              <w:fldChar w:fldCharType="end"/>
            </w:r>
          </w:hyperlink>
        </w:p>
        <w:p w:rsidR="002A2AA6" w:rsidRDefault="0086416E">
          <w:pPr>
            <w:pStyle w:val="TOC2"/>
            <w:rPr>
              <w:rFonts w:asciiTheme="minorHAnsi" w:eastAsiaTheme="minorEastAsia" w:hAnsiTheme="minorHAnsi" w:cstheme="minorBidi"/>
              <w:b w:val="0"/>
              <w:color w:val="auto"/>
              <w:sz w:val="22"/>
              <w:szCs w:val="22"/>
              <w:lang w:eastAsia="en-AU"/>
            </w:rPr>
          </w:pPr>
          <w:hyperlink w:anchor="_Toc526432244" w:history="1">
            <w:r w:rsidR="002A2AA6" w:rsidRPr="003F5B22">
              <w:rPr>
                <w:rStyle w:val="Hyperlink"/>
                <w:rFonts w:eastAsiaTheme="majorEastAsia"/>
              </w:rPr>
              <w:t>1.4</w:t>
            </w:r>
            <w:r w:rsidR="002A2AA6">
              <w:rPr>
                <w:rFonts w:asciiTheme="minorHAnsi" w:eastAsiaTheme="minorEastAsia" w:hAnsiTheme="minorHAnsi" w:cstheme="minorBidi"/>
                <w:b w:val="0"/>
                <w:color w:val="auto"/>
                <w:sz w:val="22"/>
                <w:szCs w:val="22"/>
                <w:lang w:eastAsia="en-AU"/>
              </w:rPr>
              <w:tab/>
            </w:r>
            <w:r w:rsidR="002A2AA6" w:rsidRPr="003F5B22">
              <w:rPr>
                <w:rStyle w:val="Hyperlink"/>
                <w:rFonts w:eastAsiaTheme="majorEastAsia"/>
              </w:rPr>
              <w:t>Combination toxicity</w:t>
            </w:r>
            <w:r w:rsidR="002A2AA6">
              <w:rPr>
                <w:webHidden/>
              </w:rPr>
              <w:tab/>
            </w:r>
            <w:r w:rsidR="002A2AA6">
              <w:rPr>
                <w:webHidden/>
              </w:rPr>
              <w:fldChar w:fldCharType="begin"/>
            </w:r>
            <w:r w:rsidR="002A2AA6">
              <w:rPr>
                <w:webHidden/>
              </w:rPr>
              <w:instrText xml:space="preserve"> PAGEREF _Toc526432244 \h </w:instrText>
            </w:r>
            <w:r w:rsidR="002A2AA6">
              <w:rPr>
                <w:webHidden/>
              </w:rPr>
            </w:r>
            <w:r w:rsidR="002A2AA6">
              <w:rPr>
                <w:webHidden/>
              </w:rPr>
              <w:fldChar w:fldCharType="separate"/>
            </w:r>
            <w:r w:rsidR="00225D67">
              <w:rPr>
                <w:webHidden/>
              </w:rPr>
              <w:t>53</w:t>
            </w:r>
            <w:r w:rsidR="002A2AA6">
              <w:rPr>
                <w:webHidden/>
              </w:rPr>
              <w:fldChar w:fldCharType="end"/>
            </w:r>
          </w:hyperlink>
        </w:p>
        <w:p w:rsidR="002A2AA6" w:rsidRDefault="0086416E">
          <w:pPr>
            <w:pStyle w:val="TOC2"/>
            <w:rPr>
              <w:rFonts w:asciiTheme="minorHAnsi" w:eastAsiaTheme="minorEastAsia" w:hAnsiTheme="minorHAnsi" w:cstheme="minorBidi"/>
              <w:b w:val="0"/>
              <w:color w:val="auto"/>
              <w:sz w:val="22"/>
              <w:szCs w:val="22"/>
              <w:lang w:eastAsia="en-AU"/>
            </w:rPr>
          </w:pPr>
          <w:hyperlink w:anchor="_Toc526432245" w:history="1">
            <w:r w:rsidR="002A2AA6" w:rsidRPr="003F5B22">
              <w:rPr>
                <w:rStyle w:val="Hyperlink"/>
                <w:rFonts w:eastAsiaTheme="majorEastAsia"/>
              </w:rPr>
              <w:t>1.5</w:t>
            </w:r>
            <w:r w:rsidR="002A2AA6">
              <w:rPr>
                <w:rFonts w:asciiTheme="minorHAnsi" w:eastAsiaTheme="minorEastAsia" w:hAnsiTheme="minorHAnsi" w:cstheme="minorBidi"/>
                <w:b w:val="0"/>
                <w:color w:val="auto"/>
                <w:sz w:val="22"/>
                <w:szCs w:val="22"/>
                <w:lang w:eastAsia="en-AU"/>
              </w:rPr>
              <w:tab/>
            </w:r>
            <w:r w:rsidR="002A2AA6" w:rsidRPr="003F5B22">
              <w:rPr>
                <w:rStyle w:val="Hyperlink"/>
                <w:rFonts w:eastAsiaTheme="majorEastAsia"/>
              </w:rPr>
              <w:t>Risk assessment tables</w:t>
            </w:r>
            <w:r w:rsidR="002A2AA6">
              <w:rPr>
                <w:webHidden/>
              </w:rPr>
              <w:tab/>
            </w:r>
            <w:r w:rsidR="002A2AA6">
              <w:rPr>
                <w:webHidden/>
              </w:rPr>
              <w:fldChar w:fldCharType="begin"/>
            </w:r>
            <w:r w:rsidR="002A2AA6">
              <w:rPr>
                <w:webHidden/>
              </w:rPr>
              <w:instrText xml:space="preserve"> PAGEREF _Toc526432245 \h </w:instrText>
            </w:r>
            <w:r w:rsidR="002A2AA6">
              <w:rPr>
                <w:webHidden/>
              </w:rPr>
            </w:r>
            <w:r w:rsidR="002A2AA6">
              <w:rPr>
                <w:webHidden/>
              </w:rPr>
              <w:fldChar w:fldCharType="separate"/>
            </w:r>
            <w:r w:rsidR="00225D67">
              <w:rPr>
                <w:webHidden/>
              </w:rPr>
              <w:t>53</w:t>
            </w:r>
            <w:r w:rsidR="002A2AA6">
              <w:rPr>
                <w:webHidden/>
              </w:rPr>
              <w:fldChar w:fldCharType="end"/>
            </w:r>
          </w:hyperlink>
        </w:p>
        <w:p w:rsidR="002A2AA6" w:rsidRDefault="0086416E">
          <w:pPr>
            <w:pStyle w:val="TOC2"/>
            <w:rPr>
              <w:rFonts w:asciiTheme="minorHAnsi" w:eastAsiaTheme="minorEastAsia" w:hAnsiTheme="minorHAnsi" w:cstheme="minorBidi"/>
              <w:b w:val="0"/>
              <w:color w:val="auto"/>
              <w:sz w:val="22"/>
              <w:szCs w:val="22"/>
              <w:lang w:eastAsia="en-AU"/>
            </w:rPr>
          </w:pPr>
          <w:hyperlink w:anchor="_Toc526432246" w:history="1">
            <w:r w:rsidR="002A2AA6" w:rsidRPr="003F5B22">
              <w:rPr>
                <w:rStyle w:val="Hyperlink"/>
                <w:rFonts w:eastAsiaTheme="majorEastAsia"/>
              </w:rPr>
              <w:t>1.6</w:t>
            </w:r>
            <w:r w:rsidR="002A2AA6">
              <w:rPr>
                <w:rFonts w:asciiTheme="minorHAnsi" w:eastAsiaTheme="minorEastAsia" w:hAnsiTheme="minorHAnsi" w:cstheme="minorBidi"/>
                <w:b w:val="0"/>
                <w:color w:val="auto"/>
                <w:sz w:val="22"/>
                <w:szCs w:val="22"/>
                <w:lang w:eastAsia="en-AU"/>
              </w:rPr>
              <w:tab/>
            </w:r>
            <w:r w:rsidR="002A2AA6" w:rsidRPr="003F5B22">
              <w:rPr>
                <w:rStyle w:val="Hyperlink"/>
                <w:rFonts w:eastAsiaTheme="majorEastAsia"/>
              </w:rPr>
              <w:t>Risk mitigation</w:t>
            </w:r>
            <w:r w:rsidR="002A2AA6">
              <w:rPr>
                <w:webHidden/>
              </w:rPr>
              <w:tab/>
            </w:r>
            <w:r w:rsidR="002A2AA6">
              <w:rPr>
                <w:webHidden/>
              </w:rPr>
              <w:fldChar w:fldCharType="begin"/>
            </w:r>
            <w:r w:rsidR="002A2AA6">
              <w:rPr>
                <w:webHidden/>
              </w:rPr>
              <w:instrText xml:space="preserve"> PAGEREF _Toc526432246 \h </w:instrText>
            </w:r>
            <w:r w:rsidR="002A2AA6">
              <w:rPr>
                <w:webHidden/>
              </w:rPr>
            </w:r>
            <w:r w:rsidR="002A2AA6">
              <w:rPr>
                <w:webHidden/>
              </w:rPr>
              <w:fldChar w:fldCharType="separate"/>
            </w:r>
            <w:r w:rsidR="00225D67">
              <w:rPr>
                <w:webHidden/>
              </w:rPr>
              <w:t>57</w:t>
            </w:r>
            <w:r w:rsidR="002A2AA6">
              <w:rPr>
                <w:webHidden/>
              </w:rPr>
              <w:fldChar w:fldCharType="end"/>
            </w:r>
          </w:hyperlink>
        </w:p>
        <w:p w:rsidR="002A2AA6" w:rsidRDefault="0086416E">
          <w:pPr>
            <w:pStyle w:val="TOC2"/>
            <w:rPr>
              <w:rFonts w:asciiTheme="minorHAnsi" w:eastAsiaTheme="minorEastAsia" w:hAnsiTheme="minorHAnsi" w:cstheme="minorBidi"/>
              <w:b w:val="0"/>
              <w:color w:val="auto"/>
              <w:sz w:val="22"/>
              <w:szCs w:val="22"/>
              <w:lang w:eastAsia="en-AU"/>
            </w:rPr>
          </w:pPr>
          <w:hyperlink w:anchor="_Toc526432247" w:history="1">
            <w:r w:rsidR="002A2AA6" w:rsidRPr="003F5B22">
              <w:rPr>
                <w:rStyle w:val="Hyperlink"/>
                <w:rFonts w:eastAsiaTheme="majorEastAsia"/>
              </w:rPr>
              <w:t>1.7</w:t>
            </w:r>
            <w:r w:rsidR="002A2AA6">
              <w:rPr>
                <w:rFonts w:asciiTheme="minorHAnsi" w:eastAsiaTheme="minorEastAsia" w:hAnsiTheme="minorHAnsi" w:cstheme="minorBidi"/>
                <w:b w:val="0"/>
                <w:color w:val="auto"/>
                <w:sz w:val="22"/>
                <w:szCs w:val="22"/>
                <w:lang w:eastAsia="en-AU"/>
              </w:rPr>
              <w:tab/>
            </w:r>
            <w:r w:rsidR="002A2AA6" w:rsidRPr="003F5B22">
              <w:rPr>
                <w:rStyle w:val="Hyperlink"/>
                <w:rFonts w:eastAsiaTheme="majorEastAsia"/>
              </w:rPr>
              <w:t>References</w:t>
            </w:r>
            <w:r w:rsidR="002A2AA6">
              <w:rPr>
                <w:webHidden/>
              </w:rPr>
              <w:tab/>
            </w:r>
            <w:r w:rsidR="002A2AA6">
              <w:rPr>
                <w:webHidden/>
              </w:rPr>
              <w:fldChar w:fldCharType="begin"/>
            </w:r>
            <w:r w:rsidR="002A2AA6">
              <w:rPr>
                <w:webHidden/>
              </w:rPr>
              <w:instrText xml:space="preserve"> PAGEREF _Toc526432247 \h </w:instrText>
            </w:r>
            <w:r w:rsidR="002A2AA6">
              <w:rPr>
                <w:webHidden/>
              </w:rPr>
            </w:r>
            <w:r w:rsidR="002A2AA6">
              <w:rPr>
                <w:webHidden/>
              </w:rPr>
              <w:fldChar w:fldCharType="separate"/>
            </w:r>
            <w:r w:rsidR="00225D67">
              <w:rPr>
                <w:webHidden/>
              </w:rPr>
              <w:t>57</w:t>
            </w:r>
            <w:r w:rsidR="002A2AA6">
              <w:rPr>
                <w:webHidden/>
              </w:rPr>
              <w:fldChar w:fldCharType="end"/>
            </w:r>
          </w:hyperlink>
        </w:p>
        <w:p w:rsidR="002A2AA6" w:rsidRDefault="0086416E">
          <w:pPr>
            <w:pStyle w:val="TOC1"/>
            <w:rPr>
              <w:rFonts w:asciiTheme="minorHAnsi" w:eastAsiaTheme="minorEastAsia" w:hAnsiTheme="minorHAnsi" w:cstheme="minorBidi"/>
              <w:b w:val="0"/>
              <w:bCs w:val="0"/>
              <w:caps w:val="0"/>
              <w:color w:val="auto"/>
              <w:kern w:val="0"/>
              <w:szCs w:val="22"/>
              <w:lang w:eastAsia="en-AU"/>
            </w:rPr>
          </w:pPr>
          <w:hyperlink w:anchor="_Toc526432248" w:history="1">
            <w:r w:rsidR="002A2AA6" w:rsidRPr="003F5B22">
              <w:rPr>
                <w:rStyle w:val="Hyperlink"/>
                <w:rFonts w:eastAsiaTheme="majorEastAsia"/>
              </w:rPr>
              <w:t>1</w:t>
            </w:r>
            <w:r w:rsidR="002A2AA6">
              <w:rPr>
                <w:rFonts w:asciiTheme="minorHAnsi" w:eastAsiaTheme="minorEastAsia" w:hAnsiTheme="minorHAnsi" w:cstheme="minorBidi"/>
                <w:b w:val="0"/>
                <w:bCs w:val="0"/>
                <w:caps w:val="0"/>
                <w:color w:val="auto"/>
                <w:kern w:val="0"/>
                <w:szCs w:val="22"/>
                <w:lang w:eastAsia="en-AU"/>
              </w:rPr>
              <w:tab/>
            </w:r>
            <w:r w:rsidR="002A2AA6" w:rsidRPr="003F5B22">
              <w:rPr>
                <w:rStyle w:val="Hyperlink"/>
                <w:rFonts w:eastAsiaTheme="majorEastAsia"/>
              </w:rPr>
              <w:t>APpendix C – SOil Organisms</w:t>
            </w:r>
            <w:r w:rsidR="002A2AA6">
              <w:rPr>
                <w:webHidden/>
              </w:rPr>
              <w:tab/>
            </w:r>
            <w:r w:rsidR="002A2AA6">
              <w:rPr>
                <w:webHidden/>
              </w:rPr>
              <w:fldChar w:fldCharType="begin"/>
            </w:r>
            <w:r w:rsidR="002A2AA6">
              <w:rPr>
                <w:webHidden/>
              </w:rPr>
              <w:instrText xml:space="preserve"> PAGEREF _Toc526432248 \h </w:instrText>
            </w:r>
            <w:r w:rsidR="002A2AA6">
              <w:rPr>
                <w:webHidden/>
              </w:rPr>
            </w:r>
            <w:r w:rsidR="002A2AA6">
              <w:rPr>
                <w:webHidden/>
              </w:rPr>
              <w:fldChar w:fldCharType="separate"/>
            </w:r>
            <w:r w:rsidR="00225D67">
              <w:rPr>
                <w:webHidden/>
              </w:rPr>
              <w:t>58</w:t>
            </w:r>
            <w:r w:rsidR="002A2AA6">
              <w:rPr>
                <w:webHidden/>
              </w:rPr>
              <w:fldChar w:fldCharType="end"/>
            </w:r>
          </w:hyperlink>
        </w:p>
        <w:p w:rsidR="002A2AA6" w:rsidRDefault="0086416E">
          <w:pPr>
            <w:pStyle w:val="TOC2"/>
            <w:rPr>
              <w:rFonts w:asciiTheme="minorHAnsi" w:eastAsiaTheme="minorEastAsia" w:hAnsiTheme="minorHAnsi" w:cstheme="minorBidi"/>
              <w:b w:val="0"/>
              <w:color w:val="auto"/>
              <w:sz w:val="22"/>
              <w:szCs w:val="22"/>
              <w:lang w:eastAsia="en-AU"/>
            </w:rPr>
          </w:pPr>
          <w:hyperlink w:anchor="_Toc526432249" w:history="1">
            <w:r w:rsidR="002A2AA6" w:rsidRPr="003F5B22">
              <w:rPr>
                <w:rStyle w:val="Hyperlink"/>
                <w:rFonts w:eastAsiaTheme="majorEastAsia"/>
              </w:rPr>
              <w:t>1.1</w:t>
            </w:r>
            <w:r w:rsidR="002A2AA6">
              <w:rPr>
                <w:rFonts w:asciiTheme="minorHAnsi" w:eastAsiaTheme="minorEastAsia" w:hAnsiTheme="minorHAnsi" w:cstheme="minorBidi"/>
                <w:b w:val="0"/>
                <w:color w:val="auto"/>
                <w:sz w:val="22"/>
                <w:szCs w:val="22"/>
                <w:lang w:eastAsia="en-AU"/>
              </w:rPr>
              <w:tab/>
            </w:r>
            <w:r w:rsidR="002A2AA6" w:rsidRPr="003F5B22">
              <w:rPr>
                <w:rStyle w:val="Hyperlink"/>
                <w:rFonts w:eastAsiaTheme="majorEastAsia"/>
              </w:rPr>
              <w:t>Introduction</w:t>
            </w:r>
            <w:r w:rsidR="002A2AA6">
              <w:rPr>
                <w:webHidden/>
              </w:rPr>
              <w:tab/>
            </w:r>
            <w:r w:rsidR="002A2AA6">
              <w:rPr>
                <w:webHidden/>
              </w:rPr>
              <w:fldChar w:fldCharType="begin"/>
            </w:r>
            <w:r w:rsidR="002A2AA6">
              <w:rPr>
                <w:webHidden/>
              </w:rPr>
              <w:instrText xml:space="preserve"> PAGEREF _Toc526432249 \h </w:instrText>
            </w:r>
            <w:r w:rsidR="002A2AA6">
              <w:rPr>
                <w:webHidden/>
              </w:rPr>
            </w:r>
            <w:r w:rsidR="002A2AA6">
              <w:rPr>
                <w:webHidden/>
              </w:rPr>
              <w:fldChar w:fldCharType="separate"/>
            </w:r>
            <w:r w:rsidR="00225D67">
              <w:rPr>
                <w:webHidden/>
              </w:rPr>
              <w:t>58</w:t>
            </w:r>
            <w:r w:rsidR="002A2AA6">
              <w:rPr>
                <w:webHidden/>
              </w:rPr>
              <w:fldChar w:fldCharType="end"/>
            </w:r>
          </w:hyperlink>
        </w:p>
        <w:p w:rsidR="002A2AA6" w:rsidRDefault="0086416E">
          <w:pPr>
            <w:pStyle w:val="TOC2"/>
            <w:rPr>
              <w:rFonts w:asciiTheme="minorHAnsi" w:eastAsiaTheme="minorEastAsia" w:hAnsiTheme="minorHAnsi" w:cstheme="minorBidi"/>
              <w:b w:val="0"/>
              <w:color w:val="auto"/>
              <w:sz w:val="22"/>
              <w:szCs w:val="22"/>
              <w:lang w:eastAsia="en-AU"/>
            </w:rPr>
          </w:pPr>
          <w:hyperlink w:anchor="_Toc526432250" w:history="1">
            <w:r w:rsidR="002A2AA6" w:rsidRPr="003F5B22">
              <w:rPr>
                <w:rStyle w:val="Hyperlink"/>
                <w:rFonts w:eastAsiaTheme="majorEastAsia"/>
              </w:rPr>
              <w:t>1.2</w:t>
            </w:r>
            <w:r w:rsidR="002A2AA6">
              <w:rPr>
                <w:rFonts w:asciiTheme="minorHAnsi" w:eastAsiaTheme="minorEastAsia" w:hAnsiTheme="minorHAnsi" w:cstheme="minorBidi"/>
                <w:b w:val="0"/>
                <w:color w:val="auto"/>
                <w:sz w:val="22"/>
                <w:szCs w:val="22"/>
                <w:lang w:eastAsia="en-AU"/>
              </w:rPr>
              <w:tab/>
            </w:r>
            <w:r w:rsidR="002A2AA6" w:rsidRPr="003F5B22">
              <w:rPr>
                <w:rStyle w:val="Hyperlink"/>
                <w:rFonts w:eastAsiaTheme="majorEastAsia"/>
              </w:rPr>
              <w:t>Toxicity figures</w:t>
            </w:r>
            <w:r w:rsidR="002A2AA6">
              <w:rPr>
                <w:webHidden/>
              </w:rPr>
              <w:tab/>
            </w:r>
            <w:r w:rsidR="002A2AA6">
              <w:rPr>
                <w:webHidden/>
              </w:rPr>
              <w:fldChar w:fldCharType="begin"/>
            </w:r>
            <w:r w:rsidR="002A2AA6">
              <w:rPr>
                <w:webHidden/>
              </w:rPr>
              <w:instrText xml:space="preserve"> PAGEREF _Toc526432250 \h </w:instrText>
            </w:r>
            <w:r w:rsidR="002A2AA6">
              <w:rPr>
                <w:webHidden/>
              </w:rPr>
            </w:r>
            <w:r w:rsidR="002A2AA6">
              <w:rPr>
                <w:webHidden/>
              </w:rPr>
              <w:fldChar w:fldCharType="separate"/>
            </w:r>
            <w:r w:rsidR="00225D67">
              <w:rPr>
                <w:webHidden/>
              </w:rPr>
              <w:t>59</w:t>
            </w:r>
            <w:r w:rsidR="002A2AA6">
              <w:rPr>
                <w:webHidden/>
              </w:rPr>
              <w:fldChar w:fldCharType="end"/>
            </w:r>
          </w:hyperlink>
        </w:p>
        <w:p w:rsidR="002A2AA6" w:rsidRDefault="0086416E">
          <w:pPr>
            <w:pStyle w:val="TOC2"/>
            <w:rPr>
              <w:rFonts w:asciiTheme="minorHAnsi" w:eastAsiaTheme="minorEastAsia" w:hAnsiTheme="minorHAnsi" w:cstheme="minorBidi"/>
              <w:b w:val="0"/>
              <w:color w:val="auto"/>
              <w:sz w:val="22"/>
              <w:szCs w:val="22"/>
              <w:lang w:eastAsia="en-AU"/>
            </w:rPr>
          </w:pPr>
          <w:hyperlink w:anchor="_Toc526432251" w:history="1">
            <w:r w:rsidR="002A2AA6" w:rsidRPr="003F5B22">
              <w:rPr>
                <w:rStyle w:val="Hyperlink"/>
                <w:rFonts w:eastAsiaTheme="majorEastAsia"/>
              </w:rPr>
              <w:t>1.3</w:t>
            </w:r>
            <w:r w:rsidR="002A2AA6">
              <w:rPr>
                <w:rFonts w:asciiTheme="minorHAnsi" w:eastAsiaTheme="minorEastAsia" w:hAnsiTheme="minorHAnsi" w:cstheme="minorBidi"/>
                <w:b w:val="0"/>
                <w:color w:val="auto"/>
                <w:sz w:val="22"/>
                <w:szCs w:val="22"/>
                <w:lang w:eastAsia="en-AU"/>
              </w:rPr>
              <w:tab/>
            </w:r>
            <w:r w:rsidR="002A2AA6" w:rsidRPr="003F5B22">
              <w:rPr>
                <w:rStyle w:val="Hyperlink"/>
                <w:rFonts w:eastAsiaTheme="majorEastAsia"/>
              </w:rPr>
              <w:t>Risk assessment</w:t>
            </w:r>
            <w:r w:rsidR="002A2AA6">
              <w:rPr>
                <w:webHidden/>
              </w:rPr>
              <w:tab/>
            </w:r>
            <w:r w:rsidR="002A2AA6">
              <w:rPr>
                <w:webHidden/>
              </w:rPr>
              <w:fldChar w:fldCharType="begin"/>
            </w:r>
            <w:r w:rsidR="002A2AA6">
              <w:rPr>
                <w:webHidden/>
              </w:rPr>
              <w:instrText xml:space="preserve"> PAGEREF _Toc526432251 \h </w:instrText>
            </w:r>
            <w:r w:rsidR="002A2AA6">
              <w:rPr>
                <w:webHidden/>
              </w:rPr>
            </w:r>
            <w:r w:rsidR="002A2AA6">
              <w:rPr>
                <w:webHidden/>
              </w:rPr>
              <w:fldChar w:fldCharType="separate"/>
            </w:r>
            <w:r w:rsidR="00225D67">
              <w:rPr>
                <w:webHidden/>
              </w:rPr>
              <w:t>59</w:t>
            </w:r>
            <w:r w:rsidR="002A2AA6">
              <w:rPr>
                <w:webHidden/>
              </w:rPr>
              <w:fldChar w:fldCharType="end"/>
            </w:r>
          </w:hyperlink>
        </w:p>
        <w:p w:rsidR="002A2AA6" w:rsidRDefault="0086416E">
          <w:pPr>
            <w:pStyle w:val="TOC3"/>
            <w:tabs>
              <w:tab w:val="left" w:pos="1100"/>
            </w:tabs>
            <w:rPr>
              <w:rFonts w:asciiTheme="minorHAnsi" w:eastAsiaTheme="minorEastAsia" w:hAnsiTheme="minorHAnsi" w:cstheme="minorBidi"/>
              <w:sz w:val="22"/>
              <w:szCs w:val="22"/>
              <w:lang w:eastAsia="en-AU"/>
            </w:rPr>
          </w:pPr>
          <w:hyperlink w:anchor="_Toc526432252" w:history="1">
            <w:r w:rsidR="002A2AA6" w:rsidRPr="003F5B22">
              <w:rPr>
                <w:rStyle w:val="Hyperlink"/>
                <w:rFonts w:eastAsiaTheme="majorEastAsia"/>
              </w:rPr>
              <w:t>1.3.1</w:t>
            </w:r>
            <w:r w:rsidR="002A2AA6">
              <w:rPr>
                <w:rFonts w:asciiTheme="minorHAnsi" w:eastAsiaTheme="minorEastAsia" w:hAnsiTheme="minorHAnsi" w:cstheme="minorBidi"/>
                <w:sz w:val="22"/>
                <w:szCs w:val="22"/>
                <w:lang w:eastAsia="en-AU"/>
              </w:rPr>
              <w:tab/>
            </w:r>
            <w:r w:rsidR="002A2AA6" w:rsidRPr="003F5B22">
              <w:rPr>
                <w:rStyle w:val="Hyperlink"/>
                <w:rFonts w:eastAsiaTheme="majorEastAsia"/>
              </w:rPr>
              <w:t>Screening level assessment</w:t>
            </w:r>
            <w:r w:rsidR="002A2AA6">
              <w:rPr>
                <w:webHidden/>
              </w:rPr>
              <w:tab/>
            </w:r>
            <w:r w:rsidR="002A2AA6">
              <w:rPr>
                <w:webHidden/>
              </w:rPr>
              <w:fldChar w:fldCharType="begin"/>
            </w:r>
            <w:r w:rsidR="002A2AA6">
              <w:rPr>
                <w:webHidden/>
              </w:rPr>
              <w:instrText xml:space="preserve"> PAGEREF _Toc526432252 \h </w:instrText>
            </w:r>
            <w:r w:rsidR="002A2AA6">
              <w:rPr>
                <w:webHidden/>
              </w:rPr>
            </w:r>
            <w:r w:rsidR="002A2AA6">
              <w:rPr>
                <w:webHidden/>
              </w:rPr>
              <w:fldChar w:fldCharType="separate"/>
            </w:r>
            <w:r w:rsidR="00225D67">
              <w:rPr>
                <w:webHidden/>
              </w:rPr>
              <w:t>60</w:t>
            </w:r>
            <w:r w:rsidR="002A2AA6">
              <w:rPr>
                <w:webHidden/>
              </w:rPr>
              <w:fldChar w:fldCharType="end"/>
            </w:r>
          </w:hyperlink>
        </w:p>
        <w:p w:rsidR="002A2AA6" w:rsidRDefault="0086416E">
          <w:pPr>
            <w:pStyle w:val="TOC3"/>
            <w:tabs>
              <w:tab w:val="left" w:pos="1100"/>
            </w:tabs>
            <w:rPr>
              <w:rFonts w:asciiTheme="minorHAnsi" w:eastAsiaTheme="minorEastAsia" w:hAnsiTheme="minorHAnsi" w:cstheme="minorBidi"/>
              <w:sz w:val="22"/>
              <w:szCs w:val="22"/>
              <w:lang w:eastAsia="en-AU"/>
            </w:rPr>
          </w:pPr>
          <w:hyperlink w:anchor="_Toc526432253" w:history="1">
            <w:r w:rsidR="002A2AA6" w:rsidRPr="003F5B22">
              <w:rPr>
                <w:rStyle w:val="Hyperlink"/>
                <w:rFonts w:eastAsiaTheme="majorEastAsia"/>
              </w:rPr>
              <w:t>1.3.2</w:t>
            </w:r>
            <w:r w:rsidR="002A2AA6">
              <w:rPr>
                <w:rFonts w:asciiTheme="minorHAnsi" w:eastAsiaTheme="minorEastAsia" w:hAnsiTheme="minorHAnsi" w:cstheme="minorBidi"/>
                <w:sz w:val="22"/>
                <w:szCs w:val="22"/>
                <w:lang w:eastAsia="en-AU"/>
              </w:rPr>
              <w:tab/>
            </w:r>
            <w:r w:rsidR="002A2AA6" w:rsidRPr="003F5B22">
              <w:rPr>
                <w:rStyle w:val="Hyperlink"/>
                <w:rFonts w:eastAsiaTheme="majorEastAsia"/>
              </w:rPr>
              <w:t>Refined assessment</w:t>
            </w:r>
            <w:r w:rsidR="002A2AA6">
              <w:rPr>
                <w:webHidden/>
              </w:rPr>
              <w:tab/>
            </w:r>
            <w:r w:rsidR="002A2AA6">
              <w:rPr>
                <w:webHidden/>
              </w:rPr>
              <w:fldChar w:fldCharType="begin"/>
            </w:r>
            <w:r w:rsidR="002A2AA6">
              <w:rPr>
                <w:webHidden/>
              </w:rPr>
              <w:instrText xml:space="preserve"> PAGEREF _Toc526432253 \h </w:instrText>
            </w:r>
            <w:r w:rsidR="002A2AA6">
              <w:rPr>
                <w:webHidden/>
              </w:rPr>
            </w:r>
            <w:r w:rsidR="002A2AA6">
              <w:rPr>
                <w:webHidden/>
              </w:rPr>
              <w:fldChar w:fldCharType="separate"/>
            </w:r>
            <w:r w:rsidR="00225D67">
              <w:rPr>
                <w:webHidden/>
              </w:rPr>
              <w:t>61</w:t>
            </w:r>
            <w:r w:rsidR="002A2AA6">
              <w:rPr>
                <w:webHidden/>
              </w:rPr>
              <w:fldChar w:fldCharType="end"/>
            </w:r>
          </w:hyperlink>
        </w:p>
        <w:p w:rsidR="002A2AA6" w:rsidRDefault="0086416E">
          <w:pPr>
            <w:pStyle w:val="TOC2"/>
            <w:rPr>
              <w:rFonts w:asciiTheme="minorHAnsi" w:eastAsiaTheme="minorEastAsia" w:hAnsiTheme="minorHAnsi" w:cstheme="minorBidi"/>
              <w:b w:val="0"/>
              <w:color w:val="auto"/>
              <w:sz w:val="22"/>
              <w:szCs w:val="22"/>
              <w:lang w:eastAsia="en-AU"/>
            </w:rPr>
          </w:pPr>
          <w:hyperlink w:anchor="_Toc526432254" w:history="1">
            <w:r w:rsidR="002A2AA6" w:rsidRPr="003F5B22">
              <w:rPr>
                <w:rStyle w:val="Hyperlink"/>
                <w:rFonts w:eastAsiaTheme="majorEastAsia"/>
              </w:rPr>
              <w:t>1.4</w:t>
            </w:r>
            <w:r w:rsidR="002A2AA6">
              <w:rPr>
                <w:rFonts w:asciiTheme="minorHAnsi" w:eastAsiaTheme="minorEastAsia" w:hAnsiTheme="minorHAnsi" w:cstheme="minorBidi"/>
                <w:b w:val="0"/>
                <w:color w:val="auto"/>
                <w:sz w:val="22"/>
                <w:szCs w:val="22"/>
                <w:lang w:eastAsia="en-AU"/>
              </w:rPr>
              <w:tab/>
            </w:r>
            <w:r w:rsidR="002A2AA6" w:rsidRPr="003F5B22">
              <w:rPr>
                <w:rStyle w:val="Hyperlink"/>
                <w:rFonts w:eastAsiaTheme="majorEastAsia"/>
              </w:rPr>
              <w:t>Combination toxicity</w:t>
            </w:r>
            <w:r w:rsidR="002A2AA6">
              <w:rPr>
                <w:webHidden/>
              </w:rPr>
              <w:tab/>
            </w:r>
            <w:r w:rsidR="002A2AA6">
              <w:rPr>
                <w:webHidden/>
              </w:rPr>
              <w:fldChar w:fldCharType="begin"/>
            </w:r>
            <w:r w:rsidR="002A2AA6">
              <w:rPr>
                <w:webHidden/>
              </w:rPr>
              <w:instrText xml:space="preserve"> PAGEREF _Toc526432254 \h </w:instrText>
            </w:r>
            <w:r w:rsidR="002A2AA6">
              <w:rPr>
                <w:webHidden/>
              </w:rPr>
            </w:r>
            <w:r w:rsidR="002A2AA6">
              <w:rPr>
                <w:webHidden/>
              </w:rPr>
              <w:fldChar w:fldCharType="separate"/>
            </w:r>
            <w:r w:rsidR="00225D67">
              <w:rPr>
                <w:webHidden/>
              </w:rPr>
              <w:t>62</w:t>
            </w:r>
            <w:r w:rsidR="002A2AA6">
              <w:rPr>
                <w:webHidden/>
              </w:rPr>
              <w:fldChar w:fldCharType="end"/>
            </w:r>
          </w:hyperlink>
        </w:p>
        <w:p w:rsidR="002A2AA6" w:rsidRDefault="0086416E">
          <w:pPr>
            <w:pStyle w:val="TOC2"/>
            <w:rPr>
              <w:rFonts w:asciiTheme="minorHAnsi" w:eastAsiaTheme="minorEastAsia" w:hAnsiTheme="minorHAnsi" w:cstheme="minorBidi"/>
              <w:b w:val="0"/>
              <w:color w:val="auto"/>
              <w:sz w:val="22"/>
              <w:szCs w:val="22"/>
              <w:lang w:eastAsia="en-AU"/>
            </w:rPr>
          </w:pPr>
          <w:hyperlink w:anchor="_Toc526432255" w:history="1">
            <w:r w:rsidR="002A2AA6" w:rsidRPr="003F5B22">
              <w:rPr>
                <w:rStyle w:val="Hyperlink"/>
                <w:rFonts w:eastAsiaTheme="majorEastAsia"/>
              </w:rPr>
              <w:t>1.5</w:t>
            </w:r>
            <w:r w:rsidR="002A2AA6">
              <w:rPr>
                <w:rFonts w:asciiTheme="minorHAnsi" w:eastAsiaTheme="minorEastAsia" w:hAnsiTheme="minorHAnsi" w:cstheme="minorBidi"/>
                <w:b w:val="0"/>
                <w:color w:val="auto"/>
                <w:sz w:val="22"/>
                <w:szCs w:val="22"/>
                <w:lang w:eastAsia="en-AU"/>
              </w:rPr>
              <w:tab/>
            </w:r>
            <w:r w:rsidR="002A2AA6" w:rsidRPr="003F5B22">
              <w:rPr>
                <w:rStyle w:val="Hyperlink"/>
                <w:rFonts w:eastAsiaTheme="majorEastAsia"/>
              </w:rPr>
              <w:t>Risk assessment tables</w:t>
            </w:r>
            <w:r w:rsidR="002A2AA6">
              <w:rPr>
                <w:webHidden/>
              </w:rPr>
              <w:tab/>
            </w:r>
            <w:r w:rsidR="002A2AA6">
              <w:rPr>
                <w:webHidden/>
              </w:rPr>
              <w:fldChar w:fldCharType="begin"/>
            </w:r>
            <w:r w:rsidR="002A2AA6">
              <w:rPr>
                <w:webHidden/>
              </w:rPr>
              <w:instrText xml:space="preserve"> PAGEREF _Toc526432255 \h </w:instrText>
            </w:r>
            <w:r w:rsidR="002A2AA6">
              <w:rPr>
                <w:webHidden/>
              </w:rPr>
            </w:r>
            <w:r w:rsidR="002A2AA6">
              <w:rPr>
                <w:webHidden/>
              </w:rPr>
              <w:fldChar w:fldCharType="separate"/>
            </w:r>
            <w:r w:rsidR="00225D67">
              <w:rPr>
                <w:webHidden/>
              </w:rPr>
              <w:t>62</w:t>
            </w:r>
            <w:r w:rsidR="002A2AA6">
              <w:rPr>
                <w:webHidden/>
              </w:rPr>
              <w:fldChar w:fldCharType="end"/>
            </w:r>
          </w:hyperlink>
        </w:p>
        <w:p w:rsidR="002A2AA6" w:rsidRDefault="0086416E">
          <w:pPr>
            <w:pStyle w:val="TOC2"/>
            <w:rPr>
              <w:rFonts w:asciiTheme="minorHAnsi" w:eastAsiaTheme="minorEastAsia" w:hAnsiTheme="minorHAnsi" w:cstheme="minorBidi"/>
              <w:b w:val="0"/>
              <w:color w:val="auto"/>
              <w:sz w:val="22"/>
              <w:szCs w:val="22"/>
              <w:lang w:eastAsia="en-AU"/>
            </w:rPr>
          </w:pPr>
          <w:hyperlink w:anchor="_Toc526432256" w:history="1">
            <w:r w:rsidR="002A2AA6" w:rsidRPr="003F5B22">
              <w:rPr>
                <w:rStyle w:val="Hyperlink"/>
                <w:rFonts w:eastAsiaTheme="majorEastAsia"/>
              </w:rPr>
              <w:t>1.6</w:t>
            </w:r>
            <w:r w:rsidR="002A2AA6">
              <w:rPr>
                <w:rFonts w:asciiTheme="minorHAnsi" w:eastAsiaTheme="minorEastAsia" w:hAnsiTheme="minorHAnsi" w:cstheme="minorBidi"/>
                <w:b w:val="0"/>
                <w:color w:val="auto"/>
                <w:sz w:val="22"/>
                <w:szCs w:val="22"/>
                <w:lang w:eastAsia="en-AU"/>
              </w:rPr>
              <w:tab/>
            </w:r>
            <w:r w:rsidR="002A2AA6" w:rsidRPr="003F5B22">
              <w:rPr>
                <w:rStyle w:val="Hyperlink"/>
                <w:rFonts w:eastAsiaTheme="majorEastAsia"/>
              </w:rPr>
              <w:t>Risk mitigation</w:t>
            </w:r>
            <w:r w:rsidR="002A2AA6">
              <w:rPr>
                <w:webHidden/>
              </w:rPr>
              <w:tab/>
            </w:r>
            <w:r w:rsidR="002A2AA6">
              <w:rPr>
                <w:webHidden/>
              </w:rPr>
              <w:fldChar w:fldCharType="begin"/>
            </w:r>
            <w:r w:rsidR="002A2AA6">
              <w:rPr>
                <w:webHidden/>
              </w:rPr>
              <w:instrText xml:space="preserve"> PAGEREF _Toc526432256 \h </w:instrText>
            </w:r>
            <w:r w:rsidR="002A2AA6">
              <w:rPr>
                <w:webHidden/>
              </w:rPr>
            </w:r>
            <w:r w:rsidR="002A2AA6">
              <w:rPr>
                <w:webHidden/>
              </w:rPr>
              <w:fldChar w:fldCharType="separate"/>
            </w:r>
            <w:r w:rsidR="00225D67">
              <w:rPr>
                <w:webHidden/>
              </w:rPr>
              <w:t>64</w:t>
            </w:r>
            <w:r w:rsidR="002A2AA6">
              <w:rPr>
                <w:webHidden/>
              </w:rPr>
              <w:fldChar w:fldCharType="end"/>
            </w:r>
          </w:hyperlink>
        </w:p>
        <w:p w:rsidR="002A2AA6" w:rsidRDefault="0086416E">
          <w:pPr>
            <w:pStyle w:val="TOC2"/>
            <w:rPr>
              <w:rFonts w:asciiTheme="minorHAnsi" w:eastAsiaTheme="minorEastAsia" w:hAnsiTheme="minorHAnsi" w:cstheme="minorBidi"/>
              <w:b w:val="0"/>
              <w:color w:val="auto"/>
              <w:sz w:val="22"/>
              <w:szCs w:val="22"/>
              <w:lang w:eastAsia="en-AU"/>
            </w:rPr>
          </w:pPr>
          <w:hyperlink w:anchor="_Toc526432257" w:history="1">
            <w:r w:rsidR="002A2AA6" w:rsidRPr="003F5B22">
              <w:rPr>
                <w:rStyle w:val="Hyperlink"/>
                <w:rFonts w:eastAsiaTheme="majorEastAsia"/>
              </w:rPr>
              <w:t>1.7</w:t>
            </w:r>
            <w:r w:rsidR="002A2AA6">
              <w:rPr>
                <w:rFonts w:asciiTheme="minorHAnsi" w:eastAsiaTheme="minorEastAsia" w:hAnsiTheme="minorHAnsi" w:cstheme="minorBidi"/>
                <w:b w:val="0"/>
                <w:color w:val="auto"/>
                <w:sz w:val="22"/>
                <w:szCs w:val="22"/>
                <w:lang w:eastAsia="en-AU"/>
              </w:rPr>
              <w:tab/>
            </w:r>
            <w:r w:rsidR="002A2AA6" w:rsidRPr="003F5B22">
              <w:rPr>
                <w:rStyle w:val="Hyperlink"/>
                <w:rFonts w:eastAsiaTheme="majorEastAsia"/>
              </w:rPr>
              <w:t>References</w:t>
            </w:r>
            <w:r w:rsidR="002A2AA6">
              <w:rPr>
                <w:webHidden/>
              </w:rPr>
              <w:tab/>
            </w:r>
            <w:r w:rsidR="002A2AA6">
              <w:rPr>
                <w:webHidden/>
              </w:rPr>
              <w:fldChar w:fldCharType="begin"/>
            </w:r>
            <w:r w:rsidR="002A2AA6">
              <w:rPr>
                <w:webHidden/>
              </w:rPr>
              <w:instrText xml:space="preserve"> PAGEREF _Toc526432257 \h </w:instrText>
            </w:r>
            <w:r w:rsidR="002A2AA6">
              <w:rPr>
                <w:webHidden/>
              </w:rPr>
            </w:r>
            <w:r w:rsidR="002A2AA6">
              <w:rPr>
                <w:webHidden/>
              </w:rPr>
              <w:fldChar w:fldCharType="separate"/>
            </w:r>
            <w:r w:rsidR="00225D67">
              <w:rPr>
                <w:webHidden/>
              </w:rPr>
              <w:t>64</w:t>
            </w:r>
            <w:r w:rsidR="002A2AA6">
              <w:rPr>
                <w:webHidden/>
              </w:rPr>
              <w:fldChar w:fldCharType="end"/>
            </w:r>
          </w:hyperlink>
        </w:p>
        <w:p w:rsidR="002A2AA6" w:rsidRDefault="0086416E">
          <w:pPr>
            <w:pStyle w:val="TOC1"/>
            <w:rPr>
              <w:rFonts w:asciiTheme="minorHAnsi" w:eastAsiaTheme="minorEastAsia" w:hAnsiTheme="minorHAnsi" w:cstheme="minorBidi"/>
              <w:b w:val="0"/>
              <w:bCs w:val="0"/>
              <w:caps w:val="0"/>
              <w:color w:val="auto"/>
              <w:kern w:val="0"/>
              <w:szCs w:val="22"/>
              <w:lang w:eastAsia="en-AU"/>
            </w:rPr>
          </w:pPr>
          <w:hyperlink w:anchor="_Toc526432258" w:history="1">
            <w:r w:rsidR="002A2AA6" w:rsidRPr="003F5B22">
              <w:rPr>
                <w:rStyle w:val="Hyperlink"/>
                <w:rFonts w:eastAsiaTheme="majorEastAsia"/>
              </w:rPr>
              <w:t>1</w:t>
            </w:r>
            <w:r w:rsidR="002A2AA6">
              <w:rPr>
                <w:rFonts w:asciiTheme="minorHAnsi" w:eastAsiaTheme="minorEastAsia" w:hAnsiTheme="minorHAnsi" w:cstheme="minorBidi"/>
                <w:b w:val="0"/>
                <w:bCs w:val="0"/>
                <w:caps w:val="0"/>
                <w:color w:val="auto"/>
                <w:kern w:val="0"/>
                <w:szCs w:val="22"/>
                <w:lang w:eastAsia="en-AU"/>
              </w:rPr>
              <w:tab/>
            </w:r>
            <w:r w:rsidR="002A2AA6" w:rsidRPr="003F5B22">
              <w:rPr>
                <w:rStyle w:val="Hyperlink"/>
                <w:rFonts w:eastAsiaTheme="majorEastAsia"/>
              </w:rPr>
              <w:t>APpendix D – Non-Target Terrestrial Plants</w:t>
            </w:r>
            <w:r w:rsidR="002A2AA6">
              <w:rPr>
                <w:webHidden/>
              </w:rPr>
              <w:tab/>
            </w:r>
            <w:r w:rsidR="002A2AA6">
              <w:rPr>
                <w:webHidden/>
              </w:rPr>
              <w:fldChar w:fldCharType="begin"/>
            </w:r>
            <w:r w:rsidR="002A2AA6">
              <w:rPr>
                <w:webHidden/>
              </w:rPr>
              <w:instrText xml:space="preserve"> PAGEREF _Toc526432258 \h </w:instrText>
            </w:r>
            <w:r w:rsidR="002A2AA6">
              <w:rPr>
                <w:webHidden/>
              </w:rPr>
            </w:r>
            <w:r w:rsidR="002A2AA6">
              <w:rPr>
                <w:webHidden/>
              </w:rPr>
              <w:fldChar w:fldCharType="separate"/>
            </w:r>
            <w:r w:rsidR="00225D67">
              <w:rPr>
                <w:webHidden/>
              </w:rPr>
              <w:t>65</w:t>
            </w:r>
            <w:r w:rsidR="002A2AA6">
              <w:rPr>
                <w:webHidden/>
              </w:rPr>
              <w:fldChar w:fldCharType="end"/>
            </w:r>
          </w:hyperlink>
        </w:p>
        <w:p w:rsidR="002A2AA6" w:rsidRDefault="0086416E">
          <w:pPr>
            <w:pStyle w:val="TOC2"/>
            <w:rPr>
              <w:rFonts w:asciiTheme="minorHAnsi" w:eastAsiaTheme="minorEastAsia" w:hAnsiTheme="minorHAnsi" w:cstheme="minorBidi"/>
              <w:b w:val="0"/>
              <w:color w:val="auto"/>
              <w:sz w:val="22"/>
              <w:szCs w:val="22"/>
              <w:lang w:eastAsia="en-AU"/>
            </w:rPr>
          </w:pPr>
          <w:hyperlink w:anchor="_Toc526432259" w:history="1">
            <w:r w:rsidR="002A2AA6" w:rsidRPr="003F5B22">
              <w:rPr>
                <w:rStyle w:val="Hyperlink"/>
                <w:rFonts w:eastAsiaTheme="majorEastAsia"/>
              </w:rPr>
              <w:t>1.1</w:t>
            </w:r>
            <w:r w:rsidR="002A2AA6">
              <w:rPr>
                <w:rFonts w:asciiTheme="minorHAnsi" w:eastAsiaTheme="minorEastAsia" w:hAnsiTheme="minorHAnsi" w:cstheme="minorBidi"/>
                <w:b w:val="0"/>
                <w:color w:val="auto"/>
                <w:sz w:val="22"/>
                <w:szCs w:val="22"/>
                <w:lang w:eastAsia="en-AU"/>
              </w:rPr>
              <w:tab/>
            </w:r>
            <w:r w:rsidR="002A2AA6" w:rsidRPr="003F5B22">
              <w:rPr>
                <w:rStyle w:val="Hyperlink"/>
                <w:rFonts w:eastAsiaTheme="majorEastAsia"/>
              </w:rPr>
              <w:t>Introduction</w:t>
            </w:r>
            <w:r w:rsidR="002A2AA6">
              <w:rPr>
                <w:webHidden/>
              </w:rPr>
              <w:tab/>
            </w:r>
            <w:r w:rsidR="002A2AA6">
              <w:rPr>
                <w:webHidden/>
              </w:rPr>
              <w:fldChar w:fldCharType="begin"/>
            </w:r>
            <w:r w:rsidR="002A2AA6">
              <w:rPr>
                <w:webHidden/>
              </w:rPr>
              <w:instrText xml:space="preserve"> PAGEREF _Toc526432259 \h </w:instrText>
            </w:r>
            <w:r w:rsidR="002A2AA6">
              <w:rPr>
                <w:webHidden/>
              </w:rPr>
            </w:r>
            <w:r w:rsidR="002A2AA6">
              <w:rPr>
                <w:webHidden/>
              </w:rPr>
              <w:fldChar w:fldCharType="separate"/>
            </w:r>
            <w:r w:rsidR="00225D67">
              <w:rPr>
                <w:webHidden/>
              </w:rPr>
              <w:t>65</w:t>
            </w:r>
            <w:r w:rsidR="002A2AA6">
              <w:rPr>
                <w:webHidden/>
              </w:rPr>
              <w:fldChar w:fldCharType="end"/>
            </w:r>
          </w:hyperlink>
        </w:p>
        <w:p w:rsidR="002A2AA6" w:rsidRDefault="0086416E">
          <w:pPr>
            <w:pStyle w:val="TOC2"/>
            <w:rPr>
              <w:rFonts w:asciiTheme="minorHAnsi" w:eastAsiaTheme="minorEastAsia" w:hAnsiTheme="minorHAnsi" w:cstheme="minorBidi"/>
              <w:b w:val="0"/>
              <w:color w:val="auto"/>
              <w:sz w:val="22"/>
              <w:szCs w:val="22"/>
              <w:lang w:eastAsia="en-AU"/>
            </w:rPr>
          </w:pPr>
          <w:hyperlink w:anchor="_Toc526432260" w:history="1">
            <w:r w:rsidR="002A2AA6" w:rsidRPr="003F5B22">
              <w:rPr>
                <w:rStyle w:val="Hyperlink"/>
                <w:rFonts w:eastAsiaTheme="majorEastAsia"/>
              </w:rPr>
              <w:t>1.2</w:t>
            </w:r>
            <w:r w:rsidR="002A2AA6">
              <w:rPr>
                <w:rFonts w:asciiTheme="minorHAnsi" w:eastAsiaTheme="minorEastAsia" w:hAnsiTheme="minorHAnsi" w:cstheme="minorBidi"/>
                <w:b w:val="0"/>
                <w:color w:val="auto"/>
                <w:sz w:val="22"/>
                <w:szCs w:val="22"/>
                <w:lang w:eastAsia="en-AU"/>
              </w:rPr>
              <w:tab/>
            </w:r>
            <w:r w:rsidR="002A2AA6" w:rsidRPr="003F5B22">
              <w:rPr>
                <w:rStyle w:val="Hyperlink"/>
                <w:rFonts w:eastAsiaTheme="majorEastAsia"/>
              </w:rPr>
              <w:t>Toxicity figures</w:t>
            </w:r>
            <w:r w:rsidR="002A2AA6">
              <w:rPr>
                <w:webHidden/>
              </w:rPr>
              <w:tab/>
            </w:r>
            <w:r w:rsidR="002A2AA6">
              <w:rPr>
                <w:webHidden/>
              </w:rPr>
              <w:fldChar w:fldCharType="begin"/>
            </w:r>
            <w:r w:rsidR="002A2AA6">
              <w:rPr>
                <w:webHidden/>
              </w:rPr>
              <w:instrText xml:space="preserve"> PAGEREF _Toc526432260 \h </w:instrText>
            </w:r>
            <w:r w:rsidR="002A2AA6">
              <w:rPr>
                <w:webHidden/>
              </w:rPr>
            </w:r>
            <w:r w:rsidR="002A2AA6">
              <w:rPr>
                <w:webHidden/>
              </w:rPr>
              <w:fldChar w:fldCharType="separate"/>
            </w:r>
            <w:r w:rsidR="00225D67">
              <w:rPr>
                <w:webHidden/>
              </w:rPr>
              <w:t>65</w:t>
            </w:r>
            <w:r w:rsidR="002A2AA6">
              <w:rPr>
                <w:webHidden/>
              </w:rPr>
              <w:fldChar w:fldCharType="end"/>
            </w:r>
          </w:hyperlink>
        </w:p>
        <w:p w:rsidR="002A2AA6" w:rsidRDefault="0086416E">
          <w:pPr>
            <w:pStyle w:val="TOC2"/>
            <w:rPr>
              <w:rFonts w:asciiTheme="minorHAnsi" w:eastAsiaTheme="minorEastAsia" w:hAnsiTheme="minorHAnsi" w:cstheme="minorBidi"/>
              <w:b w:val="0"/>
              <w:color w:val="auto"/>
              <w:sz w:val="22"/>
              <w:szCs w:val="22"/>
              <w:lang w:eastAsia="en-AU"/>
            </w:rPr>
          </w:pPr>
          <w:hyperlink w:anchor="_Toc526432261" w:history="1">
            <w:r w:rsidR="002A2AA6" w:rsidRPr="003F5B22">
              <w:rPr>
                <w:rStyle w:val="Hyperlink"/>
                <w:rFonts w:eastAsiaTheme="majorEastAsia"/>
              </w:rPr>
              <w:t>1.3</w:t>
            </w:r>
            <w:r w:rsidR="002A2AA6">
              <w:rPr>
                <w:rFonts w:asciiTheme="minorHAnsi" w:eastAsiaTheme="minorEastAsia" w:hAnsiTheme="minorHAnsi" w:cstheme="minorBidi"/>
                <w:b w:val="0"/>
                <w:color w:val="auto"/>
                <w:sz w:val="22"/>
                <w:szCs w:val="22"/>
                <w:lang w:eastAsia="en-AU"/>
              </w:rPr>
              <w:tab/>
            </w:r>
            <w:r w:rsidR="002A2AA6" w:rsidRPr="003F5B22">
              <w:rPr>
                <w:rStyle w:val="Hyperlink"/>
                <w:rFonts w:eastAsiaTheme="majorEastAsia"/>
              </w:rPr>
              <w:t>Risk assessment</w:t>
            </w:r>
            <w:r w:rsidR="002A2AA6">
              <w:rPr>
                <w:webHidden/>
              </w:rPr>
              <w:tab/>
            </w:r>
            <w:r w:rsidR="002A2AA6">
              <w:rPr>
                <w:webHidden/>
              </w:rPr>
              <w:fldChar w:fldCharType="begin"/>
            </w:r>
            <w:r w:rsidR="002A2AA6">
              <w:rPr>
                <w:webHidden/>
              </w:rPr>
              <w:instrText xml:space="preserve"> PAGEREF _Toc526432261 \h </w:instrText>
            </w:r>
            <w:r w:rsidR="002A2AA6">
              <w:rPr>
                <w:webHidden/>
              </w:rPr>
            </w:r>
            <w:r w:rsidR="002A2AA6">
              <w:rPr>
                <w:webHidden/>
              </w:rPr>
              <w:fldChar w:fldCharType="separate"/>
            </w:r>
            <w:r w:rsidR="00225D67">
              <w:rPr>
                <w:webHidden/>
              </w:rPr>
              <w:t>66</w:t>
            </w:r>
            <w:r w:rsidR="002A2AA6">
              <w:rPr>
                <w:webHidden/>
              </w:rPr>
              <w:fldChar w:fldCharType="end"/>
            </w:r>
          </w:hyperlink>
        </w:p>
        <w:p w:rsidR="002A2AA6" w:rsidRDefault="0086416E">
          <w:pPr>
            <w:pStyle w:val="TOC2"/>
            <w:rPr>
              <w:rFonts w:asciiTheme="minorHAnsi" w:eastAsiaTheme="minorEastAsia" w:hAnsiTheme="minorHAnsi" w:cstheme="minorBidi"/>
              <w:b w:val="0"/>
              <w:color w:val="auto"/>
              <w:sz w:val="22"/>
              <w:szCs w:val="22"/>
              <w:lang w:eastAsia="en-AU"/>
            </w:rPr>
          </w:pPr>
          <w:hyperlink w:anchor="_Toc526432262" w:history="1">
            <w:r w:rsidR="002A2AA6" w:rsidRPr="003F5B22">
              <w:rPr>
                <w:rStyle w:val="Hyperlink"/>
                <w:rFonts w:eastAsiaTheme="majorEastAsia"/>
              </w:rPr>
              <w:t>1.4</w:t>
            </w:r>
            <w:r w:rsidR="002A2AA6">
              <w:rPr>
                <w:rFonts w:asciiTheme="minorHAnsi" w:eastAsiaTheme="minorEastAsia" w:hAnsiTheme="minorHAnsi" w:cstheme="minorBidi"/>
                <w:b w:val="0"/>
                <w:color w:val="auto"/>
                <w:sz w:val="22"/>
                <w:szCs w:val="22"/>
                <w:lang w:eastAsia="en-AU"/>
              </w:rPr>
              <w:tab/>
            </w:r>
            <w:r w:rsidR="002A2AA6" w:rsidRPr="003F5B22">
              <w:rPr>
                <w:rStyle w:val="Hyperlink"/>
                <w:rFonts w:eastAsiaTheme="majorEastAsia"/>
              </w:rPr>
              <w:t>Combination toxicity</w:t>
            </w:r>
            <w:r w:rsidR="002A2AA6">
              <w:rPr>
                <w:webHidden/>
              </w:rPr>
              <w:tab/>
            </w:r>
            <w:r w:rsidR="002A2AA6">
              <w:rPr>
                <w:webHidden/>
              </w:rPr>
              <w:fldChar w:fldCharType="begin"/>
            </w:r>
            <w:r w:rsidR="002A2AA6">
              <w:rPr>
                <w:webHidden/>
              </w:rPr>
              <w:instrText xml:space="preserve"> PAGEREF _Toc526432262 \h </w:instrText>
            </w:r>
            <w:r w:rsidR="002A2AA6">
              <w:rPr>
                <w:webHidden/>
              </w:rPr>
            </w:r>
            <w:r w:rsidR="002A2AA6">
              <w:rPr>
                <w:webHidden/>
              </w:rPr>
              <w:fldChar w:fldCharType="separate"/>
            </w:r>
            <w:r w:rsidR="00225D67">
              <w:rPr>
                <w:webHidden/>
              </w:rPr>
              <w:t>66</w:t>
            </w:r>
            <w:r w:rsidR="002A2AA6">
              <w:rPr>
                <w:webHidden/>
              </w:rPr>
              <w:fldChar w:fldCharType="end"/>
            </w:r>
          </w:hyperlink>
        </w:p>
        <w:p w:rsidR="002A2AA6" w:rsidRDefault="0086416E">
          <w:pPr>
            <w:pStyle w:val="TOC2"/>
            <w:rPr>
              <w:rFonts w:asciiTheme="minorHAnsi" w:eastAsiaTheme="minorEastAsia" w:hAnsiTheme="minorHAnsi" w:cstheme="minorBidi"/>
              <w:b w:val="0"/>
              <w:color w:val="auto"/>
              <w:sz w:val="22"/>
              <w:szCs w:val="22"/>
              <w:lang w:eastAsia="en-AU"/>
            </w:rPr>
          </w:pPr>
          <w:hyperlink w:anchor="_Toc526432263" w:history="1">
            <w:r w:rsidR="002A2AA6" w:rsidRPr="003F5B22">
              <w:rPr>
                <w:rStyle w:val="Hyperlink"/>
                <w:rFonts w:eastAsiaTheme="majorEastAsia"/>
              </w:rPr>
              <w:t>1.5</w:t>
            </w:r>
            <w:r w:rsidR="002A2AA6">
              <w:rPr>
                <w:rFonts w:asciiTheme="minorHAnsi" w:eastAsiaTheme="minorEastAsia" w:hAnsiTheme="minorHAnsi" w:cstheme="minorBidi"/>
                <w:b w:val="0"/>
                <w:color w:val="auto"/>
                <w:sz w:val="22"/>
                <w:szCs w:val="22"/>
                <w:lang w:eastAsia="en-AU"/>
              </w:rPr>
              <w:tab/>
            </w:r>
            <w:r w:rsidR="002A2AA6" w:rsidRPr="003F5B22">
              <w:rPr>
                <w:rStyle w:val="Hyperlink"/>
                <w:rFonts w:eastAsiaTheme="majorEastAsia"/>
              </w:rPr>
              <w:t>Risk assessment tables</w:t>
            </w:r>
            <w:r w:rsidR="002A2AA6">
              <w:rPr>
                <w:webHidden/>
              </w:rPr>
              <w:tab/>
            </w:r>
            <w:r w:rsidR="002A2AA6">
              <w:rPr>
                <w:webHidden/>
              </w:rPr>
              <w:fldChar w:fldCharType="begin"/>
            </w:r>
            <w:r w:rsidR="002A2AA6">
              <w:rPr>
                <w:webHidden/>
              </w:rPr>
              <w:instrText xml:space="preserve"> PAGEREF _Toc526432263 \h </w:instrText>
            </w:r>
            <w:r w:rsidR="002A2AA6">
              <w:rPr>
                <w:webHidden/>
              </w:rPr>
            </w:r>
            <w:r w:rsidR="002A2AA6">
              <w:rPr>
                <w:webHidden/>
              </w:rPr>
              <w:fldChar w:fldCharType="separate"/>
            </w:r>
            <w:r w:rsidR="00225D67">
              <w:rPr>
                <w:webHidden/>
              </w:rPr>
              <w:t>67</w:t>
            </w:r>
            <w:r w:rsidR="002A2AA6">
              <w:rPr>
                <w:webHidden/>
              </w:rPr>
              <w:fldChar w:fldCharType="end"/>
            </w:r>
          </w:hyperlink>
        </w:p>
        <w:p w:rsidR="002A2AA6" w:rsidRDefault="0086416E">
          <w:pPr>
            <w:pStyle w:val="TOC2"/>
            <w:rPr>
              <w:rFonts w:asciiTheme="minorHAnsi" w:eastAsiaTheme="minorEastAsia" w:hAnsiTheme="minorHAnsi" w:cstheme="minorBidi"/>
              <w:b w:val="0"/>
              <w:color w:val="auto"/>
              <w:sz w:val="22"/>
              <w:szCs w:val="22"/>
              <w:lang w:eastAsia="en-AU"/>
            </w:rPr>
          </w:pPr>
          <w:hyperlink w:anchor="_Toc526432264" w:history="1">
            <w:r w:rsidR="002A2AA6" w:rsidRPr="003F5B22">
              <w:rPr>
                <w:rStyle w:val="Hyperlink"/>
                <w:rFonts w:eastAsiaTheme="majorEastAsia"/>
              </w:rPr>
              <w:t>1.6</w:t>
            </w:r>
            <w:r w:rsidR="002A2AA6">
              <w:rPr>
                <w:rFonts w:asciiTheme="minorHAnsi" w:eastAsiaTheme="minorEastAsia" w:hAnsiTheme="minorHAnsi" w:cstheme="minorBidi"/>
                <w:b w:val="0"/>
                <w:color w:val="auto"/>
                <w:sz w:val="22"/>
                <w:szCs w:val="22"/>
                <w:lang w:eastAsia="en-AU"/>
              </w:rPr>
              <w:tab/>
            </w:r>
            <w:r w:rsidR="002A2AA6" w:rsidRPr="003F5B22">
              <w:rPr>
                <w:rStyle w:val="Hyperlink"/>
                <w:rFonts w:eastAsiaTheme="majorEastAsia"/>
              </w:rPr>
              <w:t>References</w:t>
            </w:r>
            <w:r w:rsidR="002A2AA6">
              <w:rPr>
                <w:webHidden/>
              </w:rPr>
              <w:tab/>
            </w:r>
            <w:r w:rsidR="002A2AA6">
              <w:rPr>
                <w:webHidden/>
              </w:rPr>
              <w:fldChar w:fldCharType="begin"/>
            </w:r>
            <w:r w:rsidR="002A2AA6">
              <w:rPr>
                <w:webHidden/>
              </w:rPr>
              <w:instrText xml:space="preserve"> PAGEREF _Toc526432264 \h </w:instrText>
            </w:r>
            <w:r w:rsidR="002A2AA6">
              <w:rPr>
                <w:webHidden/>
              </w:rPr>
            </w:r>
            <w:r w:rsidR="002A2AA6">
              <w:rPr>
                <w:webHidden/>
              </w:rPr>
              <w:fldChar w:fldCharType="separate"/>
            </w:r>
            <w:r w:rsidR="00225D67">
              <w:rPr>
                <w:webHidden/>
              </w:rPr>
              <w:t>69</w:t>
            </w:r>
            <w:r w:rsidR="002A2AA6">
              <w:rPr>
                <w:webHidden/>
              </w:rPr>
              <w:fldChar w:fldCharType="end"/>
            </w:r>
          </w:hyperlink>
        </w:p>
        <w:p w:rsidR="004F3CAC" w:rsidRDefault="004F3CAC">
          <w:r>
            <w:rPr>
              <w:b/>
              <w:bCs/>
              <w:noProof/>
            </w:rPr>
            <w:fldChar w:fldCharType="end"/>
          </w:r>
        </w:p>
      </w:sdtContent>
    </w:sdt>
    <w:p w:rsidR="00583D64" w:rsidRDefault="00583D64" w:rsidP="00BF397C">
      <w:pPr>
        <w:pStyle w:val="NormalText"/>
        <w:sectPr w:rsidR="00583D64" w:rsidSect="001A19FE">
          <w:headerReference w:type="default" r:id="rId20"/>
          <w:pgSz w:w="11906" w:h="16838" w:code="9"/>
          <w:pgMar w:top="2552" w:right="1134" w:bottom="1134" w:left="1134" w:header="1701" w:footer="680" w:gutter="0"/>
          <w:pgNumType w:start="1"/>
          <w:cols w:space="708"/>
          <w:docGrid w:linePitch="360"/>
        </w:sectPr>
      </w:pPr>
    </w:p>
    <w:p w:rsidR="003E14E0" w:rsidRDefault="003E14E0" w:rsidP="003E14E0">
      <w:pPr>
        <w:pStyle w:val="Heading1"/>
        <w:ind w:left="709" w:hanging="709"/>
      </w:pPr>
      <w:bookmarkStart w:id="2" w:name="_Toc516740323"/>
      <w:bookmarkStart w:id="3" w:name="_Toc526432170"/>
      <w:r>
        <w:lastRenderedPageBreak/>
        <w:t>Environmental Risk Assessment</w:t>
      </w:r>
      <w:bookmarkEnd w:id="2"/>
      <w:bookmarkEnd w:id="3"/>
    </w:p>
    <w:p w:rsidR="003E14E0" w:rsidRDefault="003E14E0" w:rsidP="003E14E0">
      <w:pPr>
        <w:pStyle w:val="NormalText"/>
      </w:pPr>
      <w:r>
        <w:t xml:space="preserve">The assessment of risk to the environment, like the assessment of risk to human health, is a three-step process. A Hazard Assessment determines how toxic a chemical is to non-target animals and plants an Exposure Assessment involves understanding what happens to a chemical once it enters the environment, and Risk Characterisation uses information from the first two steps combines to produce a single value that sums up the overall level of risk. </w:t>
      </w:r>
    </w:p>
    <w:p w:rsidR="003E14E0" w:rsidRDefault="003E14E0" w:rsidP="003E14E0">
      <w:pPr>
        <w:pStyle w:val="Heading2"/>
      </w:pPr>
      <w:bookmarkStart w:id="4" w:name="_Toc516740324"/>
      <w:bookmarkStart w:id="5" w:name="_Toc526432171"/>
      <w:r>
        <w:t>Step 1</w:t>
      </w:r>
      <w:r w:rsidR="00C34B16">
        <w:t xml:space="preserve"> – </w:t>
      </w:r>
      <w:r>
        <w:t>Problem formulation</w:t>
      </w:r>
      <w:bookmarkEnd w:id="4"/>
      <w:bookmarkEnd w:id="5"/>
    </w:p>
    <w:p w:rsidR="003E14E0" w:rsidRDefault="003E14E0" w:rsidP="003E14E0">
      <w:pPr>
        <w:pStyle w:val="NormalText"/>
      </w:pPr>
      <w:r>
        <w:t>Prior to the r</w:t>
      </w:r>
      <w:r w:rsidR="0091620B">
        <w:t>isk assessment, risk assessors and</w:t>
      </w:r>
      <w:r>
        <w:t xml:space="preserve"> managers from APVMA engage in a planning dialogue to consider and clarify the goals of the assessment. After planning agreements are reached, the problem formulation phase, which is the foundation for the risk assessment, begins. In this process, risk hypotheses or assumptions are generated about why ecological effects may have occurred. </w:t>
      </w:r>
    </w:p>
    <w:p w:rsidR="003E14E0" w:rsidRDefault="00A8423E" w:rsidP="003E14E0">
      <w:pPr>
        <w:pStyle w:val="Heading2"/>
      </w:pPr>
      <w:bookmarkStart w:id="6" w:name="_Toc516740325"/>
      <w:bookmarkStart w:id="7" w:name="_Toc526432172"/>
      <w:r>
        <w:t>Step 2 – Environmental h</w:t>
      </w:r>
      <w:r w:rsidR="003E14E0">
        <w:t xml:space="preserve">azard </w:t>
      </w:r>
      <w:r>
        <w:t>a</w:t>
      </w:r>
      <w:r w:rsidR="003E14E0">
        <w:t>ssessment</w:t>
      </w:r>
      <w:bookmarkEnd w:id="6"/>
      <w:bookmarkEnd w:id="7"/>
    </w:p>
    <w:p w:rsidR="003E14E0" w:rsidRDefault="003E14E0" w:rsidP="003E14E0">
      <w:pPr>
        <w:pStyle w:val="NormalText"/>
      </w:pPr>
      <w:r>
        <w:t>Some chemicals are more toxic than others. The purpose of the environmental hazard assessment is to determine the hazard to non-target plants and animals of a chemical, based on its toxicity.</w:t>
      </w:r>
    </w:p>
    <w:p w:rsidR="003E14E0" w:rsidRDefault="003E14E0" w:rsidP="003E14E0">
      <w:pPr>
        <w:pStyle w:val="NormalText"/>
      </w:pPr>
      <w:r>
        <w:t>Toxicity is generally established in controlled laboratory settings. Lab studies determine the effects of short and long-term exposure to particular chemicals on small numbers of selected animal and plant species, including birds, insects, earthworms and water-based plants and animals such as fish and aquatic invertebrates.</w:t>
      </w:r>
    </w:p>
    <w:p w:rsidR="003E14E0" w:rsidRDefault="003E14E0" w:rsidP="003E14E0">
      <w:pPr>
        <w:pStyle w:val="NormalText"/>
      </w:pPr>
      <w:r>
        <w:t>Regulatory bodies around the world assess toxicity tests using the same general approach. Because of this common approach, scientists from Australia, Europe, United States, Canada and many other countries are able to share the results of their studies, reducing the overall amount of testing required.</w:t>
      </w:r>
    </w:p>
    <w:p w:rsidR="003E14E0" w:rsidRDefault="003E14E0" w:rsidP="003E14E0">
      <w:pPr>
        <w:pStyle w:val="NormalText"/>
      </w:pPr>
      <w:r>
        <w:t>When determining the toxicity of a particular chemical, scientists are not only interested in determining the lethal level of exposure, many studies also examine the longer-term impacts on growth and reproduction. Some more complex studies investigate the impact on the composition of a species, on an ecological community and on an entire ecosystem.</w:t>
      </w:r>
    </w:p>
    <w:p w:rsidR="003E14E0" w:rsidRDefault="003E14E0" w:rsidP="003E14E0">
      <w:pPr>
        <w:pStyle w:val="NormalText"/>
      </w:pPr>
      <w:r>
        <w:t xml:space="preserve">The final product of an environmental hazard assessment is an </w:t>
      </w:r>
      <w:r w:rsidRPr="0091620B">
        <w:t>ecotoxicity value</w:t>
      </w:r>
      <w:r>
        <w:t xml:space="preserve">, which is an estimate of the lowest amount of a chemical that may cause harmful effects in an ecosystem. This value provides the other part of the information needed to establish the </w:t>
      </w:r>
      <w:r>
        <w:rPr>
          <w:i/>
        </w:rPr>
        <w:t>Risk Characterisation</w:t>
      </w:r>
      <w:r>
        <w:t>.</w:t>
      </w:r>
    </w:p>
    <w:p w:rsidR="003E14E0" w:rsidRDefault="00A8423E" w:rsidP="003E14E0">
      <w:pPr>
        <w:pStyle w:val="Heading2"/>
      </w:pPr>
      <w:bookmarkStart w:id="8" w:name="_Toc516740326"/>
      <w:bookmarkStart w:id="9" w:name="_Toc526432173"/>
      <w:r>
        <w:t>Step 2 – Environmental e</w:t>
      </w:r>
      <w:r w:rsidR="003E14E0">
        <w:t xml:space="preserve">xposure </w:t>
      </w:r>
      <w:r>
        <w:t>a</w:t>
      </w:r>
      <w:r w:rsidR="003E14E0">
        <w:t>ssessment</w:t>
      </w:r>
      <w:bookmarkEnd w:id="8"/>
      <w:bookmarkEnd w:id="9"/>
    </w:p>
    <w:p w:rsidR="003E14E0" w:rsidRDefault="003E14E0" w:rsidP="003E14E0">
      <w:pPr>
        <w:pStyle w:val="NormalText"/>
      </w:pPr>
      <w:r>
        <w:t>Once a chemical enters the environment a lot of things can happen to it. It can be moved around by air or water or come to rest in soil. It can be broken down by sunlight, water or microorganisms. It can also be taken up by plants and animals, where it can either be metabolised (broken down by an organism) or bioaccumulate (stored in an organism’s tissues). Scientists take all these factors into account when conducting studies to determine the behaviour, or fate, of a chemical in the environment.</w:t>
      </w:r>
    </w:p>
    <w:p w:rsidR="003E14E0" w:rsidRDefault="003E14E0" w:rsidP="003E14E0">
      <w:pPr>
        <w:pStyle w:val="NormalText"/>
      </w:pPr>
      <w:r>
        <w:lastRenderedPageBreak/>
        <w:t>A chemical’s fate also depends upon how it is used. For example, a chemical delivered through a spray mechanism will behave differently from one added directly to soil or to one fed to an animal. When conducting environmental exposure assessment scientists consider factors such as the method of application, the target crops or animals, what time of the year it is usually applied and the geographic area in which it will be used.</w:t>
      </w:r>
    </w:p>
    <w:p w:rsidR="003E14E0" w:rsidRDefault="003E14E0" w:rsidP="003E14E0">
      <w:pPr>
        <w:pStyle w:val="NormalText"/>
      </w:pPr>
      <w:r>
        <w:t xml:space="preserve">The final product of an environmental exposure assessment is the calculation of a </w:t>
      </w:r>
      <w:r w:rsidRPr="0091620B">
        <w:t>Predicted Environmental Concentration (PEC).</w:t>
      </w:r>
      <w:r>
        <w:t xml:space="preserve"> A PEC is an estimated value of how much of a chemical (and its break-down components) is likely to be found in a particular part of the environment, such as water or soil or sediment, as a result of normal use. This value provides one part of the information needed to establish the overall level of risk, or </w:t>
      </w:r>
      <w:r>
        <w:rPr>
          <w:i/>
        </w:rPr>
        <w:t>Risk Characterisation.</w:t>
      </w:r>
    </w:p>
    <w:p w:rsidR="003E14E0" w:rsidRDefault="00A8423E" w:rsidP="003E14E0">
      <w:pPr>
        <w:pStyle w:val="Heading2"/>
      </w:pPr>
      <w:bookmarkStart w:id="10" w:name="_Toc516740327"/>
      <w:bookmarkStart w:id="11" w:name="_Toc526432174"/>
      <w:r>
        <w:t>Step 3 – Environmental r</w:t>
      </w:r>
      <w:r w:rsidR="003E14E0">
        <w:t xml:space="preserve">isk </w:t>
      </w:r>
      <w:r>
        <w:t>c</w:t>
      </w:r>
      <w:r w:rsidR="003E14E0">
        <w:t>haracterisation</w:t>
      </w:r>
      <w:bookmarkEnd w:id="10"/>
      <w:bookmarkEnd w:id="11"/>
    </w:p>
    <w:p w:rsidR="003E14E0" w:rsidRDefault="003E14E0" w:rsidP="003E14E0">
      <w:pPr>
        <w:pStyle w:val="NormalText"/>
      </w:pPr>
      <w:r>
        <w:t>Risk characterisation is the final step in the risk assessment process. In this step, the results of the first two steps are combined to produce an estimate of the overall risk to the environment of a particular chemical.</w:t>
      </w:r>
    </w:p>
    <w:p w:rsidR="003E14E0" w:rsidRDefault="003E14E0" w:rsidP="003E14E0">
      <w:pPr>
        <w:pStyle w:val="NormalText"/>
      </w:pPr>
      <w:r>
        <w:t>There are a number of different methods available to determine the overall level of risk. The most common is the deterministic approach, so-called because it determines a single numeric value known as a Risk Quotient, or RQ, which sets the safe limit for the chemical in the environment. The RQ is calculated by dividing the PEC) (derived in Step 1) by the ecotoxicity value (derived in Step 2).</w:t>
      </w:r>
    </w:p>
    <w:p w:rsidR="003E14E0" w:rsidRDefault="003E14E0" w:rsidP="003E14E0">
      <w:pPr>
        <w:pStyle w:val="NormalText"/>
      </w:pPr>
      <w:r>
        <w:t>An RQ determinant should also include detailed information about how the final value was established, as well as discussion about the uncertainties, assumptions, strengths and limitations of the studies used. This allows regulators to take all available information into consideration when determining the rules for how a particular chemical should be used, if at all.</w:t>
      </w:r>
    </w:p>
    <w:p w:rsidR="003E14E0" w:rsidRDefault="003E14E0" w:rsidP="003E14E0">
      <w:pPr>
        <w:pStyle w:val="NormalText"/>
      </w:pPr>
      <w:r>
        <w:t>Some chemicals have the potential to not only be highly toxic, but to also persist in the environment for a very long time. Particular care is required when assessing persistent, bioaccumulative and toxic (PBT) chemicals, whose effects on the environment are often apparent only after a prolonged period of time. Australia has international obligations when assessing chemicals, including the Stockholm Convention on Persistent Organic Pollutants (POPs)</w:t>
      </w:r>
      <w:r>
        <w:rPr>
          <w:rStyle w:val="FootnoteReference"/>
        </w:rPr>
        <w:footnoteReference w:id="1"/>
      </w:r>
      <w:r>
        <w:t>. The APVMA takes these obligations very seriously and assesses each agvet chemical with respect to its persistence in the environment, the ability of the chemical to bioaccumulate and its toxicity to environmental organisms.</w:t>
      </w:r>
    </w:p>
    <w:p w:rsidR="003E14E0" w:rsidRDefault="003E14E0" w:rsidP="003E14E0">
      <w:pPr>
        <w:pStyle w:val="Heading2"/>
      </w:pPr>
      <w:bookmarkStart w:id="12" w:name="_Toc516740328"/>
      <w:bookmarkStart w:id="13" w:name="_Toc526432175"/>
      <w:r>
        <w:t>Refining the risk assessment</w:t>
      </w:r>
      <w:bookmarkEnd w:id="12"/>
      <w:bookmarkEnd w:id="13"/>
    </w:p>
    <w:p w:rsidR="003E14E0" w:rsidRDefault="003E14E0" w:rsidP="0091620B">
      <w:pPr>
        <w:pStyle w:val="NormalText"/>
      </w:pPr>
      <w:r>
        <w:t>The APVMA can require additional studies to be conducted on a product. Additional studies are aimed at developing a more accurate understanding of the risks to the environment from a particular chemical product, which in turn allows regulators to establish more effective rules for its use. For example, a field study may be requested to determine whether or not a chemical behaves the same way ‘in nature’ as it does in a laboratory. Or an ecotoxicology test may be requested to ascertain if the impact of a chemical one or two species in the laboratory is applicable to the impacts that might be seen on a whole ecosystem.</w:t>
      </w:r>
      <w:r>
        <w:br w:type="page"/>
      </w:r>
    </w:p>
    <w:p w:rsidR="003E14E0" w:rsidRPr="003E14E0" w:rsidRDefault="003E14E0" w:rsidP="00442080">
      <w:pPr>
        <w:pStyle w:val="Heading1"/>
        <w:ind w:left="720" w:hanging="720"/>
      </w:pPr>
      <w:bookmarkStart w:id="14" w:name="_Toc516737098"/>
      <w:bookmarkStart w:id="15" w:name="_Toc516740329"/>
      <w:bookmarkStart w:id="16" w:name="_Toc526432176"/>
      <w:r w:rsidRPr="003E14E0">
        <w:lastRenderedPageBreak/>
        <w:t>Regulatory Framework</w:t>
      </w:r>
      <w:bookmarkEnd w:id="14"/>
      <w:bookmarkEnd w:id="15"/>
      <w:bookmarkEnd w:id="16"/>
    </w:p>
    <w:p w:rsidR="0002139F" w:rsidRPr="003E14E0" w:rsidRDefault="0002139F" w:rsidP="0002139F">
      <w:pPr>
        <w:pStyle w:val="NormalText"/>
      </w:pPr>
      <w:r w:rsidRPr="003E14E0">
        <w:t>The Agricultural and Veterinary Chemicals Code (Agvet Code), scheduled in the Agricultural and Veterinary Chemicals Code Act 1994 (the Act), provides the basis for using risk analysis to regulate activities with agricultural and veterinary chemicals (agvet chemicals) in Australia.</w:t>
      </w:r>
    </w:p>
    <w:p w:rsidR="0002139F" w:rsidRPr="003E14E0" w:rsidRDefault="0002139F" w:rsidP="0002139F">
      <w:pPr>
        <w:pStyle w:val="NormalText"/>
      </w:pPr>
      <w:r w:rsidRPr="003E14E0">
        <w:t xml:space="preserve">The objective of the Code is </w:t>
      </w:r>
      <w:r>
        <w:t>for</w:t>
      </w:r>
      <w:r w:rsidRPr="003E14E0">
        <w:t xml:space="preserve"> the evaluation, approval, and control of the supply, of active </w:t>
      </w:r>
      <w:r>
        <w:t>constituents</w:t>
      </w:r>
      <w:r w:rsidRPr="003E14E0">
        <w:t xml:space="preserve"> for proposed or existing agricultural chemical products or veterinary chemical products; and the evaluation, registration, and control of the manufacture and supply, of agricultural chemical products and veterinary chemical products.</w:t>
      </w:r>
    </w:p>
    <w:p w:rsidR="0002139F" w:rsidRPr="003E14E0" w:rsidRDefault="0002139F" w:rsidP="0002139F">
      <w:pPr>
        <w:pStyle w:val="NormalText"/>
      </w:pPr>
      <w:r w:rsidRPr="003E14E0">
        <w:t xml:space="preserve">The decision on whether to approve an active </w:t>
      </w:r>
      <w:r>
        <w:t xml:space="preserve">constituent </w:t>
      </w:r>
      <w:r w:rsidRPr="003E14E0">
        <w:t>or an agvet product is made by the Australian Pesticide</w:t>
      </w:r>
      <w:r>
        <w:t>s</w:t>
      </w:r>
      <w:r w:rsidRPr="003E14E0">
        <w:t xml:space="preserve"> and Veterinary Medicines Authority (the APVMA), an independent statutory office holder established by the Act.</w:t>
      </w:r>
    </w:p>
    <w:p w:rsidR="0002139F" w:rsidRPr="003E14E0" w:rsidRDefault="0002139F" w:rsidP="0002139F">
      <w:pPr>
        <w:pStyle w:val="NormalText"/>
      </w:pPr>
      <w:r w:rsidRPr="003E14E0">
        <w:t>The Act mandates that APVMA implement the Code in a manner that reflects ‘established best</w:t>
      </w:r>
      <w:r w:rsidRPr="003E14E0">
        <w:rPr>
          <w:rFonts w:hint="eastAsia"/>
        </w:rPr>
        <w:t>-</w:t>
      </w:r>
      <w:r w:rsidRPr="003E14E0">
        <w:t>practice principles for the assessment and management of risk, based on science’. To do this, APVMA’s regulatory scientist</w:t>
      </w:r>
      <w:r>
        <w:t>s</w:t>
      </w:r>
      <w:r w:rsidRPr="003E14E0">
        <w:t xml:space="preserve"> must balance regulatory effort and regulatory burden with the risk that agvet chemical use will </w:t>
      </w:r>
      <w:r>
        <w:t xml:space="preserve">present to the </w:t>
      </w:r>
      <w:r w:rsidRPr="003E14E0">
        <w:t>health and safety of human beings, animals and the environment.</w:t>
      </w:r>
    </w:p>
    <w:p w:rsidR="003E14E0" w:rsidRPr="003E14E0" w:rsidRDefault="003E14E0" w:rsidP="003E14E0">
      <w:pPr>
        <w:pStyle w:val="NormalText"/>
      </w:pPr>
      <w:r w:rsidRPr="003E14E0">
        <w:t>The APVMA must be satisfied under s14 of the Agricultural and Veterinary Chemicals Code Act 1994 that:</w:t>
      </w:r>
    </w:p>
    <w:p w:rsidR="003E14E0" w:rsidRPr="003E14E0" w:rsidRDefault="003E14E0" w:rsidP="00EF45FD">
      <w:pPr>
        <w:pStyle w:val="Bullet1"/>
        <w:ind w:left="714" w:hanging="357"/>
      </w:pPr>
      <w:r w:rsidRPr="003E14E0">
        <w:t>The proposed use of the product meets the safety criteria with respect to s5A(1)(c); and</w:t>
      </w:r>
    </w:p>
    <w:p w:rsidR="003E14E0" w:rsidRPr="003E14E0" w:rsidRDefault="003E14E0" w:rsidP="00EF45FD">
      <w:pPr>
        <w:pStyle w:val="Bullet1"/>
        <w:ind w:left="714" w:hanging="357"/>
      </w:pPr>
      <w:r w:rsidRPr="003E14E0">
        <w:t>The proposed label meets the labelling criteria under s5D(1), with respect to environmental considerations, provided that the labelling recommendation in this report are adopted.</w:t>
      </w:r>
    </w:p>
    <w:p w:rsidR="003E14E0" w:rsidRPr="0015475B" w:rsidRDefault="003E14E0" w:rsidP="00442080">
      <w:pPr>
        <w:pStyle w:val="Heading1"/>
        <w:ind w:left="720" w:hanging="720"/>
      </w:pPr>
      <w:bookmarkStart w:id="17" w:name="_Toc504046795"/>
      <w:bookmarkStart w:id="18" w:name="_Toc516737099"/>
      <w:bookmarkStart w:id="19" w:name="_Toc516740330"/>
      <w:bookmarkStart w:id="20" w:name="_Toc526432177"/>
      <w:r w:rsidRPr="0015475B">
        <w:lastRenderedPageBreak/>
        <w:t>Information on the product and its uses</w:t>
      </w:r>
      <w:bookmarkEnd w:id="17"/>
      <w:bookmarkEnd w:id="18"/>
      <w:bookmarkEnd w:id="19"/>
      <w:bookmarkEnd w:id="20"/>
    </w:p>
    <w:p w:rsidR="003E14E0" w:rsidRPr="0015475B" w:rsidRDefault="003E14E0" w:rsidP="00EF45FD">
      <w:pPr>
        <w:pStyle w:val="NormalText"/>
      </w:pPr>
      <w:r w:rsidRPr="0015475B">
        <w:t>Overview information is reviewed that includes:</w:t>
      </w:r>
    </w:p>
    <w:p w:rsidR="003E14E0" w:rsidRPr="00EF45FD" w:rsidRDefault="008A71CD" w:rsidP="00EF45FD">
      <w:pPr>
        <w:pStyle w:val="Bullet1"/>
        <w:ind w:left="714" w:hanging="357"/>
      </w:pPr>
      <w:r>
        <w:t>l</w:t>
      </w:r>
      <w:r w:rsidR="003E14E0" w:rsidRPr="00EF45FD">
        <w:t>ocation and description of industry</w:t>
      </w:r>
    </w:p>
    <w:p w:rsidR="003E14E0" w:rsidRPr="00EF45FD" w:rsidRDefault="008A71CD" w:rsidP="00EF45FD">
      <w:pPr>
        <w:pStyle w:val="Bullet1"/>
        <w:ind w:left="714" w:hanging="357"/>
      </w:pPr>
      <w:r>
        <w:t>w</w:t>
      </w:r>
      <w:r w:rsidR="003E14E0" w:rsidRPr="00EF45FD">
        <w:t>here is the product to be used</w:t>
      </w:r>
    </w:p>
    <w:p w:rsidR="003E14E0" w:rsidRPr="00EF45FD" w:rsidRDefault="008A71CD" w:rsidP="00EF45FD">
      <w:pPr>
        <w:pStyle w:val="Bullet1"/>
        <w:ind w:left="714" w:hanging="357"/>
      </w:pPr>
      <w:r>
        <w:t>d</w:t>
      </w:r>
      <w:r w:rsidR="003E14E0" w:rsidRPr="00EF45FD">
        <w:t>istribution of crop</w:t>
      </w:r>
    </w:p>
    <w:p w:rsidR="003E14E0" w:rsidRPr="00EF45FD" w:rsidRDefault="008A71CD" w:rsidP="00EF45FD">
      <w:pPr>
        <w:pStyle w:val="Bullet1"/>
        <w:ind w:left="714" w:hanging="357"/>
      </w:pPr>
      <w:r>
        <w:t>c</w:t>
      </w:r>
      <w:r w:rsidR="003E14E0" w:rsidRPr="00EF45FD">
        <w:t>hange over time of crop (decrease/increase</w:t>
      </w:r>
      <w:r w:rsidR="00C34B16">
        <w:t xml:space="preserve"> areas</w:t>
      </w:r>
      <w:r w:rsidR="003E14E0" w:rsidRPr="00EF45FD">
        <w:t>)</w:t>
      </w:r>
    </w:p>
    <w:p w:rsidR="003E14E0" w:rsidRPr="00EF45FD" w:rsidRDefault="008A71CD" w:rsidP="00EF45FD">
      <w:pPr>
        <w:pStyle w:val="Bullet1"/>
        <w:ind w:left="714" w:hanging="357"/>
      </w:pPr>
      <w:r>
        <w:t>a</w:t>
      </w:r>
      <w:r w:rsidR="003E14E0" w:rsidRPr="00EF45FD">
        <w:t>pplication method and use pattern</w:t>
      </w:r>
    </w:p>
    <w:p w:rsidR="003E14E0" w:rsidRPr="00F10D12" w:rsidRDefault="003E14E0" w:rsidP="00EF45FD">
      <w:pPr>
        <w:pStyle w:val="NormalText"/>
      </w:pPr>
      <w:r>
        <w:t xml:space="preserve">This may include information as to whether it is a new active, new application or new combination of actives that requires assessment to be undertaken. </w:t>
      </w:r>
    </w:p>
    <w:p w:rsidR="003E14E0" w:rsidRDefault="003E14E0" w:rsidP="00442080">
      <w:pPr>
        <w:pStyle w:val="Heading1"/>
        <w:ind w:left="720" w:hanging="720"/>
      </w:pPr>
      <w:bookmarkStart w:id="21" w:name="_Toc516740331"/>
      <w:bookmarkStart w:id="22" w:name="_Toc526432178"/>
      <w:bookmarkStart w:id="23" w:name="_Toc504046796"/>
      <w:bookmarkStart w:id="24" w:name="_Toc516737100"/>
      <w:r w:rsidRPr="0015475B">
        <w:lastRenderedPageBreak/>
        <w:t>Fate and behaviour</w:t>
      </w:r>
      <w:bookmarkEnd w:id="21"/>
      <w:bookmarkEnd w:id="22"/>
    </w:p>
    <w:p w:rsidR="003E14E0" w:rsidRPr="0015475B" w:rsidRDefault="003E14E0" w:rsidP="003E14E0">
      <w:pPr>
        <w:pStyle w:val="Heading2"/>
      </w:pPr>
      <w:r w:rsidRPr="0015475B">
        <w:t xml:space="preserve"> </w:t>
      </w:r>
      <w:bookmarkStart w:id="25" w:name="_Toc516740332"/>
      <w:bookmarkStart w:id="26" w:name="_Toc526432179"/>
      <w:r>
        <w:t>The</w:t>
      </w:r>
      <w:r w:rsidRPr="0015475B">
        <w:t xml:space="preserve"> environment</w:t>
      </w:r>
      <w:bookmarkEnd w:id="23"/>
      <w:bookmarkEnd w:id="24"/>
      <w:bookmarkEnd w:id="25"/>
      <w:bookmarkEnd w:id="26"/>
    </w:p>
    <w:p w:rsidR="003E14E0" w:rsidRPr="00144A88" w:rsidRDefault="00A8423E" w:rsidP="00EF45FD">
      <w:pPr>
        <w:pStyle w:val="Heading3"/>
        <w:ind w:left="900" w:hanging="900"/>
      </w:pPr>
      <w:bookmarkStart w:id="27" w:name="_Toc516737101"/>
      <w:bookmarkStart w:id="28" w:name="_Toc516740333"/>
      <w:bookmarkStart w:id="29" w:name="_Toc526432180"/>
      <w:r>
        <w:t>Assessment a</w:t>
      </w:r>
      <w:r w:rsidR="003E14E0">
        <w:t>pproach</w:t>
      </w:r>
      <w:bookmarkEnd w:id="27"/>
      <w:bookmarkEnd w:id="28"/>
      <w:bookmarkEnd w:id="29"/>
    </w:p>
    <w:p w:rsidR="003E14E0" w:rsidRPr="00144A88" w:rsidRDefault="003E14E0" w:rsidP="003E14E0">
      <w:pPr>
        <w:pStyle w:val="NormalText"/>
      </w:pPr>
      <w:r>
        <w:t>Fate and behaviour may consider:</w:t>
      </w:r>
    </w:p>
    <w:p w:rsidR="003E14E0" w:rsidRPr="00144A88" w:rsidRDefault="008A71CD" w:rsidP="003E14E0">
      <w:pPr>
        <w:pStyle w:val="Bullet1"/>
        <w:ind w:left="714" w:hanging="357"/>
      </w:pPr>
      <w:r>
        <w:t>h</w:t>
      </w:r>
      <w:r w:rsidR="003E14E0" w:rsidRPr="00144A88">
        <w:t xml:space="preserve">ydrolysis </w:t>
      </w:r>
    </w:p>
    <w:p w:rsidR="003E14E0" w:rsidRPr="00144A88" w:rsidRDefault="008A71CD" w:rsidP="003E14E0">
      <w:pPr>
        <w:pStyle w:val="Bullet1"/>
        <w:ind w:left="714" w:hanging="357"/>
      </w:pPr>
      <w:r>
        <w:t>p</w:t>
      </w:r>
      <w:r w:rsidR="003E14E0" w:rsidRPr="00144A88">
        <w:t xml:space="preserve">hotolysis – aqueous photolysis, soil photolysis </w:t>
      </w:r>
    </w:p>
    <w:p w:rsidR="003E14E0" w:rsidRPr="00144A88" w:rsidRDefault="008A71CD" w:rsidP="003E14E0">
      <w:pPr>
        <w:pStyle w:val="Bullet1"/>
        <w:ind w:left="714" w:hanging="357"/>
      </w:pPr>
      <w:r>
        <w:t>b</w:t>
      </w:r>
      <w:r w:rsidR="003E14E0" w:rsidRPr="00144A88">
        <w:t>iodegradation – aerobic soil metabolism, anaerobic soil metabolism, aerobic aqueous metabolism, field dissipation, mobility, bioconcentration</w:t>
      </w:r>
    </w:p>
    <w:p w:rsidR="003E14E0" w:rsidRPr="00144A88" w:rsidRDefault="003E14E0" w:rsidP="00B76694">
      <w:pPr>
        <w:pStyle w:val="NormalText"/>
      </w:pPr>
      <w:r w:rsidRPr="00144A88">
        <w:t>Assessment will be made regarding:</w:t>
      </w:r>
    </w:p>
    <w:p w:rsidR="003E14E0" w:rsidRPr="00144A88" w:rsidRDefault="003E14E0" w:rsidP="003E14E0">
      <w:pPr>
        <w:pStyle w:val="Bullet1"/>
        <w:ind w:left="714" w:hanging="357"/>
      </w:pPr>
      <w:r w:rsidRPr="00144A88">
        <w:t xml:space="preserve">the environmental concentrations of the active </w:t>
      </w:r>
    </w:p>
    <w:p w:rsidR="003E14E0" w:rsidRPr="00144A88" w:rsidRDefault="003E14E0" w:rsidP="003E14E0">
      <w:pPr>
        <w:pStyle w:val="Bullet1"/>
        <w:ind w:left="714" w:hanging="357"/>
      </w:pPr>
      <w:r>
        <w:t>s</w:t>
      </w:r>
      <w:r w:rsidRPr="00144A88">
        <w:t>hort term risks to non-target species – combined vs single active</w:t>
      </w:r>
    </w:p>
    <w:p w:rsidR="003E14E0" w:rsidRPr="00144A88" w:rsidRDefault="003E14E0" w:rsidP="003E14E0">
      <w:pPr>
        <w:pStyle w:val="Bullet1"/>
        <w:ind w:left="714" w:hanging="357"/>
      </w:pPr>
      <w:r>
        <w:t>d</w:t>
      </w:r>
      <w:r w:rsidRPr="00144A88">
        <w:t xml:space="preserve">etermining whether there has already been assessment of the active </w:t>
      </w:r>
    </w:p>
    <w:p w:rsidR="003E14E0" w:rsidRPr="00144A88" w:rsidRDefault="003E14E0" w:rsidP="003E14E0">
      <w:pPr>
        <w:pStyle w:val="Bullet1"/>
        <w:ind w:left="714" w:hanging="357"/>
      </w:pPr>
      <w:r>
        <w:t>d</w:t>
      </w:r>
      <w:r w:rsidRPr="00144A88">
        <w:t>etermination of end points</w:t>
      </w:r>
    </w:p>
    <w:p w:rsidR="003E14E0" w:rsidRDefault="003E14E0" w:rsidP="00EF45FD">
      <w:pPr>
        <w:pStyle w:val="Heading3"/>
        <w:ind w:left="900" w:hanging="900"/>
      </w:pPr>
      <w:bookmarkStart w:id="30" w:name="_Toc516737102"/>
      <w:bookmarkStart w:id="31" w:name="_Toc516740334"/>
      <w:bookmarkStart w:id="32" w:name="_Toc526432181"/>
      <w:r w:rsidRPr="00144A88">
        <w:t>References</w:t>
      </w:r>
      <w:bookmarkEnd w:id="30"/>
      <w:bookmarkEnd w:id="31"/>
      <w:bookmarkEnd w:id="32"/>
    </w:p>
    <w:p w:rsidR="003E14E0" w:rsidRPr="0085106E" w:rsidRDefault="0086416E" w:rsidP="003E14E0">
      <w:pPr>
        <w:rPr>
          <w:rStyle w:val="Hyperlink"/>
        </w:rPr>
      </w:pPr>
      <w:hyperlink r:id="rId21" w:history="1">
        <w:r w:rsidR="003E14E0" w:rsidRPr="00144A88">
          <w:rPr>
            <w:rStyle w:val="Hyperlink"/>
          </w:rPr>
          <w:t>https://ec.europa.eu/food/sites/food/files/plant/docs/pesticides_ppp_app-proc_guide_fate_efsa_degt50.pdf</w:t>
        </w:r>
      </w:hyperlink>
      <w:r w:rsidR="003E14E0" w:rsidRPr="0085106E">
        <w:rPr>
          <w:rStyle w:val="Hyperlink"/>
        </w:rPr>
        <w:t xml:space="preserve"> </w:t>
      </w:r>
    </w:p>
    <w:p w:rsidR="003E14E0" w:rsidRPr="0085106E" w:rsidRDefault="0086416E" w:rsidP="003E14E0">
      <w:pPr>
        <w:rPr>
          <w:rStyle w:val="Hyperlink"/>
        </w:rPr>
      </w:pPr>
      <w:hyperlink r:id="rId22" w:history="1">
        <w:r w:rsidR="003E14E0" w:rsidRPr="00144A88">
          <w:rPr>
            <w:rStyle w:val="Hyperlink"/>
          </w:rPr>
          <w:t>https://ec.europa.eu/food/sites/food/files/plant/docs/pesticides_ppp_app-proc_guide_fate_wd-env-sft-eval-mbca.pdf</w:t>
        </w:r>
      </w:hyperlink>
      <w:r w:rsidR="003E14E0" w:rsidRPr="0085106E">
        <w:rPr>
          <w:rStyle w:val="Hyperlink"/>
        </w:rPr>
        <w:t xml:space="preserve"> </w:t>
      </w:r>
    </w:p>
    <w:p w:rsidR="003E14E0" w:rsidRPr="0085106E" w:rsidRDefault="0086416E" w:rsidP="003E14E0">
      <w:pPr>
        <w:rPr>
          <w:rStyle w:val="Hyperlink"/>
        </w:rPr>
      </w:pPr>
      <w:hyperlink r:id="rId23" w:history="1">
        <w:r w:rsidR="003E14E0" w:rsidRPr="00144A88">
          <w:rPr>
            <w:rStyle w:val="Hyperlink"/>
          </w:rPr>
          <w:t>https://ec.europa.eu/food/sites/food/files/plant/docs/pesticides_ppp_app-proc_guide_fate_metabolites-groundwtr.pdf</w:t>
        </w:r>
      </w:hyperlink>
      <w:r w:rsidR="003E14E0" w:rsidRPr="0085106E">
        <w:rPr>
          <w:rStyle w:val="Hyperlink"/>
        </w:rPr>
        <w:t xml:space="preserve"> </w:t>
      </w:r>
    </w:p>
    <w:p w:rsidR="003E14E0" w:rsidRPr="0085106E" w:rsidRDefault="0086416E" w:rsidP="003E14E0">
      <w:pPr>
        <w:rPr>
          <w:rStyle w:val="Hyperlink"/>
        </w:rPr>
      </w:pPr>
      <w:hyperlink r:id="rId24" w:history="1">
        <w:r w:rsidR="003E14E0" w:rsidRPr="00144A88">
          <w:rPr>
            <w:rStyle w:val="Hyperlink"/>
          </w:rPr>
          <w:t>https://ec.europa.eu/food/sites/food/files/plant/docs/pesticides_ppp_app-proc_guide_fate_soil-persistance.pdf</w:t>
        </w:r>
      </w:hyperlink>
      <w:r w:rsidR="003E14E0" w:rsidRPr="0085106E">
        <w:rPr>
          <w:rStyle w:val="Hyperlink"/>
        </w:rPr>
        <w:t xml:space="preserve"> </w:t>
      </w:r>
    </w:p>
    <w:p w:rsidR="003E14E0" w:rsidRPr="0085106E" w:rsidRDefault="0086416E" w:rsidP="003E14E0">
      <w:pPr>
        <w:rPr>
          <w:rStyle w:val="Hyperlink"/>
        </w:rPr>
      </w:pPr>
      <w:hyperlink r:id="rId25" w:history="1">
        <w:r w:rsidR="003E14E0" w:rsidRPr="00144A88">
          <w:rPr>
            <w:rStyle w:val="Hyperlink"/>
          </w:rPr>
          <w:t>http://esdac.jrc.ec.europa.eu/projects/focus-dg-sante</w:t>
        </w:r>
      </w:hyperlink>
      <w:r w:rsidR="003E14E0" w:rsidRPr="0085106E">
        <w:rPr>
          <w:rStyle w:val="Hyperlink"/>
        </w:rPr>
        <w:t xml:space="preserve"> </w:t>
      </w:r>
    </w:p>
    <w:p w:rsidR="003E14E0" w:rsidRPr="0085106E" w:rsidRDefault="0086416E" w:rsidP="003E14E0">
      <w:pPr>
        <w:rPr>
          <w:rStyle w:val="Hyperlink"/>
        </w:rPr>
      </w:pPr>
      <w:hyperlink r:id="rId26" w:history="1">
        <w:r w:rsidR="003E14E0" w:rsidRPr="00144A88">
          <w:rPr>
            <w:rStyle w:val="Hyperlink"/>
          </w:rPr>
          <w:t>https://ec.europa.eu/food/sites/food/files/plant/docs/pesticides_ppp_app-proc_guide_fate_evidence_identify-pop-pbt-vpvb-props.pdf</w:t>
        </w:r>
      </w:hyperlink>
      <w:r w:rsidR="003E14E0" w:rsidRPr="0085106E">
        <w:rPr>
          <w:rStyle w:val="Hyperlink"/>
        </w:rPr>
        <w:t xml:space="preserve"> </w:t>
      </w:r>
    </w:p>
    <w:p w:rsidR="003E14E0" w:rsidRPr="00144A88" w:rsidRDefault="0086416E" w:rsidP="003E14E0">
      <w:pPr>
        <w:rPr>
          <w:color w:val="1F497D"/>
        </w:rPr>
      </w:pPr>
      <w:hyperlink r:id="rId27" w:history="1">
        <w:r w:rsidR="003E14E0" w:rsidRPr="00144A88">
          <w:rPr>
            <w:rStyle w:val="Hyperlink"/>
          </w:rPr>
          <w:t>http://archives.eppo.int/EPPOStandards/era.htm</w:t>
        </w:r>
      </w:hyperlink>
    </w:p>
    <w:p w:rsidR="003E14E0" w:rsidRPr="00FB5CEA" w:rsidRDefault="003E14E0" w:rsidP="003E14E0">
      <w:pPr>
        <w:pStyle w:val="Heading2"/>
      </w:pPr>
      <w:bookmarkStart w:id="33" w:name="_Toc516737103"/>
      <w:bookmarkStart w:id="34" w:name="_Toc516740335"/>
      <w:bookmarkStart w:id="35" w:name="_Toc526432182"/>
      <w:r w:rsidRPr="00FB5CEA">
        <w:t>Fate and behaviour in soil</w:t>
      </w:r>
      <w:bookmarkEnd w:id="33"/>
      <w:bookmarkEnd w:id="34"/>
      <w:bookmarkEnd w:id="35"/>
    </w:p>
    <w:p w:rsidR="003E14E0" w:rsidRPr="00FB5CEA" w:rsidRDefault="003E14E0" w:rsidP="003E14E0">
      <w:pPr>
        <w:pStyle w:val="NormalText"/>
      </w:pPr>
      <w:r w:rsidRPr="00FB5CEA">
        <w:t xml:space="preserve">The European Draft Assessment Report (DARs) Volume 1 Level 2 section 2.5.2 is used for guidance on the type of detail and approach used. </w:t>
      </w:r>
    </w:p>
    <w:p w:rsidR="003E14E0" w:rsidRPr="00FB5CEA" w:rsidRDefault="003E14E0" w:rsidP="003E14E0">
      <w:pPr>
        <w:pStyle w:val="NormalText"/>
      </w:pPr>
      <w:r w:rsidRPr="00FB5CEA">
        <w:t xml:space="preserve">In addition to </w:t>
      </w:r>
      <w:r>
        <w:t xml:space="preserve">the </w:t>
      </w:r>
      <w:r>
        <w:rPr>
          <w:szCs w:val="22"/>
        </w:rPr>
        <w:t>Risk Assessment Manual (RAM, EPHC 2009)</w:t>
      </w:r>
      <w:r w:rsidRPr="00FB5CEA">
        <w:t>, relevant guidance documents</w:t>
      </w:r>
      <w:r>
        <w:t xml:space="preserve"> include</w:t>
      </w:r>
      <w:r w:rsidRPr="00FB5CEA">
        <w:t>:</w:t>
      </w:r>
    </w:p>
    <w:p w:rsidR="003E14E0" w:rsidRPr="0085106E" w:rsidRDefault="0086416E" w:rsidP="0085106E">
      <w:pPr>
        <w:rPr>
          <w:rStyle w:val="Hyperlink"/>
        </w:rPr>
      </w:pPr>
      <w:hyperlink r:id="rId28" w:history="1">
        <w:r w:rsidR="003E14E0" w:rsidRPr="0085106E">
          <w:rPr>
            <w:rStyle w:val="Hyperlink"/>
          </w:rPr>
          <w:t>http://ec.europa.eu/food/plant/protection/evaluation/guidance/wrkdoc11_en.pdf</w:t>
        </w:r>
      </w:hyperlink>
      <w:r w:rsidR="003E14E0" w:rsidRPr="0085106E">
        <w:rPr>
          <w:rStyle w:val="Hyperlink"/>
        </w:rPr>
        <w:t xml:space="preserve"> </w:t>
      </w:r>
    </w:p>
    <w:p w:rsidR="003E14E0" w:rsidRPr="0085106E" w:rsidRDefault="0086416E" w:rsidP="0085106E">
      <w:pPr>
        <w:rPr>
          <w:rStyle w:val="Hyperlink"/>
        </w:rPr>
      </w:pPr>
      <w:hyperlink r:id="rId29" w:history="1">
        <w:r w:rsidR="003E14E0" w:rsidRPr="0085106E">
          <w:rPr>
            <w:rStyle w:val="Hyperlink"/>
          </w:rPr>
          <w:t>http://archives.eppo.int/EPPOStandards/PP3_ERA/pp3-03(2).pdf</w:t>
        </w:r>
      </w:hyperlink>
      <w:r w:rsidR="003E14E0" w:rsidRPr="0085106E">
        <w:rPr>
          <w:rStyle w:val="Hyperlink"/>
        </w:rPr>
        <w:t xml:space="preserve"> </w:t>
      </w:r>
    </w:p>
    <w:p w:rsidR="003E14E0" w:rsidRPr="009F465F" w:rsidRDefault="0086416E" w:rsidP="0085106E">
      <w:pPr>
        <w:rPr>
          <w:color w:val="1F497D"/>
          <w:highlight w:val="yellow"/>
        </w:rPr>
      </w:pPr>
      <w:hyperlink r:id="rId30" w:history="1">
        <w:r w:rsidR="003E14E0" w:rsidRPr="003A3E41">
          <w:rPr>
            <w:rStyle w:val="Hyperlink"/>
          </w:rPr>
          <w:t>https://ec.europa.eu/food/sites/food/files/plant/docs/pesticides_ppp_app-proc_guide_ecotox_terrestrial.pdf</w:t>
        </w:r>
      </w:hyperlink>
      <w:r w:rsidR="003E14E0" w:rsidRPr="009F465F">
        <w:rPr>
          <w:color w:val="1F497D"/>
          <w:highlight w:val="yellow"/>
        </w:rPr>
        <w:t xml:space="preserve"> </w:t>
      </w:r>
    </w:p>
    <w:p w:rsidR="003E14E0" w:rsidRPr="00FB5CEA" w:rsidRDefault="003E14E0" w:rsidP="003E14E0">
      <w:pPr>
        <w:pStyle w:val="Heading2"/>
      </w:pPr>
      <w:bookmarkStart w:id="36" w:name="_Toc516737104"/>
      <w:bookmarkStart w:id="37" w:name="_Toc516740336"/>
      <w:bookmarkStart w:id="38" w:name="_Toc526432183"/>
      <w:r w:rsidRPr="00FB5CEA">
        <w:lastRenderedPageBreak/>
        <w:t>Fate and behaviour in water</w:t>
      </w:r>
      <w:bookmarkEnd w:id="36"/>
      <w:bookmarkEnd w:id="37"/>
      <w:bookmarkEnd w:id="38"/>
    </w:p>
    <w:p w:rsidR="003E14E0" w:rsidRPr="00FB5CEA" w:rsidRDefault="003E14E0" w:rsidP="003E14E0">
      <w:pPr>
        <w:pStyle w:val="NormalText"/>
      </w:pPr>
      <w:r w:rsidRPr="00FB5CEA">
        <w:t xml:space="preserve">The European Draft Assessment Report (DARs) Volume 1 Level 2 section 2.5.3 is used for guidance on the type of detail and approach used. </w:t>
      </w:r>
    </w:p>
    <w:p w:rsidR="003E14E0" w:rsidRPr="00FB5CEA" w:rsidRDefault="003E14E0" w:rsidP="003E14E0">
      <w:pPr>
        <w:pStyle w:val="NormalText"/>
      </w:pPr>
      <w:r w:rsidRPr="00FB5CEA">
        <w:t xml:space="preserve">In addition to </w:t>
      </w:r>
      <w:r>
        <w:t xml:space="preserve">the </w:t>
      </w:r>
      <w:r w:rsidRPr="00FB5CEA">
        <w:t>RAM, relevant guidance documents</w:t>
      </w:r>
      <w:r>
        <w:t xml:space="preserve"> include</w:t>
      </w:r>
      <w:r w:rsidRPr="00FB5CEA">
        <w:t>:</w:t>
      </w:r>
    </w:p>
    <w:p w:rsidR="003E14E0" w:rsidRPr="0085106E" w:rsidRDefault="003E14E0" w:rsidP="0085106E">
      <w:pPr>
        <w:rPr>
          <w:rStyle w:val="Hyperlink"/>
        </w:rPr>
      </w:pPr>
      <w:r w:rsidRPr="0085106E">
        <w:rPr>
          <w:rStyle w:val="Hyperlink"/>
        </w:rPr>
        <w:t xml:space="preserve">http://archives.eppo.int/EPPOStandards/PP3_ERA/pp3-04(2).pdf </w:t>
      </w:r>
    </w:p>
    <w:p w:rsidR="003E14E0" w:rsidRPr="0085106E" w:rsidRDefault="003E14E0" w:rsidP="0085106E">
      <w:pPr>
        <w:rPr>
          <w:rStyle w:val="Hyperlink"/>
        </w:rPr>
      </w:pPr>
      <w:r w:rsidRPr="0085106E">
        <w:rPr>
          <w:rStyle w:val="Hyperlink"/>
        </w:rPr>
        <w:t xml:space="preserve">http://archives.eppo.int/EPPOStandards/PP3_ERA/pp3-05(2).pdf </w:t>
      </w:r>
    </w:p>
    <w:p w:rsidR="003E14E0" w:rsidRPr="00FB5CEA" w:rsidRDefault="003E14E0" w:rsidP="003E14E0">
      <w:pPr>
        <w:pStyle w:val="Heading2"/>
      </w:pPr>
      <w:bookmarkStart w:id="39" w:name="_Toc516737105"/>
      <w:bookmarkStart w:id="40" w:name="_Toc516740337"/>
      <w:bookmarkStart w:id="41" w:name="_Toc526432184"/>
      <w:r w:rsidRPr="00FB5CEA">
        <w:t>Fate and behaviour in air</w:t>
      </w:r>
      <w:bookmarkEnd w:id="39"/>
      <w:bookmarkEnd w:id="40"/>
      <w:bookmarkEnd w:id="41"/>
    </w:p>
    <w:p w:rsidR="003E14E0" w:rsidRPr="00FB5CEA" w:rsidRDefault="003E14E0" w:rsidP="003E14E0">
      <w:pPr>
        <w:pStyle w:val="NormalText"/>
      </w:pPr>
      <w:r>
        <w:t>The</w:t>
      </w:r>
      <w:r w:rsidRPr="00FB5CEA">
        <w:t xml:space="preserve"> European Draft Assessment Report (DARs) Volume 1 Level 2 section 2.5.4 is used for guidance on the type of detail and approach used.</w:t>
      </w:r>
    </w:p>
    <w:p w:rsidR="003E14E0" w:rsidRPr="00FB5CEA" w:rsidRDefault="003E14E0" w:rsidP="003E14E0">
      <w:pPr>
        <w:pStyle w:val="NormalText"/>
      </w:pPr>
      <w:r w:rsidRPr="00FB5CEA">
        <w:t xml:space="preserve">In addition to </w:t>
      </w:r>
      <w:r>
        <w:t xml:space="preserve">the </w:t>
      </w:r>
      <w:r w:rsidRPr="00FB5CEA">
        <w:t>RAM, relevant guidance documents</w:t>
      </w:r>
      <w:r>
        <w:t xml:space="preserve"> include</w:t>
      </w:r>
      <w:r w:rsidRPr="00FB5CEA">
        <w:t>:</w:t>
      </w:r>
    </w:p>
    <w:p w:rsidR="003E14E0" w:rsidRPr="0085106E" w:rsidRDefault="0086416E" w:rsidP="0085106E">
      <w:pPr>
        <w:rPr>
          <w:rStyle w:val="Hyperlink"/>
        </w:rPr>
      </w:pPr>
      <w:hyperlink r:id="rId31" w:history="1">
        <w:r w:rsidR="003E14E0" w:rsidRPr="0085106E">
          <w:rPr>
            <w:rStyle w:val="Hyperlink"/>
          </w:rPr>
          <w:t>http://archives.eppo.int/EPPOStandards/PP3_ERA/pp3-12(1).pdf</w:t>
        </w:r>
      </w:hyperlink>
      <w:r w:rsidR="003E14E0" w:rsidRPr="0085106E">
        <w:rPr>
          <w:rStyle w:val="Hyperlink"/>
        </w:rPr>
        <w:t xml:space="preserve"> </w:t>
      </w:r>
    </w:p>
    <w:p w:rsidR="003E14E0" w:rsidRPr="009F465F" w:rsidRDefault="003E14E0" w:rsidP="003E14E0">
      <w:pPr>
        <w:pStyle w:val="NormalText"/>
        <w:rPr>
          <w:highlight w:val="yellow"/>
        </w:rPr>
      </w:pPr>
    </w:p>
    <w:p w:rsidR="003E14E0" w:rsidRPr="001D62A0" w:rsidRDefault="003E14E0" w:rsidP="00442080">
      <w:pPr>
        <w:pStyle w:val="Heading1"/>
        <w:ind w:left="720" w:hanging="720"/>
      </w:pPr>
      <w:bookmarkStart w:id="42" w:name="_Toc504046798"/>
      <w:bookmarkStart w:id="43" w:name="_Toc516737106"/>
      <w:bookmarkStart w:id="44" w:name="_Toc516740338"/>
      <w:bookmarkStart w:id="45" w:name="_Toc526432185"/>
      <w:r w:rsidRPr="001D62A0">
        <w:lastRenderedPageBreak/>
        <w:t>Effects and associated risks to non-target species</w:t>
      </w:r>
      <w:bookmarkEnd w:id="42"/>
      <w:bookmarkEnd w:id="43"/>
      <w:bookmarkEnd w:id="44"/>
      <w:bookmarkEnd w:id="45"/>
    </w:p>
    <w:p w:rsidR="003E14E0" w:rsidRPr="001D62A0" w:rsidRDefault="003E14E0" w:rsidP="003E14E0">
      <w:pPr>
        <w:pStyle w:val="NormalText"/>
        <w:rPr>
          <w:szCs w:val="22"/>
        </w:rPr>
      </w:pPr>
      <w:r w:rsidRPr="001D62A0">
        <w:rPr>
          <w:szCs w:val="22"/>
        </w:rPr>
        <w:t>Assessment is undertaken based on:</w:t>
      </w:r>
    </w:p>
    <w:p w:rsidR="003E14E0" w:rsidRPr="001D62A0" w:rsidRDefault="003E14E0" w:rsidP="003E14E0">
      <w:pPr>
        <w:pStyle w:val="Bullet1"/>
        <w:ind w:left="714" w:hanging="357"/>
      </w:pPr>
      <w:r w:rsidRPr="001D62A0">
        <w:t>the taxonomic group</w:t>
      </w:r>
    </w:p>
    <w:p w:rsidR="003E14E0" w:rsidRPr="001D62A0" w:rsidRDefault="003E14E0" w:rsidP="003E14E0">
      <w:pPr>
        <w:pStyle w:val="Bullet1"/>
        <w:ind w:left="714" w:hanging="357"/>
      </w:pPr>
      <w:r w:rsidRPr="001D62A0">
        <w:t>key indicator species</w:t>
      </w:r>
    </w:p>
    <w:p w:rsidR="003E14E0" w:rsidRPr="001D62A0" w:rsidRDefault="003E14E0" w:rsidP="003E14E0">
      <w:pPr>
        <w:pStyle w:val="Bullet1"/>
        <w:ind w:left="714" w:hanging="357"/>
      </w:pPr>
      <w:r w:rsidRPr="001D62A0">
        <w:t>exposure, endpoint</w:t>
      </w:r>
    </w:p>
    <w:p w:rsidR="003E14E0" w:rsidRPr="001D62A0" w:rsidRDefault="003E14E0" w:rsidP="003E14E0">
      <w:pPr>
        <w:pStyle w:val="Bullet1"/>
        <w:ind w:left="714" w:hanging="357"/>
      </w:pPr>
      <w:r w:rsidRPr="001D62A0">
        <w:t>assessment factors</w:t>
      </w:r>
    </w:p>
    <w:p w:rsidR="003E14E0" w:rsidRPr="001D62A0" w:rsidRDefault="003E14E0" w:rsidP="003E14E0">
      <w:pPr>
        <w:pStyle w:val="Bullet1"/>
        <w:ind w:left="714" w:hanging="357"/>
      </w:pPr>
      <w:r w:rsidRPr="001D62A0">
        <w:t>RAL.</w:t>
      </w:r>
    </w:p>
    <w:p w:rsidR="003E14E0" w:rsidRDefault="003E14E0" w:rsidP="003E14E0">
      <w:pPr>
        <w:pStyle w:val="NormalText"/>
      </w:pPr>
      <w:r w:rsidRPr="0015475B">
        <w:t xml:space="preserve">Assessment also examines the potential impact of the active </w:t>
      </w:r>
      <w:r>
        <w:t>component</w:t>
      </w:r>
      <w:r w:rsidRPr="0015475B">
        <w:t xml:space="preserve"> as singular compounds but also the potential impact of the combination of actives and other chemicals that may be in the formulation.</w:t>
      </w:r>
      <w:r>
        <w:t xml:space="preserve"> </w:t>
      </w:r>
    </w:p>
    <w:p w:rsidR="003E14E0" w:rsidRPr="00765768" w:rsidRDefault="003E14E0" w:rsidP="003E14E0">
      <w:pPr>
        <w:pStyle w:val="NormalText"/>
      </w:pPr>
      <w:r w:rsidRPr="00765768">
        <w:t xml:space="preserve">The environmental risk assessment integrates the environmental exposure and ecotoxicity information to estimate the potential for adverse effects on non-target species. This integration is achieved by comparing predicted exposure concentrations (PECs) with concentrations at which adverse effects occur. PECs are estimated using standard models which take into consideration the application rate(s), chemical and environmental fate properties, including the dissipation of the pesticide between applications. </w:t>
      </w:r>
    </w:p>
    <w:p w:rsidR="003E14E0" w:rsidRDefault="003E14E0" w:rsidP="003E14E0">
      <w:pPr>
        <w:pStyle w:val="NormalText"/>
      </w:pPr>
      <w:r w:rsidRPr="00765768">
        <w:t xml:space="preserve">Ecotoxicity information includes acute and chronic toxicity data for various organisms or groups of organisms from both terrestrial and aquatic habitats including invertebrates, vertebrates and plants. Toxicity endpoints used in the risk assessments are adjusted to determine regulatory acceptable concentrations (RACs) to account for potential differences in species sensitivity as well as varying protection goals (ie, protection at the community, population, or individual level). </w:t>
      </w:r>
    </w:p>
    <w:p w:rsidR="003E14E0" w:rsidRDefault="003E14E0" w:rsidP="003E14E0">
      <w:pPr>
        <w:pStyle w:val="NormalText"/>
      </w:pPr>
      <w:r>
        <w:t xml:space="preserve">The worst case should identify the sensitive environmental components most at risk from exposure to the active component. </w:t>
      </w:r>
    </w:p>
    <w:p w:rsidR="003E14E0" w:rsidRPr="00FB5CEA" w:rsidRDefault="003E14E0" w:rsidP="000178C7">
      <w:pPr>
        <w:pStyle w:val="Caption"/>
        <w:ind w:left="900" w:hanging="900"/>
        <w:rPr>
          <w:sz w:val="22"/>
          <w:szCs w:val="22"/>
        </w:rPr>
      </w:pPr>
      <w:r w:rsidRPr="00FB5CEA">
        <w:rPr>
          <w:sz w:val="22"/>
          <w:szCs w:val="22"/>
        </w:rPr>
        <w:t xml:space="preserve">Table </w:t>
      </w:r>
      <w:r w:rsidRPr="00FB5CEA">
        <w:rPr>
          <w:sz w:val="22"/>
          <w:szCs w:val="22"/>
        </w:rPr>
        <w:fldChar w:fldCharType="begin"/>
      </w:r>
      <w:r w:rsidRPr="00FB5CEA">
        <w:rPr>
          <w:sz w:val="22"/>
          <w:szCs w:val="22"/>
        </w:rPr>
        <w:instrText xml:space="preserve"> SEQ Table \* ARABIC </w:instrText>
      </w:r>
      <w:r w:rsidRPr="00FB5CEA">
        <w:rPr>
          <w:sz w:val="22"/>
          <w:szCs w:val="22"/>
        </w:rPr>
        <w:fldChar w:fldCharType="separate"/>
      </w:r>
      <w:r w:rsidR="00225D67">
        <w:rPr>
          <w:noProof/>
          <w:sz w:val="22"/>
          <w:szCs w:val="22"/>
        </w:rPr>
        <w:t>1</w:t>
      </w:r>
      <w:r w:rsidRPr="00FB5CEA">
        <w:rPr>
          <w:sz w:val="22"/>
          <w:szCs w:val="22"/>
        </w:rPr>
        <w:fldChar w:fldCharType="end"/>
      </w:r>
      <w:r w:rsidRPr="00FB5CEA">
        <w:rPr>
          <w:sz w:val="22"/>
          <w:szCs w:val="22"/>
        </w:rPr>
        <w:t xml:space="preserve">: </w:t>
      </w:r>
      <w:r w:rsidRPr="00FB5CEA">
        <w:rPr>
          <w:sz w:val="22"/>
          <w:szCs w:val="22"/>
        </w:rPr>
        <w:tab/>
        <w:t xml:space="preserve">Sample table used for Environmental toxicity and regulatory acceptable levels (RALs) for </w:t>
      </w:r>
      <w:r>
        <w:rPr>
          <w:sz w:val="22"/>
          <w:szCs w:val="22"/>
        </w:rPr>
        <w:t>Active Component</w:t>
      </w:r>
    </w:p>
    <w:p w:rsidR="003E14E0" w:rsidRPr="00FB5CEA" w:rsidRDefault="003E14E0" w:rsidP="003E14E0">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1386"/>
        <w:gridCol w:w="1741"/>
        <w:gridCol w:w="1256"/>
        <w:gridCol w:w="2291"/>
        <w:gridCol w:w="1231"/>
        <w:gridCol w:w="1723"/>
      </w:tblGrid>
      <w:tr w:rsidR="003E14E0" w:rsidRPr="00FB5CEA" w:rsidTr="009C6DF2">
        <w:trPr>
          <w:cantSplit/>
          <w:tblHeader/>
        </w:trPr>
        <w:tc>
          <w:tcPr>
            <w:tcW w:w="0" w:type="auto"/>
            <w:shd w:val="clear" w:color="auto" w:fill="auto"/>
          </w:tcPr>
          <w:p w:rsidR="003E14E0" w:rsidRPr="00FB5CEA" w:rsidRDefault="003E14E0" w:rsidP="009C6DF2">
            <w:pPr>
              <w:jc w:val="center"/>
              <w:rPr>
                <w:b/>
                <w:sz w:val="18"/>
                <w:szCs w:val="20"/>
                <w:lang w:eastAsia="en-AU"/>
              </w:rPr>
            </w:pPr>
            <w:r w:rsidRPr="00FB5CEA">
              <w:rPr>
                <w:b/>
                <w:sz w:val="18"/>
                <w:szCs w:val="20"/>
                <w:lang w:eastAsia="en-AU"/>
              </w:rPr>
              <w:t>Taxonomic</w:t>
            </w:r>
          </w:p>
          <w:p w:rsidR="003E14E0" w:rsidRPr="00FB5CEA" w:rsidRDefault="003E14E0" w:rsidP="009C6DF2">
            <w:pPr>
              <w:jc w:val="center"/>
              <w:rPr>
                <w:b/>
                <w:sz w:val="18"/>
                <w:szCs w:val="20"/>
                <w:lang w:eastAsia="en-AU"/>
              </w:rPr>
            </w:pPr>
            <w:r w:rsidRPr="00FB5CEA">
              <w:rPr>
                <w:b/>
                <w:sz w:val="18"/>
                <w:szCs w:val="20"/>
                <w:lang w:eastAsia="en-AU"/>
              </w:rPr>
              <w:t>group</w:t>
            </w:r>
          </w:p>
        </w:tc>
        <w:tc>
          <w:tcPr>
            <w:tcW w:w="0" w:type="auto"/>
            <w:shd w:val="clear" w:color="auto" w:fill="auto"/>
          </w:tcPr>
          <w:p w:rsidR="003E14E0" w:rsidRPr="00FB5CEA" w:rsidRDefault="003E14E0" w:rsidP="009C6DF2">
            <w:pPr>
              <w:jc w:val="center"/>
              <w:rPr>
                <w:b/>
                <w:sz w:val="18"/>
                <w:szCs w:val="20"/>
                <w:lang w:eastAsia="en-AU"/>
              </w:rPr>
            </w:pPr>
            <w:r w:rsidRPr="00FB5CEA">
              <w:rPr>
                <w:b/>
                <w:sz w:val="18"/>
                <w:szCs w:val="20"/>
                <w:lang w:eastAsia="en-AU"/>
              </w:rPr>
              <w:t>Key indicator</w:t>
            </w:r>
          </w:p>
          <w:p w:rsidR="003E14E0" w:rsidRPr="00FB5CEA" w:rsidRDefault="003E14E0" w:rsidP="009C6DF2">
            <w:pPr>
              <w:jc w:val="center"/>
              <w:rPr>
                <w:b/>
                <w:sz w:val="18"/>
                <w:szCs w:val="20"/>
                <w:lang w:eastAsia="en-AU"/>
              </w:rPr>
            </w:pPr>
            <w:r w:rsidRPr="00FB5CEA">
              <w:rPr>
                <w:b/>
                <w:sz w:val="18"/>
                <w:szCs w:val="20"/>
                <w:lang w:eastAsia="en-AU"/>
              </w:rPr>
              <w:t>species</w:t>
            </w:r>
          </w:p>
        </w:tc>
        <w:tc>
          <w:tcPr>
            <w:tcW w:w="0" w:type="auto"/>
            <w:shd w:val="clear" w:color="auto" w:fill="auto"/>
          </w:tcPr>
          <w:p w:rsidR="003E14E0" w:rsidRPr="00FB5CEA" w:rsidRDefault="003E14E0" w:rsidP="009C6DF2">
            <w:pPr>
              <w:jc w:val="center"/>
              <w:rPr>
                <w:b/>
                <w:sz w:val="18"/>
                <w:szCs w:val="20"/>
                <w:lang w:eastAsia="en-AU"/>
              </w:rPr>
            </w:pPr>
            <w:r w:rsidRPr="00FB5CEA">
              <w:rPr>
                <w:b/>
                <w:sz w:val="18"/>
                <w:szCs w:val="20"/>
                <w:lang w:eastAsia="en-AU"/>
              </w:rPr>
              <w:t>Exposure</w:t>
            </w:r>
          </w:p>
        </w:tc>
        <w:tc>
          <w:tcPr>
            <w:tcW w:w="0" w:type="auto"/>
            <w:shd w:val="clear" w:color="auto" w:fill="auto"/>
          </w:tcPr>
          <w:p w:rsidR="003E14E0" w:rsidRPr="00FB5CEA" w:rsidRDefault="003E14E0" w:rsidP="009C6DF2">
            <w:pPr>
              <w:jc w:val="center"/>
              <w:rPr>
                <w:b/>
                <w:sz w:val="18"/>
                <w:szCs w:val="20"/>
                <w:lang w:eastAsia="en-AU"/>
              </w:rPr>
            </w:pPr>
            <w:r w:rsidRPr="00FB5CEA">
              <w:rPr>
                <w:b/>
                <w:sz w:val="18"/>
                <w:szCs w:val="20"/>
                <w:lang w:eastAsia="en-AU"/>
              </w:rPr>
              <w:t xml:space="preserve">Endpoint </w:t>
            </w:r>
          </w:p>
        </w:tc>
        <w:tc>
          <w:tcPr>
            <w:tcW w:w="0" w:type="auto"/>
          </w:tcPr>
          <w:p w:rsidR="003E14E0" w:rsidRPr="00FB5CEA" w:rsidRDefault="003E14E0" w:rsidP="000178C7">
            <w:pPr>
              <w:jc w:val="center"/>
              <w:rPr>
                <w:b/>
                <w:sz w:val="18"/>
                <w:szCs w:val="20"/>
                <w:lang w:eastAsia="en-AU"/>
              </w:rPr>
            </w:pPr>
            <w:r w:rsidRPr="00FB5CEA">
              <w:rPr>
                <w:b/>
                <w:sz w:val="18"/>
                <w:szCs w:val="20"/>
                <w:lang w:eastAsia="en-AU"/>
              </w:rPr>
              <w:t>Assessment</w:t>
            </w:r>
          </w:p>
          <w:p w:rsidR="003E14E0" w:rsidRPr="00FB5CEA" w:rsidRDefault="003E14E0" w:rsidP="000178C7">
            <w:pPr>
              <w:jc w:val="center"/>
              <w:rPr>
                <w:b/>
                <w:sz w:val="18"/>
                <w:szCs w:val="20"/>
                <w:lang w:eastAsia="en-AU"/>
              </w:rPr>
            </w:pPr>
            <w:r w:rsidRPr="00FB5CEA">
              <w:rPr>
                <w:b/>
                <w:sz w:val="18"/>
                <w:szCs w:val="20"/>
                <w:lang w:eastAsia="en-AU"/>
              </w:rPr>
              <w:t>factor</w:t>
            </w:r>
          </w:p>
        </w:tc>
        <w:tc>
          <w:tcPr>
            <w:tcW w:w="0" w:type="auto"/>
            <w:shd w:val="clear" w:color="auto" w:fill="auto"/>
          </w:tcPr>
          <w:p w:rsidR="003E14E0" w:rsidRPr="00FB5CEA" w:rsidRDefault="003E14E0" w:rsidP="009C6DF2">
            <w:pPr>
              <w:jc w:val="center"/>
              <w:rPr>
                <w:b/>
                <w:sz w:val="18"/>
                <w:szCs w:val="20"/>
                <w:lang w:eastAsia="en-AU"/>
              </w:rPr>
            </w:pPr>
            <w:r w:rsidRPr="00FB5CEA">
              <w:rPr>
                <w:b/>
                <w:sz w:val="18"/>
                <w:szCs w:val="20"/>
                <w:lang w:eastAsia="en-AU"/>
              </w:rPr>
              <w:t>RAL</w:t>
            </w:r>
          </w:p>
        </w:tc>
      </w:tr>
      <w:tr w:rsidR="003E14E0" w:rsidRPr="00FB5CEA" w:rsidTr="009C6DF2">
        <w:trPr>
          <w:cantSplit/>
        </w:trPr>
        <w:tc>
          <w:tcPr>
            <w:tcW w:w="0" w:type="auto"/>
            <w:vMerge w:val="restart"/>
            <w:shd w:val="clear" w:color="auto" w:fill="auto"/>
          </w:tcPr>
          <w:p w:rsidR="003E14E0" w:rsidRPr="00FB5CEA" w:rsidRDefault="003E14E0" w:rsidP="009C6DF2">
            <w:pPr>
              <w:rPr>
                <w:sz w:val="18"/>
                <w:szCs w:val="20"/>
                <w:lang w:eastAsia="en-AU"/>
              </w:rPr>
            </w:pPr>
            <w:r w:rsidRPr="00FB5CEA">
              <w:rPr>
                <w:sz w:val="18"/>
                <w:szCs w:val="20"/>
                <w:lang w:eastAsia="en-AU"/>
              </w:rPr>
              <w:t>Birds</w:t>
            </w:r>
          </w:p>
        </w:tc>
        <w:tc>
          <w:tcPr>
            <w:tcW w:w="0" w:type="auto"/>
            <w:vMerge w:val="restart"/>
            <w:shd w:val="clear" w:color="auto" w:fill="auto"/>
          </w:tcPr>
          <w:p w:rsidR="003E14E0" w:rsidRPr="00FB5CEA" w:rsidRDefault="003E14E0" w:rsidP="009C6DF2">
            <w:pPr>
              <w:rPr>
                <w:i/>
                <w:sz w:val="18"/>
                <w:szCs w:val="20"/>
                <w:lang w:eastAsia="en-AU"/>
              </w:rPr>
            </w:pPr>
            <w:r w:rsidRPr="00FB5CEA">
              <w:rPr>
                <w:i/>
                <w:sz w:val="18"/>
                <w:szCs w:val="20"/>
              </w:rPr>
              <w:t xml:space="preserve">Serinus canaria </w:t>
            </w:r>
          </w:p>
        </w:tc>
        <w:tc>
          <w:tcPr>
            <w:tcW w:w="0" w:type="auto"/>
            <w:shd w:val="clear" w:color="auto" w:fill="auto"/>
          </w:tcPr>
          <w:p w:rsidR="003E14E0" w:rsidRPr="00FB5CEA" w:rsidRDefault="003E14E0" w:rsidP="009C6DF2">
            <w:pPr>
              <w:rPr>
                <w:sz w:val="18"/>
                <w:szCs w:val="20"/>
                <w:lang w:eastAsia="en-AU"/>
              </w:rPr>
            </w:pPr>
            <w:r w:rsidRPr="00FB5CEA">
              <w:rPr>
                <w:sz w:val="18"/>
                <w:szCs w:val="20"/>
                <w:lang w:eastAsia="en-AU"/>
              </w:rPr>
              <w:t>Acute</w:t>
            </w:r>
            <w:r w:rsidRPr="00FB5CEA">
              <w:rPr>
                <w:bCs/>
                <w:sz w:val="18"/>
                <w:szCs w:val="20"/>
              </w:rPr>
              <w:t xml:space="preserve"> </w:t>
            </w:r>
          </w:p>
        </w:tc>
        <w:tc>
          <w:tcPr>
            <w:tcW w:w="0" w:type="auto"/>
            <w:shd w:val="clear" w:color="auto" w:fill="auto"/>
          </w:tcPr>
          <w:p w:rsidR="003E14E0" w:rsidRPr="00FB5CEA" w:rsidRDefault="003E14E0" w:rsidP="009C6DF2">
            <w:pPr>
              <w:jc w:val="right"/>
              <w:rPr>
                <w:sz w:val="18"/>
                <w:szCs w:val="20"/>
                <w:lang w:eastAsia="en-AU"/>
              </w:rPr>
            </w:pPr>
            <w:r w:rsidRPr="00FB5CEA">
              <w:rPr>
                <w:bCs/>
                <w:sz w:val="18"/>
                <w:szCs w:val="20"/>
              </w:rPr>
              <w:t>LD50 &gt;2000 mg ac/kg bw</w:t>
            </w:r>
          </w:p>
        </w:tc>
        <w:tc>
          <w:tcPr>
            <w:tcW w:w="0" w:type="auto"/>
          </w:tcPr>
          <w:p w:rsidR="003E14E0" w:rsidRPr="00FB5CEA" w:rsidRDefault="003E14E0" w:rsidP="000178C7">
            <w:pPr>
              <w:jc w:val="center"/>
              <w:rPr>
                <w:sz w:val="18"/>
                <w:szCs w:val="20"/>
                <w:lang w:eastAsia="en-AU"/>
              </w:rPr>
            </w:pPr>
            <w:r w:rsidRPr="00FB5CEA">
              <w:rPr>
                <w:sz w:val="18"/>
                <w:szCs w:val="20"/>
                <w:lang w:eastAsia="en-AU"/>
              </w:rPr>
              <w:t>10</w:t>
            </w:r>
          </w:p>
        </w:tc>
        <w:tc>
          <w:tcPr>
            <w:tcW w:w="0" w:type="auto"/>
            <w:shd w:val="clear" w:color="auto" w:fill="auto"/>
          </w:tcPr>
          <w:p w:rsidR="003E14E0" w:rsidRPr="00FB5CEA" w:rsidRDefault="003E14E0" w:rsidP="009C6DF2">
            <w:pPr>
              <w:jc w:val="right"/>
              <w:rPr>
                <w:sz w:val="18"/>
                <w:szCs w:val="20"/>
                <w:lang w:eastAsia="en-AU"/>
              </w:rPr>
            </w:pPr>
            <w:r w:rsidRPr="00FB5CEA">
              <w:rPr>
                <w:sz w:val="18"/>
                <w:szCs w:val="20"/>
                <w:lang w:eastAsia="en-AU"/>
              </w:rPr>
              <w:t>&gt;200 mg ac/kg bw</w:t>
            </w:r>
          </w:p>
        </w:tc>
      </w:tr>
      <w:tr w:rsidR="003E14E0" w:rsidRPr="00FB5CEA" w:rsidTr="009C6DF2">
        <w:trPr>
          <w:cantSplit/>
        </w:trPr>
        <w:tc>
          <w:tcPr>
            <w:tcW w:w="0" w:type="auto"/>
            <w:vMerge/>
            <w:shd w:val="clear" w:color="auto" w:fill="auto"/>
          </w:tcPr>
          <w:p w:rsidR="003E14E0" w:rsidRPr="00FB5CEA" w:rsidRDefault="003E14E0" w:rsidP="009C6DF2">
            <w:pPr>
              <w:rPr>
                <w:sz w:val="18"/>
                <w:szCs w:val="20"/>
                <w:lang w:eastAsia="en-AU"/>
              </w:rPr>
            </w:pPr>
          </w:p>
        </w:tc>
        <w:tc>
          <w:tcPr>
            <w:tcW w:w="0" w:type="auto"/>
            <w:vMerge/>
            <w:shd w:val="clear" w:color="auto" w:fill="auto"/>
          </w:tcPr>
          <w:p w:rsidR="003E14E0" w:rsidRPr="00FB5CEA" w:rsidRDefault="003E14E0" w:rsidP="009C6DF2">
            <w:pPr>
              <w:rPr>
                <w:i/>
                <w:sz w:val="18"/>
                <w:szCs w:val="20"/>
                <w:lang w:eastAsia="en-AU"/>
              </w:rPr>
            </w:pPr>
          </w:p>
        </w:tc>
        <w:tc>
          <w:tcPr>
            <w:tcW w:w="0" w:type="auto"/>
            <w:shd w:val="clear" w:color="auto" w:fill="auto"/>
          </w:tcPr>
          <w:p w:rsidR="003E14E0" w:rsidRPr="00FB5CEA" w:rsidRDefault="003E14E0" w:rsidP="009C6DF2">
            <w:pPr>
              <w:rPr>
                <w:sz w:val="18"/>
                <w:szCs w:val="20"/>
                <w:lang w:eastAsia="en-AU"/>
              </w:rPr>
            </w:pPr>
            <w:r w:rsidRPr="00FB5CEA">
              <w:rPr>
                <w:sz w:val="18"/>
                <w:szCs w:val="20"/>
                <w:lang w:eastAsia="en-AU"/>
              </w:rPr>
              <w:t>Reproduction</w:t>
            </w:r>
            <w:r w:rsidRPr="00FB5CEA">
              <w:rPr>
                <w:sz w:val="18"/>
                <w:szCs w:val="20"/>
              </w:rPr>
              <w:t xml:space="preserve"> </w:t>
            </w:r>
          </w:p>
        </w:tc>
        <w:tc>
          <w:tcPr>
            <w:tcW w:w="0" w:type="auto"/>
            <w:shd w:val="clear" w:color="auto" w:fill="auto"/>
          </w:tcPr>
          <w:p w:rsidR="003E14E0" w:rsidRPr="00FB5CEA" w:rsidRDefault="003E14E0" w:rsidP="009C6DF2">
            <w:pPr>
              <w:jc w:val="right"/>
              <w:rPr>
                <w:sz w:val="18"/>
                <w:szCs w:val="20"/>
              </w:rPr>
            </w:pPr>
            <w:r w:rsidRPr="00FB5CEA">
              <w:rPr>
                <w:sz w:val="18"/>
                <w:szCs w:val="20"/>
              </w:rPr>
              <w:t>NOEC 142 mg ac/kg bw/d</w:t>
            </w:r>
          </w:p>
        </w:tc>
        <w:tc>
          <w:tcPr>
            <w:tcW w:w="0" w:type="auto"/>
          </w:tcPr>
          <w:p w:rsidR="003E14E0" w:rsidRPr="00FB5CEA" w:rsidRDefault="003E14E0" w:rsidP="000178C7">
            <w:pPr>
              <w:jc w:val="center"/>
              <w:rPr>
                <w:sz w:val="18"/>
                <w:szCs w:val="20"/>
                <w:lang w:eastAsia="en-AU"/>
              </w:rPr>
            </w:pPr>
            <w:r w:rsidRPr="00FB5CEA">
              <w:rPr>
                <w:sz w:val="18"/>
                <w:szCs w:val="20"/>
                <w:lang w:eastAsia="en-AU"/>
              </w:rPr>
              <w:t>1</w:t>
            </w:r>
          </w:p>
        </w:tc>
        <w:tc>
          <w:tcPr>
            <w:tcW w:w="0" w:type="auto"/>
            <w:shd w:val="clear" w:color="auto" w:fill="auto"/>
          </w:tcPr>
          <w:p w:rsidR="003E14E0" w:rsidRPr="00FB5CEA" w:rsidRDefault="003E14E0" w:rsidP="009C6DF2">
            <w:pPr>
              <w:jc w:val="right"/>
              <w:rPr>
                <w:sz w:val="18"/>
                <w:szCs w:val="20"/>
                <w:lang w:eastAsia="en-AU"/>
              </w:rPr>
            </w:pPr>
            <w:r w:rsidRPr="00FB5CEA">
              <w:rPr>
                <w:sz w:val="18"/>
                <w:szCs w:val="20"/>
                <w:lang w:eastAsia="en-AU"/>
              </w:rPr>
              <w:t>142 mg ac/kg bw/d</w:t>
            </w:r>
          </w:p>
        </w:tc>
      </w:tr>
      <w:tr w:rsidR="003E14E0" w:rsidRPr="00FB5CEA" w:rsidTr="009C6DF2">
        <w:trPr>
          <w:cantSplit/>
        </w:trPr>
        <w:tc>
          <w:tcPr>
            <w:tcW w:w="0" w:type="auto"/>
            <w:vMerge w:val="restart"/>
            <w:shd w:val="clear" w:color="auto" w:fill="auto"/>
          </w:tcPr>
          <w:p w:rsidR="003E14E0" w:rsidRPr="00FB5CEA" w:rsidRDefault="003E14E0" w:rsidP="009C6DF2">
            <w:pPr>
              <w:rPr>
                <w:sz w:val="18"/>
                <w:szCs w:val="20"/>
                <w:lang w:eastAsia="en-AU"/>
              </w:rPr>
            </w:pPr>
            <w:r w:rsidRPr="00FB5CEA">
              <w:rPr>
                <w:sz w:val="18"/>
                <w:szCs w:val="20"/>
                <w:lang w:eastAsia="en-AU"/>
              </w:rPr>
              <w:t>Mammals</w:t>
            </w:r>
          </w:p>
        </w:tc>
        <w:tc>
          <w:tcPr>
            <w:tcW w:w="0" w:type="auto"/>
            <w:vMerge w:val="restart"/>
            <w:shd w:val="clear" w:color="auto" w:fill="auto"/>
          </w:tcPr>
          <w:p w:rsidR="003E14E0" w:rsidRPr="00FB5CEA" w:rsidRDefault="003E14E0" w:rsidP="009C6DF2">
            <w:pPr>
              <w:rPr>
                <w:i/>
                <w:sz w:val="18"/>
                <w:szCs w:val="20"/>
                <w:lang w:eastAsia="en-AU"/>
              </w:rPr>
            </w:pPr>
            <w:r w:rsidRPr="00FB5CEA">
              <w:rPr>
                <w:i/>
                <w:sz w:val="18"/>
                <w:szCs w:val="20"/>
              </w:rPr>
              <w:t>Rattus norvegicus</w:t>
            </w:r>
          </w:p>
        </w:tc>
        <w:tc>
          <w:tcPr>
            <w:tcW w:w="0" w:type="auto"/>
            <w:shd w:val="clear" w:color="auto" w:fill="auto"/>
          </w:tcPr>
          <w:p w:rsidR="003E14E0" w:rsidRPr="00FB5CEA" w:rsidRDefault="003E14E0" w:rsidP="009C6DF2">
            <w:pPr>
              <w:rPr>
                <w:sz w:val="18"/>
                <w:szCs w:val="20"/>
                <w:lang w:eastAsia="en-AU"/>
              </w:rPr>
            </w:pPr>
            <w:r w:rsidRPr="00FB5CEA">
              <w:rPr>
                <w:sz w:val="18"/>
                <w:szCs w:val="20"/>
                <w:lang w:eastAsia="en-AU"/>
              </w:rPr>
              <w:t>Acute</w:t>
            </w:r>
            <w:r w:rsidRPr="00FB5CEA">
              <w:rPr>
                <w:bCs/>
                <w:sz w:val="18"/>
                <w:szCs w:val="20"/>
              </w:rPr>
              <w:t xml:space="preserve"> </w:t>
            </w:r>
          </w:p>
        </w:tc>
        <w:tc>
          <w:tcPr>
            <w:tcW w:w="0" w:type="auto"/>
            <w:shd w:val="clear" w:color="auto" w:fill="auto"/>
          </w:tcPr>
          <w:p w:rsidR="003E14E0" w:rsidRPr="00FB5CEA" w:rsidRDefault="003E14E0" w:rsidP="009C6DF2">
            <w:pPr>
              <w:jc w:val="right"/>
              <w:rPr>
                <w:sz w:val="18"/>
                <w:szCs w:val="20"/>
                <w:lang w:eastAsia="en-AU"/>
              </w:rPr>
            </w:pPr>
            <w:r w:rsidRPr="00FB5CEA">
              <w:rPr>
                <w:bCs/>
                <w:sz w:val="18"/>
                <w:szCs w:val="20"/>
              </w:rPr>
              <w:t xml:space="preserve">LD50 5000 mg ac/kg bw </w:t>
            </w:r>
          </w:p>
        </w:tc>
        <w:tc>
          <w:tcPr>
            <w:tcW w:w="0" w:type="auto"/>
          </w:tcPr>
          <w:p w:rsidR="003E14E0" w:rsidRPr="00FB5CEA" w:rsidRDefault="003E14E0" w:rsidP="000178C7">
            <w:pPr>
              <w:jc w:val="center"/>
              <w:rPr>
                <w:sz w:val="18"/>
                <w:szCs w:val="20"/>
                <w:lang w:eastAsia="en-AU"/>
              </w:rPr>
            </w:pPr>
            <w:r w:rsidRPr="00FB5CEA">
              <w:rPr>
                <w:sz w:val="18"/>
                <w:szCs w:val="20"/>
                <w:lang w:eastAsia="en-AU"/>
              </w:rPr>
              <w:t>10</w:t>
            </w:r>
          </w:p>
        </w:tc>
        <w:tc>
          <w:tcPr>
            <w:tcW w:w="0" w:type="auto"/>
            <w:shd w:val="clear" w:color="auto" w:fill="auto"/>
          </w:tcPr>
          <w:p w:rsidR="003E14E0" w:rsidRPr="00FB5CEA" w:rsidRDefault="003E14E0" w:rsidP="009C6DF2">
            <w:pPr>
              <w:jc w:val="right"/>
              <w:rPr>
                <w:sz w:val="18"/>
                <w:szCs w:val="20"/>
                <w:lang w:eastAsia="en-AU"/>
              </w:rPr>
            </w:pPr>
            <w:r w:rsidRPr="00FB5CEA">
              <w:rPr>
                <w:sz w:val="18"/>
                <w:szCs w:val="20"/>
                <w:lang w:eastAsia="en-AU"/>
              </w:rPr>
              <w:t>500 mg ac/kg bw</w:t>
            </w:r>
          </w:p>
        </w:tc>
      </w:tr>
      <w:tr w:rsidR="003E14E0" w:rsidRPr="00FB5CEA" w:rsidTr="009C6DF2">
        <w:trPr>
          <w:cantSplit/>
        </w:trPr>
        <w:tc>
          <w:tcPr>
            <w:tcW w:w="0" w:type="auto"/>
            <w:vMerge/>
            <w:shd w:val="clear" w:color="auto" w:fill="auto"/>
          </w:tcPr>
          <w:p w:rsidR="003E14E0" w:rsidRPr="00FB5CEA" w:rsidRDefault="003E14E0" w:rsidP="009C6DF2">
            <w:pPr>
              <w:rPr>
                <w:sz w:val="18"/>
                <w:szCs w:val="20"/>
                <w:lang w:eastAsia="en-AU"/>
              </w:rPr>
            </w:pPr>
          </w:p>
        </w:tc>
        <w:tc>
          <w:tcPr>
            <w:tcW w:w="0" w:type="auto"/>
            <w:vMerge/>
            <w:shd w:val="clear" w:color="auto" w:fill="auto"/>
          </w:tcPr>
          <w:p w:rsidR="003E14E0" w:rsidRPr="00FB5CEA" w:rsidRDefault="003E14E0" w:rsidP="009C6DF2">
            <w:pPr>
              <w:rPr>
                <w:i/>
                <w:sz w:val="18"/>
                <w:szCs w:val="20"/>
                <w:lang w:eastAsia="en-AU"/>
              </w:rPr>
            </w:pPr>
          </w:p>
        </w:tc>
        <w:tc>
          <w:tcPr>
            <w:tcW w:w="0" w:type="auto"/>
            <w:shd w:val="clear" w:color="auto" w:fill="auto"/>
          </w:tcPr>
          <w:p w:rsidR="003E14E0" w:rsidRPr="00FB5CEA" w:rsidRDefault="003E14E0" w:rsidP="009C6DF2">
            <w:pPr>
              <w:rPr>
                <w:sz w:val="18"/>
                <w:szCs w:val="20"/>
                <w:lang w:eastAsia="en-AU"/>
              </w:rPr>
            </w:pPr>
            <w:r w:rsidRPr="00FB5CEA">
              <w:rPr>
                <w:sz w:val="18"/>
                <w:szCs w:val="20"/>
                <w:lang w:eastAsia="en-AU"/>
              </w:rPr>
              <w:t>Reproduction</w:t>
            </w:r>
            <w:r w:rsidRPr="00FB5CEA">
              <w:rPr>
                <w:sz w:val="18"/>
                <w:szCs w:val="20"/>
              </w:rPr>
              <w:t xml:space="preserve"> </w:t>
            </w:r>
          </w:p>
        </w:tc>
        <w:tc>
          <w:tcPr>
            <w:tcW w:w="0" w:type="auto"/>
            <w:shd w:val="clear" w:color="auto" w:fill="auto"/>
          </w:tcPr>
          <w:p w:rsidR="003E14E0" w:rsidRPr="00FB5CEA" w:rsidRDefault="003E14E0" w:rsidP="009C6DF2">
            <w:pPr>
              <w:jc w:val="right"/>
              <w:rPr>
                <w:sz w:val="18"/>
                <w:szCs w:val="20"/>
              </w:rPr>
            </w:pPr>
            <w:r w:rsidRPr="00FB5CEA">
              <w:rPr>
                <w:sz w:val="18"/>
                <w:szCs w:val="20"/>
                <w:lang w:eastAsia="en-AU"/>
              </w:rPr>
              <w:t>NOEC 104 mg ac/kg bw/d</w:t>
            </w:r>
          </w:p>
        </w:tc>
        <w:tc>
          <w:tcPr>
            <w:tcW w:w="0" w:type="auto"/>
          </w:tcPr>
          <w:p w:rsidR="003E14E0" w:rsidRPr="00FB5CEA" w:rsidRDefault="003E14E0" w:rsidP="000178C7">
            <w:pPr>
              <w:jc w:val="center"/>
              <w:rPr>
                <w:sz w:val="18"/>
                <w:szCs w:val="20"/>
                <w:lang w:eastAsia="en-AU"/>
              </w:rPr>
            </w:pPr>
            <w:r w:rsidRPr="00FB5CEA">
              <w:rPr>
                <w:sz w:val="18"/>
                <w:szCs w:val="20"/>
                <w:lang w:eastAsia="en-AU"/>
              </w:rPr>
              <w:t>1</w:t>
            </w:r>
          </w:p>
        </w:tc>
        <w:tc>
          <w:tcPr>
            <w:tcW w:w="0" w:type="auto"/>
            <w:shd w:val="clear" w:color="auto" w:fill="auto"/>
          </w:tcPr>
          <w:p w:rsidR="003E14E0" w:rsidRPr="00FB5CEA" w:rsidRDefault="003E14E0" w:rsidP="009C6DF2">
            <w:pPr>
              <w:jc w:val="right"/>
              <w:rPr>
                <w:sz w:val="18"/>
                <w:szCs w:val="20"/>
                <w:lang w:eastAsia="en-AU"/>
              </w:rPr>
            </w:pPr>
            <w:r w:rsidRPr="00FB5CEA">
              <w:rPr>
                <w:sz w:val="18"/>
                <w:szCs w:val="20"/>
                <w:lang w:eastAsia="en-AU"/>
              </w:rPr>
              <w:t>104 mg ac/kg bw/d</w:t>
            </w:r>
          </w:p>
        </w:tc>
      </w:tr>
      <w:tr w:rsidR="003E14E0" w:rsidRPr="00FB5CEA" w:rsidTr="009C6DF2">
        <w:trPr>
          <w:cantSplit/>
        </w:trPr>
        <w:tc>
          <w:tcPr>
            <w:tcW w:w="0" w:type="auto"/>
            <w:vMerge w:val="restart"/>
            <w:shd w:val="clear" w:color="auto" w:fill="auto"/>
          </w:tcPr>
          <w:p w:rsidR="003E14E0" w:rsidRPr="00FB5CEA" w:rsidRDefault="003E14E0" w:rsidP="009C6DF2">
            <w:pPr>
              <w:rPr>
                <w:sz w:val="18"/>
                <w:szCs w:val="20"/>
                <w:lang w:eastAsia="en-AU"/>
              </w:rPr>
            </w:pPr>
            <w:r w:rsidRPr="00FB5CEA">
              <w:rPr>
                <w:sz w:val="18"/>
                <w:szCs w:val="20"/>
                <w:lang w:eastAsia="en-AU"/>
              </w:rPr>
              <w:t>Fish</w:t>
            </w:r>
          </w:p>
        </w:tc>
        <w:tc>
          <w:tcPr>
            <w:tcW w:w="0" w:type="auto"/>
            <w:shd w:val="clear" w:color="auto" w:fill="auto"/>
          </w:tcPr>
          <w:p w:rsidR="003E14E0" w:rsidRPr="00FB5CEA" w:rsidRDefault="003E14E0" w:rsidP="00BD29A7">
            <w:pPr>
              <w:rPr>
                <w:rFonts w:ascii="Times New Roman" w:hAnsi="Times New Roman"/>
                <w:sz w:val="18"/>
                <w:szCs w:val="20"/>
              </w:rPr>
            </w:pPr>
            <w:r w:rsidRPr="00BD29A7">
              <w:rPr>
                <w:i/>
                <w:sz w:val="18"/>
                <w:szCs w:val="20"/>
              </w:rPr>
              <w:t>Cyprinus carpio</w:t>
            </w:r>
          </w:p>
        </w:tc>
        <w:tc>
          <w:tcPr>
            <w:tcW w:w="0" w:type="auto"/>
            <w:shd w:val="clear" w:color="auto" w:fill="auto"/>
          </w:tcPr>
          <w:p w:rsidR="003E14E0" w:rsidRPr="00FB5CEA" w:rsidRDefault="003E14E0" w:rsidP="009C6DF2">
            <w:pPr>
              <w:rPr>
                <w:sz w:val="18"/>
                <w:szCs w:val="20"/>
                <w:lang w:eastAsia="en-AU"/>
              </w:rPr>
            </w:pPr>
            <w:r w:rsidRPr="00FB5CEA">
              <w:rPr>
                <w:sz w:val="18"/>
                <w:szCs w:val="20"/>
                <w:lang w:eastAsia="en-AU"/>
              </w:rPr>
              <w:t>Acute</w:t>
            </w:r>
            <w:r w:rsidRPr="00FB5CEA">
              <w:rPr>
                <w:sz w:val="18"/>
                <w:szCs w:val="20"/>
              </w:rPr>
              <w:t xml:space="preserve"> </w:t>
            </w:r>
          </w:p>
        </w:tc>
        <w:tc>
          <w:tcPr>
            <w:tcW w:w="0" w:type="auto"/>
            <w:shd w:val="clear" w:color="auto" w:fill="auto"/>
          </w:tcPr>
          <w:p w:rsidR="003E14E0" w:rsidRPr="00FB5CEA" w:rsidRDefault="003E14E0" w:rsidP="009C6DF2">
            <w:pPr>
              <w:jc w:val="right"/>
              <w:rPr>
                <w:sz w:val="18"/>
                <w:szCs w:val="20"/>
                <w:lang w:eastAsia="en-AU"/>
              </w:rPr>
            </w:pPr>
            <w:r w:rsidRPr="00FB5CEA">
              <w:rPr>
                <w:sz w:val="18"/>
                <w:szCs w:val="20"/>
              </w:rPr>
              <w:t xml:space="preserve">LC50 0.62 mg ac/L </w:t>
            </w:r>
          </w:p>
        </w:tc>
        <w:tc>
          <w:tcPr>
            <w:tcW w:w="0" w:type="auto"/>
          </w:tcPr>
          <w:p w:rsidR="003E14E0" w:rsidRPr="00FB5CEA" w:rsidRDefault="003E14E0" w:rsidP="000178C7">
            <w:pPr>
              <w:jc w:val="center"/>
              <w:rPr>
                <w:sz w:val="18"/>
                <w:szCs w:val="20"/>
                <w:lang w:eastAsia="en-AU"/>
              </w:rPr>
            </w:pPr>
            <w:r w:rsidRPr="00FB5CEA">
              <w:rPr>
                <w:sz w:val="18"/>
                <w:szCs w:val="20"/>
                <w:lang w:eastAsia="en-AU"/>
              </w:rPr>
              <w:t>10</w:t>
            </w:r>
          </w:p>
        </w:tc>
        <w:tc>
          <w:tcPr>
            <w:tcW w:w="0" w:type="auto"/>
            <w:shd w:val="clear" w:color="auto" w:fill="auto"/>
          </w:tcPr>
          <w:p w:rsidR="003E14E0" w:rsidRPr="00FB5CEA" w:rsidRDefault="003E14E0" w:rsidP="009C6DF2">
            <w:pPr>
              <w:jc w:val="right"/>
              <w:rPr>
                <w:sz w:val="18"/>
                <w:szCs w:val="20"/>
                <w:lang w:eastAsia="en-AU"/>
              </w:rPr>
            </w:pPr>
            <w:r w:rsidRPr="00FB5CEA">
              <w:rPr>
                <w:sz w:val="18"/>
                <w:szCs w:val="20"/>
                <w:lang w:eastAsia="en-AU"/>
              </w:rPr>
              <w:t xml:space="preserve">0.062 mg ac/L </w:t>
            </w:r>
          </w:p>
        </w:tc>
      </w:tr>
      <w:tr w:rsidR="003E14E0" w:rsidRPr="00FB5CEA" w:rsidTr="009C6DF2">
        <w:trPr>
          <w:cantSplit/>
        </w:trPr>
        <w:tc>
          <w:tcPr>
            <w:tcW w:w="0" w:type="auto"/>
            <w:vMerge/>
            <w:shd w:val="clear" w:color="auto" w:fill="auto"/>
          </w:tcPr>
          <w:p w:rsidR="003E14E0" w:rsidRPr="00FB5CEA" w:rsidRDefault="003E14E0" w:rsidP="009C6DF2">
            <w:pPr>
              <w:rPr>
                <w:sz w:val="18"/>
                <w:szCs w:val="20"/>
                <w:lang w:eastAsia="en-AU"/>
              </w:rPr>
            </w:pPr>
          </w:p>
        </w:tc>
        <w:tc>
          <w:tcPr>
            <w:tcW w:w="0" w:type="auto"/>
            <w:shd w:val="clear" w:color="auto" w:fill="auto"/>
          </w:tcPr>
          <w:p w:rsidR="003E14E0" w:rsidRPr="00FB5CEA" w:rsidRDefault="003E14E0" w:rsidP="009C6DF2">
            <w:pPr>
              <w:rPr>
                <w:i/>
                <w:sz w:val="18"/>
                <w:szCs w:val="20"/>
                <w:lang w:eastAsia="en-AU"/>
              </w:rPr>
            </w:pPr>
            <w:r w:rsidRPr="00FB5CEA">
              <w:rPr>
                <w:sz w:val="18"/>
                <w:szCs w:val="20"/>
              </w:rPr>
              <w:t>Fathead minnow</w:t>
            </w:r>
          </w:p>
        </w:tc>
        <w:tc>
          <w:tcPr>
            <w:tcW w:w="0" w:type="auto"/>
            <w:shd w:val="clear" w:color="auto" w:fill="auto"/>
          </w:tcPr>
          <w:p w:rsidR="003E14E0" w:rsidRPr="00FB5CEA" w:rsidRDefault="003E14E0" w:rsidP="009C6DF2">
            <w:pPr>
              <w:rPr>
                <w:sz w:val="18"/>
                <w:szCs w:val="20"/>
                <w:lang w:eastAsia="en-AU"/>
              </w:rPr>
            </w:pPr>
            <w:r w:rsidRPr="00FB5CEA">
              <w:rPr>
                <w:sz w:val="18"/>
                <w:szCs w:val="20"/>
                <w:lang w:eastAsia="en-AU"/>
              </w:rPr>
              <w:t>Chronic</w:t>
            </w:r>
            <w:r w:rsidRPr="00FB5CEA">
              <w:rPr>
                <w:sz w:val="18"/>
                <w:szCs w:val="20"/>
              </w:rPr>
              <w:t xml:space="preserve"> </w:t>
            </w:r>
          </w:p>
        </w:tc>
        <w:tc>
          <w:tcPr>
            <w:tcW w:w="0" w:type="auto"/>
            <w:shd w:val="clear" w:color="auto" w:fill="auto"/>
          </w:tcPr>
          <w:p w:rsidR="003E14E0" w:rsidRPr="00FB5CEA" w:rsidRDefault="003E14E0" w:rsidP="009C6DF2">
            <w:pPr>
              <w:jc w:val="right"/>
              <w:rPr>
                <w:sz w:val="18"/>
                <w:szCs w:val="20"/>
              </w:rPr>
            </w:pPr>
            <w:r w:rsidRPr="00FB5CEA">
              <w:rPr>
                <w:sz w:val="18"/>
                <w:szCs w:val="20"/>
              </w:rPr>
              <w:t>NOEC 0.17 mg ac/L</w:t>
            </w:r>
          </w:p>
        </w:tc>
        <w:tc>
          <w:tcPr>
            <w:tcW w:w="0" w:type="auto"/>
          </w:tcPr>
          <w:p w:rsidR="003E14E0" w:rsidRPr="00FB5CEA" w:rsidRDefault="003E14E0" w:rsidP="000178C7">
            <w:pPr>
              <w:jc w:val="center"/>
              <w:rPr>
                <w:sz w:val="18"/>
                <w:szCs w:val="20"/>
              </w:rPr>
            </w:pPr>
            <w:r w:rsidRPr="00FB5CEA">
              <w:rPr>
                <w:sz w:val="18"/>
                <w:szCs w:val="20"/>
                <w:lang w:eastAsia="en-AU"/>
              </w:rPr>
              <w:t>1</w:t>
            </w:r>
          </w:p>
        </w:tc>
        <w:tc>
          <w:tcPr>
            <w:tcW w:w="0" w:type="auto"/>
            <w:shd w:val="clear" w:color="auto" w:fill="auto"/>
          </w:tcPr>
          <w:p w:rsidR="003E14E0" w:rsidRPr="00FB5CEA" w:rsidRDefault="003E14E0" w:rsidP="009C6DF2">
            <w:pPr>
              <w:jc w:val="right"/>
              <w:rPr>
                <w:sz w:val="18"/>
                <w:szCs w:val="20"/>
              </w:rPr>
            </w:pPr>
            <w:r w:rsidRPr="00FB5CEA">
              <w:rPr>
                <w:sz w:val="18"/>
                <w:szCs w:val="20"/>
              </w:rPr>
              <w:t>0.17 mg ac/L</w:t>
            </w:r>
          </w:p>
        </w:tc>
      </w:tr>
      <w:tr w:rsidR="003E14E0" w:rsidRPr="00FB5CEA" w:rsidTr="009C6DF2">
        <w:trPr>
          <w:cantSplit/>
        </w:trPr>
        <w:tc>
          <w:tcPr>
            <w:tcW w:w="0" w:type="auto"/>
            <w:vMerge w:val="restart"/>
            <w:shd w:val="clear" w:color="auto" w:fill="auto"/>
          </w:tcPr>
          <w:p w:rsidR="003E14E0" w:rsidRPr="00FB5CEA" w:rsidRDefault="003E14E0" w:rsidP="009C6DF2">
            <w:pPr>
              <w:rPr>
                <w:sz w:val="18"/>
                <w:szCs w:val="20"/>
                <w:lang w:eastAsia="en-AU"/>
              </w:rPr>
            </w:pPr>
            <w:r w:rsidRPr="00FB5CEA">
              <w:rPr>
                <w:sz w:val="18"/>
                <w:szCs w:val="20"/>
                <w:lang w:eastAsia="en-AU"/>
              </w:rPr>
              <w:lastRenderedPageBreak/>
              <w:t>Aquatic</w:t>
            </w:r>
          </w:p>
          <w:p w:rsidR="003E14E0" w:rsidRPr="00FB5CEA" w:rsidRDefault="003E14E0" w:rsidP="009C6DF2">
            <w:pPr>
              <w:rPr>
                <w:sz w:val="18"/>
                <w:szCs w:val="20"/>
                <w:lang w:eastAsia="en-AU"/>
              </w:rPr>
            </w:pPr>
            <w:r w:rsidRPr="00FB5CEA">
              <w:rPr>
                <w:sz w:val="18"/>
                <w:szCs w:val="20"/>
                <w:lang w:eastAsia="en-AU"/>
              </w:rPr>
              <w:t>invertebrates</w:t>
            </w:r>
          </w:p>
        </w:tc>
        <w:tc>
          <w:tcPr>
            <w:tcW w:w="0" w:type="auto"/>
            <w:shd w:val="clear" w:color="auto" w:fill="auto"/>
          </w:tcPr>
          <w:p w:rsidR="003E14E0" w:rsidRPr="00FB5CEA" w:rsidRDefault="003E14E0" w:rsidP="009C6DF2">
            <w:pPr>
              <w:autoSpaceDE w:val="0"/>
              <w:autoSpaceDN w:val="0"/>
              <w:adjustRightInd w:val="0"/>
              <w:rPr>
                <w:i/>
                <w:iCs/>
                <w:sz w:val="18"/>
                <w:szCs w:val="20"/>
              </w:rPr>
            </w:pPr>
            <w:r w:rsidRPr="00FB5CEA">
              <w:rPr>
                <w:i/>
                <w:sz w:val="18"/>
                <w:szCs w:val="20"/>
              </w:rPr>
              <w:t>Mysidopsis bahia</w:t>
            </w:r>
          </w:p>
        </w:tc>
        <w:tc>
          <w:tcPr>
            <w:tcW w:w="0" w:type="auto"/>
            <w:shd w:val="clear" w:color="auto" w:fill="auto"/>
          </w:tcPr>
          <w:p w:rsidR="003E14E0" w:rsidRPr="00FB5CEA" w:rsidRDefault="003E14E0" w:rsidP="009C6DF2">
            <w:pPr>
              <w:rPr>
                <w:sz w:val="18"/>
                <w:szCs w:val="20"/>
                <w:lang w:eastAsia="en-AU"/>
              </w:rPr>
            </w:pPr>
            <w:r w:rsidRPr="00FB5CEA">
              <w:rPr>
                <w:sz w:val="18"/>
                <w:szCs w:val="20"/>
                <w:lang w:eastAsia="en-AU"/>
              </w:rPr>
              <w:t>Acute</w:t>
            </w:r>
            <w:r w:rsidRPr="00FB5CEA">
              <w:rPr>
                <w:sz w:val="18"/>
                <w:szCs w:val="20"/>
              </w:rPr>
              <w:t xml:space="preserve"> </w:t>
            </w:r>
          </w:p>
        </w:tc>
        <w:tc>
          <w:tcPr>
            <w:tcW w:w="0" w:type="auto"/>
            <w:shd w:val="clear" w:color="auto" w:fill="auto"/>
          </w:tcPr>
          <w:p w:rsidR="003E14E0" w:rsidRPr="00FB5CEA" w:rsidRDefault="003E14E0" w:rsidP="009C6DF2">
            <w:pPr>
              <w:jc w:val="right"/>
              <w:rPr>
                <w:sz w:val="18"/>
                <w:szCs w:val="20"/>
                <w:lang w:eastAsia="en-AU"/>
              </w:rPr>
            </w:pPr>
            <w:r w:rsidRPr="00FB5CEA">
              <w:rPr>
                <w:sz w:val="18"/>
                <w:szCs w:val="20"/>
              </w:rPr>
              <w:t xml:space="preserve">LD50 1.5 mg ac/L </w:t>
            </w:r>
          </w:p>
        </w:tc>
        <w:tc>
          <w:tcPr>
            <w:tcW w:w="0" w:type="auto"/>
          </w:tcPr>
          <w:p w:rsidR="003E14E0" w:rsidRPr="00FB5CEA" w:rsidRDefault="003E14E0" w:rsidP="000178C7">
            <w:pPr>
              <w:jc w:val="center"/>
              <w:rPr>
                <w:sz w:val="18"/>
                <w:szCs w:val="20"/>
                <w:lang w:eastAsia="en-AU"/>
              </w:rPr>
            </w:pPr>
            <w:r w:rsidRPr="00FB5CEA">
              <w:rPr>
                <w:sz w:val="18"/>
                <w:szCs w:val="20"/>
                <w:lang w:eastAsia="en-AU"/>
              </w:rPr>
              <w:t>10</w:t>
            </w:r>
          </w:p>
        </w:tc>
        <w:tc>
          <w:tcPr>
            <w:tcW w:w="0" w:type="auto"/>
            <w:shd w:val="clear" w:color="auto" w:fill="auto"/>
          </w:tcPr>
          <w:p w:rsidR="003E14E0" w:rsidRPr="00FB5CEA" w:rsidRDefault="003E14E0" w:rsidP="009C6DF2">
            <w:pPr>
              <w:jc w:val="right"/>
              <w:rPr>
                <w:sz w:val="18"/>
                <w:szCs w:val="20"/>
                <w:lang w:eastAsia="en-AU"/>
              </w:rPr>
            </w:pPr>
            <w:r w:rsidRPr="00FB5CEA">
              <w:rPr>
                <w:sz w:val="18"/>
                <w:szCs w:val="20"/>
                <w:lang w:eastAsia="en-AU"/>
              </w:rPr>
              <w:t>0.15 mg ac/L</w:t>
            </w:r>
          </w:p>
        </w:tc>
      </w:tr>
      <w:tr w:rsidR="003E14E0" w:rsidRPr="00FB5CEA" w:rsidTr="009C6DF2">
        <w:trPr>
          <w:cantSplit/>
        </w:trPr>
        <w:tc>
          <w:tcPr>
            <w:tcW w:w="0" w:type="auto"/>
            <w:vMerge/>
            <w:shd w:val="clear" w:color="auto" w:fill="auto"/>
          </w:tcPr>
          <w:p w:rsidR="003E14E0" w:rsidRPr="00FB5CEA" w:rsidRDefault="003E14E0" w:rsidP="009C6DF2">
            <w:pPr>
              <w:rPr>
                <w:sz w:val="18"/>
                <w:szCs w:val="20"/>
                <w:lang w:eastAsia="en-AU"/>
              </w:rPr>
            </w:pPr>
          </w:p>
        </w:tc>
        <w:tc>
          <w:tcPr>
            <w:tcW w:w="0" w:type="auto"/>
            <w:shd w:val="clear" w:color="auto" w:fill="auto"/>
          </w:tcPr>
          <w:p w:rsidR="003E14E0" w:rsidRPr="00FB5CEA" w:rsidRDefault="003E14E0" w:rsidP="009C6DF2">
            <w:pPr>
              <w:rPr>
                <w:i/>
                <w:sz w:val="18"/>
                <w:szCs w:val="20"/>
              </w:rPr>
            </w:pPr>
            <w:r w:rsidRPr="00FB5CEA">
              <w:rPr>
                <w:i/>
                <w:sz w:val="18"/>
                <w:szCs w:val="20"/>
              </w:rPr>
              <w:t>Daphnia magna</w:t>
            </w:r>
          </w:p>
        </w:tc>
        <w:tc>
          <w:tcPr>
            <w:tcW w:w="0" w:type="auto"/>
            <w:shd w:val="clear" w:color="auto" w:fill="auto"/>
          </w:tcPr>
          <w:p w:rsidR="003E14E0" w:rsidRPr="00FB5CEA" w:rsidRDefault="003E14E0" w:rsidP="009C6DF2">
            <w:pPr>
              <w:rPr>
                <w:sz w:val="18"/>
                <w:szCs w:val="20"/>
                <w:lang w:eastAsia="en-AU"/>
              </w:rPr>
            </w:pPr>
            <w:r w:rsidRPr="00FB5CEA">
              <w:rPr>
                <w:sz w:val="18"/>
                <w:szCs w:val="20"/>
                <w:lang w:eastAsia="en-AU"/>
              </w:rPr>
              <w:t>Chronic</w:t>
            </w:r>
            <w:r w:rsidRPr="00FB5CEA">
              <w:rPr>
                <w:sz w:val="18"/>
                <w:szCs w:val="20"/>
              </w:rPr>
              <w:t xml:space="preserve"> </w:t>
            </w:r>
          </w:p>
        </w:tc>
        <w:tc>
          <w:tcPr>
            <w:tcW w:w="0" w:type="auto"/>
            <w:shd w:val="clear" w:color="auto" w:fill="auto"/>
          </w:tcPr>
          <w:p w:rsidR="003E14E0" w:rsidRPr="00FB5CEA" w:rsidRDefault="003E14E0" w:rsidP="009C6DF2">
            <w:pPr>
              <w:jc w:val="right"/>
              <w:rPr>
                <w:sz w:val="18"/>
                <w:szCs w:val="20"/>
                <w:lang w:eastAsia="en-AU"/>
              </w:rPr>
            </w:pPr>
            <w:r w:rsidRPr="00FB5CEA">
              <w:rPr>
                <w:sz w:val="18"/>
                <w:szCs w:val="20"/>
                <w:lang w:eastAsia="en-AU"/>
              </w:rPr>
              <w:t xml:space="preserve">NOEC 0.75 mg ac/L </w:t>
            </w:r>
          </w:p>
        </w:tc>
        <w:tc>
          <w:tcPr>
            <w:tcW w:w="0" w:type="auto"/>
          </w:tcPr>
          <w:p w:rsidR="003E14E0" w:rsidRPr="00FB5CEA" w:rsidRDefault="003E14E0" w:rsidP="000178C7">
            <w:pPr>
              <w:jc w:val="center"/>
              <w:rPr>
                <w:sz w:val="18"/>
                <w:szCs w:val="20"/>
                <w:lang w:eastAsia="en-AU"/>
              </w:rPr>
            </w:pPr>
            <w:r w:rsidRPr="00FB5CEA">
              <w:rPr>
                <w:sz w:val="18"/>
                <w:szCs w:val="20"/>
                <w:lang w:eastAsia="en-AU"/>
              </w:rPr>
              <w:t>1</w:t>
            </w:r>
          </w:p>
        </w:tc>
        <w:tc>
          <w:tcPr>
            <w:tcW w:w="0" w:type="auto"/>
            <w:shd w:val="clear" w:color="auto" w:fill="auto"/>
          </w:tcPr>
          <w:p w:rsidR="003E14E0" w:rsidRPr="00FB5CEA" w:rsidRDefault="003E14E0" w:rsidP="009C6DF2">
            <w:pPr>
              <w:jc w:val="right"/>
              <w:rPr>
                <w:sz w:val="18"/>
                <w:szCs w:val="20"/>
                <w:lang w:eastAsia="en-AU"/>
              </w:rPr>
            </w:pPr>
            <w:r w:rsidRPr="00FB5CEA">
              <w:rPr>
                <w:sz w:val="18"/>
                <w:szCs w:val="20"/>
                <w:lang w:eastAsia="en-AU"/>
              </w:rPr>
              <w:t>0.75 mg ac/L</w:t>
            </w:r>
          </w:p>
        </w:tc>
      </w:tr>
      <w:tr w:rsidR="003E14E0" w:rsidRPr="00FB5CEA" w:rsidTr="009C6DF2">
        <w:trPr>
          <w:cantSplit/>
        </w:trPr>
        <w:tc>
          <w:tcPr>
            <w:tcW w:w="0" w:type="auto"/>
            <w:shd w:val="clear" w:color="auto" w:fill="auto"/>
          </w:tcPr>
          <w:p w:rsidR="003E14E0" w:rsidRPr="00FB5CEA" w:rsidRDefault="003E14E0" w:rsidP="009C6DF2">
            <w:pPr>
              <w:rPr>
                <w:sz w:val="18"/>
                <w:szCs w:val="20"/>
                <w:lang w:eastAsia="en-AU"/>
              </w:rPr>
            </w:pPr>
            <w:r w:rsidRPr="00FB5CEA">
              <w:rPr>
                <w:sz w:val="18"/>
                <w:szCs w:val="20"/>
                <w:lang w:eastAsia="en-AU"/>
              </w:rPr>
              <w:t>Algae</w:t>
            </w:r>
          </w:p>
        </w:tc>
        <w:tc>
          <w:tcPr>
            <w:tcW w:w="0" w:type="auto"/>
            <w:shd w:val="clear" w:color="auto" w:fill="auto"/>
          </w:tcPr>
          <w:p w:rsidR="003E14E0" w:rsidRPr="00BD29A7" w:rsidRDefault="003E14E0" w:rsidP="00BD29A7">
            <w:pPr>
              <w:rPr>
                <w:i/>
                <w:sz w:val="18"/>
                <w:szCs w:val="20"/>
              </w:rPr>
            </w:pPr>
            <w:r w:rsidRPr="00BD29A7">
              <w:rPr>
                <w:i/>
                <w:sz w:val="18"/>
                <w:szCs w:val="20"/>
              </w:rPr>
              <w:t xml:space="preserve">Pseudokirchneriella </w:t>
            </w:r>
          </w:p>
          <w:p w:rsidR="003E14E0" w:rsidRPr="00BD29A7" w:rsidRDefault="003E14E0" w:rsidP="00BD29A7">
            <w:pPr>
              <w:rPr>
                <w:i/>
                <w:sz w:val="18"/>
                <w:szCs w:val="20"/>
              </w:rPr>
            </w:pPr>
            <w:r w:rsidRPr="00BD29A7">
              <w:rPr>
                <w:i/>
                <w:sz w:val="18"/>
                <w:szCs w:val="20"/>
              </w:rPr>
              <w:t>subcapitata</w:t>
            </w:r>
          </w:p>
        </w:tc>
        <w:tc>
          <w:tcPr>
            <w:tcW w:w="0" w:type="auto"/>
            <w:shd w:val="clear" w:color="auto" w:fill="auto"/>
          </w:tcPr>
          <w:p w:rsidR="003E14E0" w:rsidRPr="00FB5CEA" w:rsidRDefault="003E14E0" w:rsidP="009C6DF2">
            <w:pPr>
              <w:rPr>
                <w:sz w:val="18"/>
                <w:szCs w:val="20"/>
                <w:lang w:eastAsia="en-AU"/>
              </w:rPr>
            </w:pPr>
            <w:r w:rsidRPr="00FB5CEA">
              <w:rPr>
                <w:sz w:val="18"/>
                <w:szCs w:val="20"/>
                <w:lang w:eastAsia="en-AU"/>
              </w:rPr>
              <w:t>Chronic</w:t>
            </w:r>
            <w:r w:rsidRPr="00FB5CEA">
              <w:rPr>
                <w:sz w:val="18"/>
                <w:szCs w:val="20"/>
              </w:rPr>
              <w:t xml:space="preserve"> </w:t>
            </w:r>
          </w:p>
        </w:tc>
        <w:tc>
          <w:tcPr>
            <w:tcW w:w="0" w:type="auto"/>
            <w:shd w:val="clear" w:color="auto" w:fill="auto"/>
          </w:tcPr>
          <w:p w:rsidR="003E14E0" w:rsidRPr="00FB5CEA" w:rsidRDefault="003E14E0" w:rsidP="009C6DF2">
            <w:pPr>
              <w:jc w:val="right"/>
              <w:rPr>
                <w:sz w:val="18"/>
                <w:szCs w:val="20"/>
              </w:rPr>
            </w:pPr>
            <w:r w:rsidRPr="00FB5CEA">
              <w:rPr>
                <w:sz w:val="18"/>
                <w:szCs w:val="20"/>
              </w:rPr>
              <w:t xml:space="preserve">EC50 2.8 mg ac/L </w:t>
            </w:r>
          </w:p>
        </w:tc>
        <w:tc>
          <w:tcPr>
            <w:tcW w:w="0" w:type="auto"/>
          </w:tcPr>
          <w:p w:rsidR="003E14E0" w:rsidRPr="00FB5CEA" w:rsidRDefault="003E14E0" w:rsidP="000178C7">
            <w:pPr>
              <w:jc w:val="center"/>
              <w:rPr>
                <w:sz w:val="18"/>
                <w:szCs w:val="20"/>
                <w:lang w:eastAsia="en-AU"/>
              </w:rPr>
            </w:pPr>
            <w:r w:rsidRPr="00FB5CEA">
              <w:rPr>
                <w:sz w:val="18"/>
                <w:szCs w:val="20"/>
                <w:lang w:eastAsia="en-AU"/>
              </w:rPr>
              <w:t>10</w:t>
            </w:r>
          </w:p>
        </w:tc>
        <w:tc>
          <w:tcPr>
            <w:tcW w:w="0" w:type="auto"/>
            <w:shd w:val="clear" w:color="auto" w:fill="auto"/>
          </w:tcPr>
          <w:p w:rsidR="003E14E0" w:rsidRPr="00FB5CEA" w:rsidRDefault="003E14E0" w:rsidP="009C6DF2">
            <w:pPr>
              <w:jc w:val="right"/>
              <w:rPr>
                <w:sz w:val="18"/>
                <w:szCs w:val="20"/>
                <w:lang w:eastAsia="en-AU"/>
              </w:rPr>
            </w:pPr>
            <w:r w:rsidRPr="00FB5CEA">
              <w:rPr>
                <w:sz w:val="18"/>
                <w:szCs w:val="20"/>
                <w:lang w:eastAsia="en-AU"/>
              </w:rPr>
              <w:t>0.28 mg ac/L</w:t>
            </w:r>
          </w:p>
        </w:tc>
      </w:tr>
      <w:tr w:rsidR="003E14E0" w:rsidRPr="00FB5CEA" w:rsidTr="009C6DF2">
        <w:trPr>
          <w:cantSplit/>
        </w:trPr>
        <w:tc>
          <w:tcPr>
            <w:tcW w:w="0" w:type="auto"/>
            <w:tcBorders>
              <w:bottom w:val="single" w:sz="4" w:space="0" w:color="auto"/>
            </w:tcBorders>
            <w:shd w:val="clear" w:color="auto" w:fill="auto"/>
          </w:tcPr>
          <w:p w:rsidR="003E14E0" w:rsidRPr="00FB5CEA" w:rsidRDefault="003E14E0" w:rsidP="009C6DF2">
            <w:pPr>
              <w:rPr>
                <w:sz w:val="18"/>
                <w:szCs w:val="20"/>
                <w:lang w:eastAsia="en-AU"/>
              </w:rPr>
            </w:pPr>
            <w:r w:rsidRPr="00FB5CEA">
              <w:rPr>
                <w:sz w:val="18"/>
                <w:szCs w:val="20"/>
                <w:lang w:eastAsia="en-AU"/>
              </w:rPr>
              <w:t>Aquatic plants</w:t>
            </w:r>
          </w:p>
        </w:tc>
        <w:tc>
          <w:tcPr>
            <w:tcW w:w="0" w:type="auto"/>
            <w:tcBorders>
              <w:bottom w:val="single" w:sz="4" w:space="0" w:color="auto"/>
            </w:tcBorders>
            <w:shd w:val="clear" w:color="auto" w:fill="auto"/>
          </w:tcPr>
          <w:p w:rsidR="003E14E0" w:rsidRPr="00FB5CEA" w:rsidRDefault="003E14E0" w:rsidP="009C6DF2">
            <w:pPr>
              <w:rPr>
                <w:i/>
                <w:sz w:val="18"/>
                <w:szCs w:val="20"/>
              </w:rPr>
            </w:pPr>
            <w:r w:rsidRPr="00FB5CEA">
              <w:rPr>
                <w:i/>
                <w:sz w:val="18"/>
                <w:szCs w:val="20"/>
              </w:rPr>
              <w:t>Lemna gibba</w:t>
            </w:r>
          </w:p>
        </w:tc>
        <w:tc>
          <w:tcPr>
            <w:tcW w:w="0" w:type="auto"/>
            <w:shd w:val="clear" w:color="auto" w:fill="auto"/>
          </w:tcPr>
          <w:p w:rsidR="003E14E0" w:rsidRPr="00FB5CEA" w:rsidRDefault="003E14E0" w:rsidP="009C6DF2">
            <w:pPr>
              <w:rPr>
                <w:b/>
                <w:sz w:val="18"/>
                <w:szCs w:val="20"/>
                <w:lang w:eastAsia="en-AU"/>
              </w:rPr>
            </w:pPr>
            <w:r w:rsidRPr="00FB5CEA">
              <w:rPr>
                <w:sz w:val="18"/>
                <w:szCs w:val="20"/>
                <w:lang w:eastAsia="en-AU"/>
              </w:rPr>
              <w:t xml:space="preserve">Chronic </w:t>
            </w:r>
          </w:p>
        </w:tc>
        <w:tc>
          <w:tcPr>
            <w:tcW w:w="0" w:type="auto"/>
            <w:shd w:val="clear" w:color="auto" w:fill="auto"/>
          </w:tcPr>
          <w:p w:rsidR="003E14E0" w:rsidRPr="00FB5CEA" w:rsidRDefault="003E14E0" w:rsidP="009C6DF2">
            <w:pPr>
              <w:jc w:val="right"/>
              <w:rPr>
                <w:sz w:val="18"/>
                <w:szCs w:val="20"/>
                <w:lang w:eastAsia="en-AU"/>
              </w:rPr>
            </w:pPr>
            <w:r w:rsidRPr="00FB5CEA">
              <w:rPr>
                <w:bCs/>
                <w:color w:val="000000"/>
                <w:sz w:val="18"/>
                <w:szCs w:val="20"/>
              </w:rPr>
              <w:t xml:space="preserve">EC50 2.7 mg ac/L </w:t>
            </w:r>
          </w:p>
        </w:tc>
        <w:tc>
          <w:tcPr>
            <w:tcW w:w="0" w:type="auto"/>
          </w:tcPr>
          <w:p w:rsidR="003E14E0" w:rsidRPr="00FB5CEA" w:rsidRDefault="003E14E0" w:rsidP="000178C7">
            <w:pPr>
              <w:jc w:val="center"/>
              <w:rPr>
                <w:sz w:val="18"/>
                <w:szCs w:val="20"/>
                <w:lang w:eastAsia="en-AU"/>
              </w:rPr>
            </w:pPr>
            <w:r w:rsidRPr="00FB5CEA">
              <w:rPr>
                <w:sz w:val="18"/>
                <w:szCs w:val="20"/>
                <w:lang w:eastAsia="en-AU"/>
              </w:rPr>
              <w:t>10</w:t>
            </w:r>
          </w:p>
        </w:tc>
        <w:tc>
          <w:tcPr>
            <w:tcW w:w="0" w:type="auto"/>
            <w:shd w:val="clear" w:color="auto" w:fill="auto"/>
          </w:tcPr>
          <w:p w:rsidR="003E14E0" w:rsidRPr="00FB5CEA" w:rsidRDefault="003E14E0" w:rsidP="009C6DF2">
            <w:pPr>
              <w:jc w:val="right"/>
              <w:rPr>
                <w:sz w:val="18"/>
                <w:szCs w:val="20"/>
                <w:lang w:eastAsia="en-AU"/>
              </w:rPr>
            </w:pPr>
            <w:r w:rsidRPr="00FB5CEA">
              <w:rPr>
                <w:sz w:val="18"/>
                <w:szCs w:val="20"/>
                <w:lang w:eastAsia="en-AU"/>
              </w:rPr>
              <w:t>0.27 mg ac/L</w:t>
            </w:r>
          </w:p>
        </w:tc>
      </w:tr>
      <w:tr w:rsidR="003E14E0" w:rsidRPr="00FB5CEA" w:rsidTr="009C6DF2">
        <w:trPr>
          <w:cantSplit/>
        </w:trPr>
        <w:tc>
          <w:tcPr>
            <w:tcW w:w="0" w:type="auto"/>
            <w:tcBorders>
              <w:bottom w:val="nil"/>
            </w:tcBorders>
            <w:shd w:val="clear" w:color="auto" w:fill="auto"/>
          </w:tcPr>
          <w:p w:rsidR="003E14E0" w:rsidRPr="00FB5CEA" w:rsidRDefault="003E14E0" w:rsidP="009C6DF2">
            <w:pPr>
              <w:rPr>
                <w:sz w:val="18"/>
                <w:szCs w:val="20"/>
                <w:lang w:eastAsia="en-AU"/>
              </w:rPr>
            </w:pPr>
            <w:r w:rsidRPr="00FB5CEA">
              <w:rPr>
                <w:sz w:val="18"/>
                <w:szCs w:val="20"/>
                <w:lang w:eastAsia="en-AU"/>
              </w:rPr>
              <w:t>Bees</w:t>
            </w:r>
          </w:p>
        </w:tc>
        <w:tc>
          <w:tcPr>
            <w:tcW w:w="0" w:type="auto"/>
            <w:tcBorders>
              <w:bottom w:val="nil"/>
            </w:tcBorders>
            <w:shd w:val="clear" w:color="auto" w:fill="auto"/>
          </w:tcPr>
          <w:p w:rsidR="003E14E0" w:rsidRPr="00FB5CEA" w:rsidRDefault="003E14E0" w:rsidP="009C6DF2">
            <w:pPr>
              <w:rPr>
                <w:i/>
                <w:sz w:val="18"/>
                <w:szCs w:val="20"/>
              </w:rPr>
            </w:pPr>
            <w:r w:rsidRPr="00FB5CEA">
              <w:rPr>
                <w:i/>
                <w:sz w:val="18"/>
                <w:szCs w:val="20"/>
              </w:rPr>
              <w:t>Apis mellifera</w:t>
            </w:r>
          </w:p>
        </w:tc>
        <w:tc>
          <w:tcPr>
            <w:tcW w:w="0" w:type="auto"/>
            <w:shd w:val="clear" w:color="auto" w:fill="auto"/>
          </w:tcPr>
          <w:p w:rsidR="003E14E0" w:rsidRPr="00FB5CEA" w:rsidRDefault="003E14E0" w:rsidP="009C6DF2">
            <w:pPr>
              <w:rPr>
                <w:sz w:val="18"/>
                <w:szCs w:val="20"/>
                <w:lang w:eastAsia="en-AU"/>
              </w:rPr>
            </w:pPr>
            <w:r w:rsidRPr="00FB5CEA">
              <w:rPr>
                <w:sz w:val="18"/>
                <w:szCs w:val="20"/>
                <w:lang w:eastAsia="en-AU"/>
              </w:rPr>
              <w:t>Acute</w:t>
            </w:r>
            <w:r w:rsidRPr="00FB5CEA">
              <w:rPr>
                <w:sz w:val="18"/>
                <w:szCs w:val="20"/>
              </w:rPr>
              <w:t xml:space="preserve"> </w:t>
            </w:r>
            <w:r w:rsidRPr="00FB5CEA">
              <w:rPr>
                <w:sz w:val="18"/>
                <w:szCs w:val="20"/>
                <w:lang w:eastAsia="en-AU"/>
              </w:rPr>
              <w:t>oral</w:t>
            </w:r>
          </w:p>
        </w:tc>
        <w:tc>
          <w:tcPr>
            <w:tcW w:w="0" w:type="auto"/>
            <w:shd w:val="clear" w:color="auto" w:fill="auto"/>
          </w:tcPr>
          <w:p w:rsidR="003E14E0" w:rsidRPr="00FB5CEA" w:rsidRDefault="003E14E0" w:rsidP="009C6DF2">
            <w:pPr>
              <w:jc w:val="right"/>
              <w:rPr>
                <w:sz w:val="18"/>
                <w:szCs w:val="20"/>
                <w:lang w:eastAsia="en-AU"/>
              </w:rPr>
            </w:pPr>
            <w:r w:rsidRPr="00FB5CEA">
              <w:rPr>
                <w:sz w:val="18"/>
                <w:szCs w:val="20"/>
                <w:lang w:eastAsia="en-AU"/>
              </w:rPr>
              <w:t xml:space="preserve">LD50 &gt;4.2 </w:t>
            </w:r>
            <w:r w:rsidRPr="00FB5CEA">
              <w:rPr>
                <w:sz w:val="18"/>
                <w:szCs w:val="20"/>
              </w:rPr>
              <w:t>µg ac/bee</w:t>
            </w:r>
          </w:p>
          <w:p w:rsidR="003E14E0" w:rsidRPr="00FB5CEA" w:rsidRDefault="003E14E0" w:rsidP="009C6DF2">
            <w:pPr>
              <w:jc w:val="right"/>
              <w:rPr>
                <w:sz w:val="18"/>
                <w:szCs w:val="20"/>
                <w:lang w:eastAsia="en-AU"/>
              </w:rPr>
            </w:pPr>
          </w:p>
        </w:tc>
        <w:tc>
          <w:tcPr>
            <w:tcW w:w="0" w:type="auto"/>
          </w:tcPr>
          <w:p w:rsidR="003E14E0" w:rsidRPr="00FB5CEA" w:rsidRDefault="003E14E0" w:rsidP="000178C7">
            <w:pPr>
              <w:jc w:val="center"/>
              <w:rPr>
                <w:sz w:val="18"/>
                <w:szCs w:val="20"/>
                <w:lang w:eastAsia="en-AU"/>
              </w:rPr>
            </w:pPr>
            <w:r w:rsidRPr="00FB5CEA">
              <w:rPr>
                <w:sz w:val="18"/>
                <w:szCs w:val="20"/>
                <w:lang w:eastAsia="en-AU"/>
              </w:rPr>
              <w:t>2.5</w:t>
            </w:r>
          </w:p>
        </w:tc>
        <w:tc>
          <w:tcPr>
            <w:tcW w:w="0" w:type="auto"/>
            <w:shd w:val="clear" w:color="auto" w:fill="auto"/>
          </w:tcPr>
          <w:p w:rsidR="003E14E0" w:rsidRPr="00FB5CEA" w:rsidRDefault="003E14E0" w:rsidP="009C6DF2">
            <w:pPr>
              <w:jc w:val="right"/>
              <w:rPr>
                <w:sz w:val="18"/>
                <w:szCs w:val="20"/>
                <w:lang w:eastAsia="en-AU"/>
              </w:rPr>
            </w:pPr>
            <w:r w:rsidRPr="00FB5CEA">
              <w:rPr>
                <w:sz w:val="18"/>
                <w:szCs w:val="20"/>
                <w:lang w:eastAsia="en-AU"/>
              </w:rPr>
              <w:t xml:space="preserve">&gt;1.7 </w:t>
            </w:r>
            <w:r w:rsidRPr="00FB5CEA">
              <w:rPr>
                <w:sz w:val="18"/>
                <w:szCs w:val="20"/>
              </w:rPr>
              <w:t>µg ac/bee</w:t>
            </w:r>
          </w:p>
        </w:tc>
      </w:tr>
      <w:tr w:rsidR="003E14E0" w:rsidRPr="00FB5CEA" w:rsidTr="009C6DF2">
        <w:trPr>
          <w:cantSplit/>
        </w:trPr>
        <w:tc>
          <w:tcPr>
            <w:tcW w:w="0" w:type="auto"/>
            <w:tcBorders>
              <w:top w:val="nil"/>
            </w:tcBorders>
            <w:shd w:val="clear" w:color="auto" w:fill="auto"/>
          </w:tcPr>
          <w:p w:rsidR="003E14E0" w:rsidRPr="00FB5CEA" w:rsidRDefault="003E14E0" w:rsidP="009C6DF2">
            <w:pPr>
              <w:rPr>
                <w:sz w:val="18"/>
                <w:szCs w:val="20"/>
                <w:lang w:eastAsia="en-AU"/>
              </w:rPr>
            </w:pPr>
          </w:p>
        </w:tc>
        <w:tc>
          <w:tcPr>
            <w:tcW w:w="0" w:type="auto"/>
            <w:tcBorders>
              <w:top w:val="nil"/>
            </w:tcBorders>
            <w:shd w:val="clear" w:color="auto" w:fill="auto"/>
          </w:tcPr>
          <w:p w:rsidR="003E14E0" w:rsidRPr="00FB5CEA" w:rsidRDefault="003E14E0" w:rsidP="009C6DF2">
            <w:pPr>
              <w:rPr>
                <w:i/>
                <w:sz w:val="18"/>
                <w:szCs w:val="20"/>
              </w:rPr>
            </w:pPr>
          </w:p>
        </w:tc>
        <w:tc>
          <w:tcPr>
            <w:tcW w:w="0" w:type="auto"/>
            <w:shd w:val="clear" w:color="auto" w:fill="auto"/>
          </w:tcPr>
          <w:p w:rsidR="003E14E0" w:rsidRPr="00FB5CEA" w:rsidRDefault="003E14E0" w:rsidP="009C6DF2">
            <w:pPr>
              <w:rPr>
                <w:sz w:val="18"/>
                <w:szCs w:val="20"/>
                <w:lang w:eastAsia="en-AU"/>
              </w:rPr>
            </w:pPr>
            <w:r w:rsidRPr="00FB5CEA">
              <w:rPr>
                <w:sz w:val="18"/>
                <w:szCs w:val="20"/>
                <w:lang w:eastAsia="en-AU"/>
              </w:rPr>
              <w:t>Acute contact</w:t>
            </w:r>
          </w:p>
        </w:tc>
        <w:tc>
          <w:tcPr>
            <w:tcW w:w="0" w:type="auto"/>
            <w:shd w:val="clear" w:color="auto" w:fill="auto"/>
          </w:tcPr>
          <w:p w:rsidR="003E14E0" w:rsidRPr="00FB5CEA" w:rsidRDefault="003E14E0" w:rsidP="009C6DF2">
            <w:pPr>
              <w:jc w:val="right"/>
              <w:rPr>
                <w:sz w:val="18"/>
                <w:szCs w:val="20"/>
              </w:rPr>
            </w:pPr>
            <w:r w:rsidRPr="00FB5CEA">
              <w:rPr>
                <w:sz w:val="18"/>
                <w:szCs w:val="20"/>
                <w:lang w:eastAsia="en-AU"/>
              </w:rPr>
              <w:t>LD50 &gt;98</w:t>
            </w:r>
            <w:r w:rsidRPr="00FB5CEA">
              <w:rPr>
                <w:sz w:val="18"/>
                <w:szCs w:val="20"/>
              </w:rPr>
              <w:t xml:space="preserve"> µg ac/bee</w:t>
            </w:r>
          </w:p>
        </w:tc>
        <w:tc>
          <w:tcPr>
            <w:tcW w:w="0" w:type="auto"/>
          </w:tcPr>
          <w:p w:rsidR="003E14E0" w:rsidRPr="00FB5CEA" w:rsidRDefault="003E14E0" w:rsidP="000178C7">
            <w:pPr>
              <w:jc w:val="center"/>
              <w:rPr>
                <w:sz w:val="18"/>
                <w:szCs w:val="20"/>
                <w:lang w:eastAsia="en-AU"/>
              </w:rPr>
            </w:pPr>
            <w:r w:rsidRPr="00FB5CEA">
              <w:rPr>
                <w:sz w:val="18"/>
                <w:szCs w:val="20"/>
                <w:lang w:eastAsia="en-AU"/>
              </w:rPr>
              <w:t>2.5</w:t>
            </w:r>
          </w:p>
        </w:tc>
        <w:tc>
          <w:tcPr>
            <w:tcW w:w="0" w:type="auto"/>
            <w:shd w:val="clear" w:color="auto" w:fill="auto"/>
          </w:tcPr>
          <w:p w:rsidR="003E14E0" w:rsidRPr="00FB5CEA" w:rsidRDefault="003E14E0" w:rsidP="009C6DF2">
            <w:pPr>
              <w:jc w:val="right"/>
              <w:rPr>
                <w:sz w:val="18"/>
                <w:szCs w:val="20"/>
                <w:lang w:eastAsia="en-AU"/>
              </w:rPr>
            </w:pPr>
            <w:r w:rsidRPr="00FB5CEA">
              <w:rPr>
                <w:sz w:val="18"/>
                <w:szCs w:val="20"/>
                <w:lang w:eastAsia="en-AU"/>
              </w:rPr>
              <w:t>&gt;39</w:t>
            </w:r>
            <w:r w:rsidRPr="00FB5CEA">
              <w:rPr>
                <w:sz w:val="18"/>
                <w:szCs w:val="20"/>
              </w:rPr>
              <w:t xml:space="preserve"> µg ac/bee</w:t>
            </w:r>
            <w:r w:rsidRPr="00FB5CEA">
              <w:rPr>
                <w:sz w:val="18"/>
                <w:szCs w:val="20"/>
                <w:lang w:eastAsia="en-AU"/>
              </w:rPr>
              <w:t xml:space="preserve"> </w:t>
            </w:r>
          </w:p>
        </w:tc>
      </w:tr>
      <w:tr w:rsidR="003E14E0" w:rsidRPr="00FB5CEA" w:rsidTr="009C6DF2">
        <w:trPr>
          <w:cantSplit/>
        </w:trPr>
        <w:tc>
          <w:tcPr>
            <w:tcW w:w="0" w:type="auto"/>
            <w:shd w:val="clear" w:color="auto" w:fill="auto"/>
          </w:tcPr>
          <w:p w:rsidR="003E14E0" w:rsidRPr="00FB5CEA" w:rsidRDefault="003E14E0" w:rsidP="009C6DF2">
            <w:pPr>
              <w:rPr>
                <w:sz w:val="18"/>
                <w:szCs w:val="20"/>
                <w:lang w:eastAsia="en-AU"/>
              </w:rPr>
            </w:pPr>
            <w:r w:rsidRPr="00FB5CEA">
              <w:rPr>
                <w:sz w:val="18"/>
                <w:szCs w:val="20"/>
                <w:lang w:eastAsia="en-AU"/>
              </w:rPr>
              <w:t>Predatory</w:t>
            </w:r>
          </w:p>
          <w:p w:rsidR="003E14E0" w:rsidRPr="00FB5CEA" w:rsidRDefault="003E14E0" w:rsidP="009C6DF2">
            <w:pPr>
              <w:rPr>
                <w:sz w:val="18"/>
                <w:szCs w:val="20"/>
                <w:lang w:eastAsia="en-AU"/>
              </w:rPr>
            </w:pPr>
            <w:r w:rsidRPr="00FB5CEA">
              <w:rPr>
                <w:sz w:val="18"/>
                <w:szCs w:val="20"/>
                <w:lang w:eastAsia="en-AU"/>
              </w:rPr>
              <w:t>arthropods</w:t>
            </w:r>
          </w:p>
        </w:tc>
        <w:tc>
          <w:tcPr>
            <w:tcW w:w="0" w:type="auto"/>
            <w:shd w:val="clear" w:color="auto" w:fill="auto"/>
          </w:tcPr>
          <w:p w:rsidR="003E14E0" w:rsidRPr="00FB5CEA" w:rsidRDefault="003E14E0" w:rsidP="009C6DF2">
            <w:pPr>
              <w:rPr>
                <w:i/>
                <w:sz w:val="18"/>
                <w:szCs w:val="20"/>
              </w:rPr>
            </w:pPr>
            <w:r w:rsidRPr="00FB5CEA">
              <w:rPr>
                <w:i/>
                <w:sz w:val="18"/>
                <w:szCs w:val="20"/>
              </w:rPr>
              <w:t>Typhlodromus pyri</w:t>
            </w:r>
          </w:p>
        </w:tc>
        <w:tc>
          <w:tcPr>
            <w:tcW w:w="0" w:type="auto"/>
            <w:shd w:val="clear" w:color="auto" w:fill="auto"/>
          </w:tcPr>
          <w:p w:rsidR="003E14E0" w:rsidRPr="00FB5CEA" w:rsidRDefault="003E14E0" w:rsidP="009C6DF2">
            <w:pPr>
              <w:rPr>
                <w:sz w:val="18"/>
                <w:szCs w:val="20"/>
                <w:lang w:eastAsia="en-AU"/>
              </w:rPr>
            </w:pPr>
            <w:r w:rsidRPr="00FB5CEA">
              <w:rPr>
                <w:sz w:val="18"/>
                <w:szCs w:val="20"/>
                <w:lang w:eastAsia="en-AU"/>
              </w:rPr>
              <w:t xml:space="preserve">Lab </w:t>
            </w:r>
          </w:p>
          <w:p w:rsidR="003E14E0" w:rsidRPr="00FB5CEA" w:rsidDel="00851791" w:rsidRDefault="003E14E0" w:rsidP="009C6DF2">
            <w:pPr>
              <w:rPr>
                <w:sz w:val="18"/>
                <w:szCs w:val="20"/>
                <w:lang w:eastAsia="en-AU"/>
              </w:rPr>
            </w:pPr>
            <w:r w:rsidRPr="00FB5CEA">
              <w:rPr>
                <w:sz w:val="18"/>
                <w:szCs w:val="20"/>
                <w:lang w:eastAsia="en-AU"/>
              </w:rPr>
              <w:t>(glass plate)</w:t>
            </w:r>
          </w:p>
        </w:tc>
        <w:tc>
          <w:tcPr>
            <w:tcW w:w="0" w:type="auto"/>
            <w:shd w:val="clear" w:color="auto" w:fill="auto"/>
          </w:tcPr>
          <w:p w:rsidR="003E14E0" w:rsidRPr="00FB5CEA" w:rsidRDefault="003E14E0" w:rsidP="009C6DF2">
            <w:pPr>
              <w:jc w:val="right"/>
              <w:rPr>
                <w:sz w:val="18"/>
                <w:szCs w:val="20"/>
              </w:rPr>
            </w:pPr>
            <w:r w:rsidRPr="00FB5CEA">
              <w:rPr>
                <w:sz w:val="18"/>
                <w:szCs w:val="20"/>
              </w:rPr>
              <w:t>LR50 &gt;160 g ac/ha</w:t>
            </w:r>
          </w:p>
        </w:tc>
        <w:tc>
          <w:tcPr>
            <w:tcW w:w="0" w:type="auto"/>
          </w:tcPr>
          <w:p w:rsidR="003E14E0" w:rsidRPr="00FB5CEA" w:rsidRDefault="003E14E0" w:rsidP="000178C7">
            <w:pPr>
              <w:jc w:val="center"/>
              <w:rPr>
                <w:sz w:val="18"/>
                <w:szCs w:val="20"/>
                <w:lang w:eastAsia="en-AU"/>
              </w:rPr>
            </w:pPr>
            <w:r w:rsidRPr="00FB5CEA">
              <w:rPr>
                <w:sz w:val="18"/>
                <w:szCs w:val="20"/>
                <w:lang w:eastAsia="en-AU"/>
              </w:rPr>
              <w:t>0.5</w:t>
            </w:r>
          </w:p>
        </w:tc>
        <w:tc>
          <w:tcPr>
            <w:tcW w:w="0" w:type="auto"/>
            <w:shd w:val="clear" w:color="auto" w:fill="auto"/>
          </w:tcPr>
          <w:p w:rsidR="003E14E0" w:rsidRPr="00FB5CEA" w:rsidRDefault="003E14E0" w:rsidP="009C6DF2">
            <w:pPr>
              <w:jc w:val="right"/>
              <w:rPr>
                <w:sz w:val="18"/>
                <w:szCs w:val="20"/>
                <w:lang w:eastAsia="en-AU"/>
              </w:rPr>
            </w:pPr>
            <w:r w:rsidRPr="00FB5CEA">
              <w:rPr>
                <w:sz w:val="18"/>
                <w:szCs w:val="20"/>
                <w:lang w:eastAsia="en-AU"/>
              </w:rPr>
              <w:t>&gt;320 g ac/ha</w:t>
            </w:r>
          </w:p>
        </w:tc>
      </w:tr>
      <w:tr w:rsidR="003E14E0" w:rsidRPr="00FB5CEA" w:rsidTr="009C6DF2">
        <w:trPr>
          <w:cantSplit/>
        </w:trPr>
        <w:tc>
          <w:tcPr>
            <w:tcW w:w="0" w:type="auto"/>
            <w:vMerge w:val="restart"/>
            <w:shd w:val="clear" w:color="auto" w:fill="auto"/>
          </w:tcPr>
          <w:p w:rsidR="003E14E0" w:rsidRPr="00FB5CEA" w:rsidRDefault="003E14E0" w:rsidP="009C6DF2">
            <w:pPr>
              <w:rPr>
                <w:sz w:val="18"/>
                <w:szCs w:val="20"/>
                <w:lang w:eastAsia="en-AU"/>
              </w:rPr>
            </w:pPr>
            <w:r w:rsidRPr="00FB5CEA">
              <w:rPr>
                <w:sz w:val="18"/>
                <w:szCs w:val="20"/>
                <w:lang w:eastAsia="en-AU"/>
              </w:rPr>
              <w:t>Parasitic</w:t>
            </w:r>
          </w:p>
          <w:p w:rsidR="003E14E0" w:rsidRPr="00FB5CEA" w:rsidRDefault="003E14E0" w:rsidP="009C6DF2">
            <w:pPr>
              <w:rPr>
                <w:sz w:val="18"/>
                <w:szCs w:val="20"/>
                <w:lang w:eastAsia="en-AU"/>
              </w:rPr>
            </w:pPr>
            <w:r w:rsidRPr="00FB5CEA">
              <w:rPr>
                <w:sz w:val="18"/>
                <w:szCs w:val="20"/>
                <w:lang w:eastAsia="en-AU"/>
              </w:rPr>
              <w:t>arthropods</w:t>
            </w:r>
          </w:p>
        </w:tc>
        <w:tc>
          <w:tcPr>
            <w:tcW w:w="0" w:type="auto"/>
            <w:shd w:val="clear" w:color="auto" w:fill="auto"/>
          </w:tcPr>
          <w:p w:rsidR="003E14E0" w:rsidRPr="00FB5CEA" w:rsidRDefault="003E14E0" w:rsidP="009C6DF2">
            <w:pPr>
              <w:rPr>
                <w:i/>
                <w:sz w:val="18"/>
                <w:szCs w:val="20"/>
              </w:rPr>
            </w:pPr>
            <w:r w:rsidRPr="00FB5CEA">
              <w:rPr>
                <w:i/>
                <w:sz w:val="18"/>
                <w:szCs w:val="20"/>
              </w:rPr>
              <w:t xml:space="preserve">Aphidius </w:t>
            </w:r>
          </w:p>
          <w:p w:rsidR="003E14E0" w:rsidRPr="00FB5CEA" w:rsidRDefault="003E14E0" w:rsidP="009C6DF2">
            <w:pPr>
              <w:rPr>
                <w:i/>
                <w:sz w:val="18"/>
                <w:szCs w:val="20"/>
                <w:lang w:eastAsia="en-AU"/>
              </w:rPr>
            </w:pPr>
            <w:r w:rsidRPr="00FB5CEA">
              <w:rPr>
                <w:i/>
                <w:sz w:val="18"/>
                <w:szCs w:val="20"/>
              </w:rPr>
              <w:t>rhopalosiphi</w:t>
            </w:r>
          </w:p>
        </w:tc>
        <w:tc>
          <w:tcPr>
            <w:tcW w:w="0" w:type="auto"/>
            <w:shd w:val="clear" w:color="auto" w:fill="auto"/>
          </w:tcPr>
          <w:p w:rsidR="003E14E0" w:rsidRPr="00FB5CEA" w:rsidRDefault="003E14E0" w:rsidP="009C6DF2">
            <w:pPr>
              <w:rPr>
                <w:sz w:val="18"/>
                <w:szCs w:val="20"/>
                <w:lang w:eastAsia="en-AU"/>
              </w:rPr>
            </w:pPr>
            <w:r w:rsidRPr="00FB5CEA">
              <w:rPr>
                <w:sz w:val="18"/>
                <w:szCs w:val="20"/>
                <w:lang w:eastAsia="en-AU"/>
              </w:rPr>
              <w:t>Lab</w:t>
            </w:r>
          </w:p>
          <w:p w:rsidR="003E14E0" w:rsidRPr="00FB5CEA" w:rsidRDefault="003E14E0" w:rsidP="009C6DF2">
            <w:pPr>
              <w:rPr>
                <w:sz w:val="18"/>
                <w:szCs w:val="20"/>
                <w:lang w:eastAsia="en-AU"/>
              </w:rPr>
            </w:pPr>
            <w:r w:rsidRPr="00FB5CEA">
              <w:rPr>
                <w:sz w:val="18"/>
                <w:szCs w:val="20"/>
                <w:lang w:eastAsia="en-AU"/>
              </w:rPr>
              <w:t>(glass plate)</w:t>
            </w:r>
          </w:p>
        </w:tc>
        <w:tc>
          <w:tcPr>
            <w:tcW w:w="0" w:type="auto"/>
            <w:shd w:val="clear" w:color="auto" w:fill="auto"/>
          </w:tcPr>
          <w:p w:rsidR="003E14E0" w:rsidRPr="00FB5CEA" w:rsidRDefault="003E14E0" w:rsidP="009C6DF2">
            <w:pPr>
              <w:jc w:val="right"/>
              <w:rPr>
                <w:sz w:val="18"/>
                <w:szCs w:val="20"/>
                <w:lang w:eastAsia="en-AU"/>
              </w:rPr>
            </w:pPr>
            <w:r w:rsidRPr="00FB5CEA">
              <w:rPr>
                <w:sz w:val="18"/>
                <w:szCs w:val="20"/>
              </w:rPr>
              <w:t>LR50 12 g ac/ha</w:t>
            </w:r>
          </w:p>
        </w:tc>
        <w:tc>
          <w:tcPr>
            <w:tcW w:w="0" w:type="auto"/>
          </w:tcPr>
          <w:p w:rsidR="003E14E0" w:rsidRPr="00FB5CEA" w:rsidRDefault="003E14E0" w:rsidP="000178C7">
            <w:pPr>
              <w:jc w:val="center"/>
              <w:rPr>
                <w:sz w:val="18"/>
                <w:szCs w:val="20"/>
                <w:lang w:eastAsia="en-AU"/>
              </w:rPr>
            </w:pPr>
            <w:r w:rsidRPr="00FB5CEA">
              <w:rPr>
                <w:sz w:val="18"/>
                <w:szCs w:val="20"/>
                <w:lang w:eastAsia="en-AU"/>
              </w:rPr>
              <w:t>0.5</w:t>
            </w:r>
          </w:p>
        </w:tc>
        <w:tc>
          <w:tcPr>
            <w:tcW w:w="0" w:type="auto"/>
            <w:shd w:val="clear" w:color="auto" w:fill="auto"/>
          </w:tcPr>
          <w:p w:rsidR="003E14E0" w:rsidRPr="00FB5CEA" w:rsidRDefault="003E14E0" w:rsidP="009C6DF2">
            <w:pPr>
              <w:jc w:val="right"/>
              <w:rPr>
                <w:sz w:val="18"/>
                <w:szCs w:val="20"/>
                <w:lang w:eastAsia="en-AU"/>
              </w:rPr>
            </w:pPr>
            <w:r w:rsidRPr="00FB5CEA">
              <w:rPr>
                <w:sz w:val="18"/>
                <w:szCs w:val="20"/>
                <w:lang w:eastAsia="en-AU"/>
              </w:rPr>
              <w:t>24 g ac/ha</w:t>
            </w:r>
          </w:p>
        </w:tc>
      </w:tr>
      <w:tr w:rsidR="003E14E0" w:rsidRPr="00FB5CEA" w:rsidTr="009C6DF2">
        <w:trPr>
          <w:cantSplit/>
        </w:trPr>
        <w:tc>
          <w:tcPr>
            <w:tcW w:w="0" w:type="auto"/>
            <w:vMerge/>
            <w:shd w:val="clear" w:color="auto" w:fill="auto"/>
          </w:tcPr>
          <w:p w:rsidR="003E14E0" w:rsidRPr="00FB5CEA" w:rsidRDefault="003E14E0" w:rsidP="009C6DF2">
            <w:pPr>
              <w:rPr>
                <w:sz w:val="18"/>
                <w:szCs w:val="20"/>
                <w:lang w:eastAsia="en-AU"/>
              </w:rPr>
            </w:pPr>
          </w:p>
        </w:tc>
        <w:tc>
          <w:tcPr>
            <w:tcW w:w="0" w:type="auto"/>
            <w:shd w:val="clear" w:color="auto" w:fill="auto"/>
          </w:tcPr>
          <w:p w:rsidR="003E14E0" w:rsidRPr="00FB5CEA" w:rsidRDefault="003E14E0" w:rsidP="009C6DF2">
            <w:pPr>
              <w:rPr>
                <w:i/>
                <w:sz w:val="18"/>
                <w:szCs w:val="20"/>
              </w:rPr>
            </w:pPr>
            <w:r w:rsidRPr="00FB5CEA">
              <w:rPr>
                <w:i/>
                <w:sz w:val="18"/>
                <w:szCs w:val="20"/>
              </w:rPr>
              <w:t>Aleochara bilineata</w:t>
            </w:r>
          </w:p>
        </w:tc>
        <w:tc>
          <w:tcPr>
            <w:tcW w:w="0" w:type="auto"/>
            <w:shd w:val="clear" w:color="auto" w:fill="auto"/>
          </w:tcPr>
          <w:p w:rsidR="003E14E0" w:rsidRPr="00FB5CEA" w:rsidRDefault="003E14E0" w:rsidP="009C6DF2">
            <w:pPr>
              <w:rPr>
                <w:sz w:val="18"/>
                <w:szCs w:val="20"/>
                <w:lang w:eastAsia="en-AU"/>
              </w:rPr>
            </w:pPr>
            <w:r w:rsidRPr="00FB5CEA">
              <w:rPr>
                <w:sz w:val="18"/>
                <w:szCs w:val="20"/>
                <w:lang w:eastAsia="en-AU"/>
              </w:rPr>
              <w:t xml:space="preserve">Extended lab </w:t>
            </w:r>
          </w:p>
          <w:p w:rsidR="003E14E0" w:rsidRPr="00FB5CEA" w:rsidRDefault="003E14E0" w:rsidP="009C6DF2">
            <w:pPr>
              <w:rPr>
                <w:sz w:val="18"/>
                <w:szCs w:val="20"/>
                <w:lang w:eastAsia="en-AU"/>
              </w:rPr>
            </w:pPr>
            <w:r w:rsidRPr="00FB5CEA">
              <w:rPr>
                <w:sz w:val="18"/>
                <w:szCs w:val="20"/>
                <w:lang w:eastAsia="en-AU"/>
              </w:rPr>
              <w:t>(soil)</w:t>
            </w:r>
          </w:p>
        </w:tc>
        <w:tc>
          <w:tcPr>
            <w:tcW w:w="0" w:type="auto"/>
            <w:shd w:val="clear" w:color="auto" w:fill="auto"/>
          </w:tcPr>
          <w:p w:rsidR="003E14E0" w:rsidRPr="00FB5CEA" w:rsidRDefault="003E14E0" w:rsidP="009C6DF2">
            <w:pPr>
              <w:jc w:val="right"/>
              <w:rPr>
                <w:sz w:val="18"/>
                <w:szCs w:val="20"/>
                <w:lang w:eastAsia="en-AU"/>
              </w:rPr>
            </w:pPr>
            <w:r w:rsidRPr="00FB5CEA">
              <w:rPr>
                <w:sz w:val="18"/>
                <w:szCs w:val="20"/>
                <w:lang w:eastAsia="en-AU"/>
              </w:rPr>
              <w:t>ER50 &gt;113 g ac/ha</w:t>
            </w:r>
          </w:p>
          <w:p w:rsidR="003E14E0" w:rsidRPr="00FB5CEA" w:rsidRDefault="003E14E0" w:rsidP="009C6DF2">
            <w:pPr>
              <w:jc w:val="right"/>
              <w:rPr>
                <w:sz w:val="18"/>
                <w:szCs w:val="20"/>
              </w:rPr>
            </w:pPr>
            <w:r w:rsidRPr="00FB5CEA">
              <w:rPr>
                <w:sz w:val="18"/>
                <w:szCs w:val="20"/>
                <w:lang w:eastAsia="en-AU"/>
              </w:rPr>
              <w:t>(&gt;150 mg ac/kg dry soil)</w:t>
            </w:r>
          </w:p>
        </w:tc>
        <w:tc>
          <w:tcPr>
            <w:tcW w:w="0" w:type="auto"/>
          </w:tcPr>
          <w:p w:rsidR="003E14E0" w:rsidRPr="00FB5CEA" w:rsidRDefault="003E14E0" w:rsidP="000178C7">
            <w:pPr>
              <w:jc w:val="center"/>
              <w:rPr>
                <w:sz w:val="18"/>
                <w:szCs w:val="20"/>
                <w:lang w:eastAsia="en-AU"/>
              </w:rPr>
            </w:pPr>
            <w:r w:rsidRPr="00FB5CEA">
              <w:rPr>
                <w:sz w:val="18"/>
                <w:szCs w:val="20"/>
                <w:lang w:eastAsia="en-AU"/>
              </w:rPr>
              <w:t>1</w:t>
            </w:r>
          </w:p>
        </w:tc>
        <w:tc>
          <w:tcPr>
            <w:tcW w:w="0" w:type="auto"/>
            <w:shd w:val="clear" w:color="auto" w:fill="auto"/>
          </w:tcPr>
          <w:p w:rsidR="003E14E0" w:rsidRPr="00FB5CEA" w:rsidRDefault="003E14E0" w:rsidP="009C6DF2">
            <w:pPr>
              <w:jc w:val="right"/>
              <w:rPr>
                <w:sz w:val="18"/>
                <w:szCs w:val="20"/>
                <w:lang w:eastAsia="en-AU"/>
              </w:rPr>
            </w:pPr>
            <w:r w:rsidRPr="00FB5CEA">
              <w:rPr>
                <w:sz w:val="18"/>
                <w:szCs w:val="20"/>
                <w:lang w:eastAsia="en-AU"/>
              </w:rPr>
              <w:t>&gt;113 g ac/ha</w:t>
            </w:r>
          </w:p>
          <w:p w:rsidR="003E14E0" w:rsidRPr="00FB5CEA" w:rsidRDefault="003E14E0" w:rsidP="009C6DF2">
            <w:pPr>
              <w:jc w:val="right"/>
              <w:rPr>
                <w:sz w:val="18"/>
                <w:szCs w:val="20"/>
                <w:lang w:eastAsia="en-AU"/>
              </w:rPr>
            </w:pPr>
            <w:r w:rsidRPr="00FB5CEA">
              <w:rPr>
                <w:sz w:val="18"/>
                <w:szCs w:val="20"/>
                <w:lang w:eastAsia="en-AU"/>
              </w:rPr>
              <w:t xml:space="preserve">(&gt;150 mg ac/kg dry soil) </w:t>
            </w:r>
          </w:p>
        </w:tc>
      </w:tr>
      <w:tr w:rsidR="003E14E0" w:rsidRPr="00FB5CEA" w:rsidTr="009C6DF2">
        <w:trPr>
          <w:cantSplit/>
        </w:trPr>
        <w:tc>
          <w:tcPr>
            <w:tcW w:w="0" w:type="auto"/>
            <w:vMerge w:val="restart"/>
            <w:shd w:val="clear" w:color="auto" w:fill="auto"/>
          </w:tcPr>
          <w:p w:rsidR="003E14E0" w:rsidRPr="00FB5CEA" w:rsidRDefault="003E14E0" w:rsidP="009C6DF2">
            <w:pPr>
              <w:rPr>
                <w:sz w:val="18"/>
                <w:szCs w:val="20"/>
                <w:lang w:eastAsia="en-AU"/>
              </w:rPr>
            </w:pPr>
            <w:r w:rsidRPr="00FB5CEA">
              <w:rPr>
                <w:sz w:val="18"/>
                <w:szCs w:val="20"/>
                <w:lang w:eastAsia="en-AU"/>
              </w:rPr>
              <w:t>Earthworms</w:t>
            </w:r>
          </w:p>
        </w:tc>
        <w:tc>
          <w:tcPr>
            <w:tcW w:w="0" w:type="auto"/>
            <w:vMerge w:val="restart"/>
            <w:shd w:val="clear" w:color="auto" w:fill="auto"/>
          </w:tcPr>
          <w:p w:rsidR="003E14E0" w:rsidRPr="00FB5CEA" w:rsidRDefault="003E14E0" w:rsidP="009C6DF2">
            <w:pPr>
              <w:rPr>
                <w:i/>
                <w:sz w:val="18"/>
                <w:szCs w:val="20"/>
                <w:lang w:eastAsia="en-AU"/>
              </w:rPr>
            </w:pPr>
            <w:r w:rsidRPr="00FB5CEA">
              <w:rPr>
                <w:i/>
                <w:sz w:val="18"/>
                <w:szCs w:val="20"/>
              </w:rPr>
              <w:t>Eisenia fetida</w:t>
            </w:r>
          </w:p>
        </w:tc>
        <w:tc>
          <w:tcPr>
            <w:tcW w:w="0" w:type="auto"/>
            <w:shd w:val="clear" w:color="auto" w:fill="auto"/>
          </w:tcPr>
          <w:p w:rsidR="003E14E0" w:rsidRPr="00FB5CEA" w:rsidRDefault="003E14E0" w:rsidP="009C6DF2">
            <w:pPr>
              <w:rPr>
                <w:sz w:val="18"/>
                <w:szCs w:val="20"/>
                <w:lang w:eastAsia="en-AU"/>
              </w:rPr>
            </w:pPr>
            <w:r w:rsidRPr="00FB5CEA">
              <w:rPr>
                <w:sz w:val="18"/>
                <w:szCs w:val="20"/>
                <w:lang w:eastAsia="en-AU"/>
              </w:rPr>
              <w:t>Acute</w:t>
            </w:r>
            <w:r w:rsidRPr="00FB5CEA">
              <w:rPr>
                <w:sz w:val="18"/>
                <w:szCs w:val="20"/>
              </w:rPr>
              <w:t xml:space="preserve"> </w:t>
            </w:r>
          </w:p>
        </w:tc>
        <w:tc>
          <w:tcPr>
            <w:tcW w:w="0" w:type="auto"/>
            <w:shd w:val="clear" w:color="auto" w:fill="auto"/>
          </w:tcPr>
          <w:p w:rsidR="003E14E0" w:rsidRPr="00FB5CEA" w:rsidRDefault="003E14E0" w:rsidP="009C6DF2">
            <w:pPr>
              <w:jc w:val="right"/>
              <w:rPr>
                <w:sz w:val="18"/>
                <w:szCs w:val="20"/>
                <w:lang w:eastAsia="en-AU"/>
              </w:rPr>
            </w:pPr>
            <w:r w:rsidRPr="00FB5CEA">
              <w:rPr>
                <w:sz w:val="18"/>
                <w:szCs w:val="20"/>
              </w:rPr>
              <w:t>LC50corr &gt;500 mg ac/kg dry soil</w:t>
            </w:r>
          </w:p>
        </w:tc>
        <w:tc>
          <w:tcPr>
            <w:tcW w:w="0" w:type="auto"/>
          </w:tcPr>
          <w:p w:rsidR="003E14E0" w:rsidRPr="00FB5CEA" w:rsidRDefault="003E14E0" w:rsidP="000178C7">
            <w:pPr>
              <w:jc w:val="center"/>
              <w:rPr>
                <w:sz w:val="18"/>
                <w:szCs w:val="20"/>
                <w:lang w:eastAsia="en-AU"/>
              </w:rPr>
            </w:pPr>
            <w:r w:rsidRPr="00FB5CEA">
              <w:rPr>
                <w:sz w:val="18"/>
                <w:szCs w:val="20"/>
                <w:lang w:eastAsia="en-AU"/>
              </w:rPr>
              <w:t>10</w:t>
            </w:r>
          </w:p>
        </w:tc>
        <w:tc>
          <w:tcPr>
            <w:tcW w:w="0" w:type="auto"/>
            <w:shd w:val="clear" w:color="auto" w:fill="auto"/>
          </w:tcPr>
          <w:p w:rsidR="003E14E0" w:rsidRPr="00FB5CEA" w:rsidRDefault="003E14E0" w:rsidP="009C6DF2">
            <w:pPr>
              <w:jc w:val="right"/>
              <w:rPr>
                <w:sz w:val="18"/>
                <w:szCs w:val="20"/>
                <w:lang w:eastAsia="en-AU"/>
              </w:rPr>
            </w:pPr>
            <w:r w:rsidRPr="00FB5CEA">
              <w:rPr>
                <w:sz w:val="18"/>
                <w:szCs w:val="20"/>
                <w:lang w:eastAsia="en-AU"/>
              </w:rPr>
              <w:t>&gt;50 mg ac/kg dry soil</w:t>
            </w:r>
          </w:p>
        </w:tc>
      </w:tr>
      <w:tr w:rsidR="003E14E0" w:rsidRPr="00FB5CEA" w:rsidTr="009C6DF2">
        <w:trPr>
          <w:cantSplit/>
        </w:trPr>
        <w:tc>
          <w:tcPr>
            <w:tcW w:w="0" w:type="auto"/>
            <w:vMerge/>
            <w:shd w:val="clear" w:color="auto" w:fill="auto"/>
          </w:tcPr>
          <w:p w:rsidR="003E14E0" w:rsidRPr="00FB5CEA" w:rsidRDefault="003E14E0" w:rsidP="009C6DF2">
            <w:pPr>
              <w:rPr>
                <w:sz w:val="18"/>
                <w:szCs w:val="20"/>
                <w:lang w:eastAsia="en-AU"/>
              </w:rPr>
            </w:pPr>
          </w:p>
        </w:tc>
        <w:tc>
          <w:tcPr>
            <w:tcW w:w="0" w:type="auto"/>
            <w:vMerge/>
            <w:shd w:val="clear" w:color="auto" w:fill="auto"/>
          </w:tcPr>
          <w:p w:rsidR="003E14E0" w:rsidRPr="00FB5CEA" w:rsidRDefault="003E14E0" w:rsidP="009C6DF2">
            <w:pPr>
              <w:rPr>
                <w:i/>
                <w:sz w:val="18"/>
                <w:szCs w:val="20"/>
                <w:lang w:eastAsia="en-AU"/>
              </w:rPr>
            </w:pPr>
          </w:p>
        </w:tc>
        <w:tc>
          <w:tcPr>
            <w:tcW w:w="0" w:type="auto"/>
            <w:shd w:val="clear" w:color="auto" w:fill="auto"/>
          </w:tcPr>
          <w:p w:rsidR="003E14E0" w:rsidRPr="00FB5CEA" w:rsidRDefault="003E14E0" w:rsidP="009C6DF2">
            <w:pPr>
              <w:rPr>
                <w:sz w:val="18"/>
                <w:szCs w:val="20"/>
                <w:lang w:eastAsia="en-AU"/>
              </w:rPr>
            </w:pPr>
            <w:r w:rsidRPr="00FB5CEA">
              <w:rPr>
                <w:sz w:val="18"/>
                <w:szCs w:val="20"/>
                <w:lang w:eastAsia="en-AU"/>
              </w:rPr>
              <w:t>Chronic</w:t>
            </w:r>
            <w:r w:rsidRPr="00FB5CEA">
              <w:rPr>
                <w:bCs/>
                <w:sz w:val="18"/>
                <w:szCs w:val="20"/>
              </w:rPr>
              <w:t xml:space="preserve"> </w:t>
            </w:r>
          </w:p>
        </w:tc>
        <w:tc>
          <w:tcPr>
            <w:tcW w:w="0" w:type="auto"/>
            <w:shd w:val="clear" w:color="auto" w:fill="auto"/>
          </w:tcPr>
          <w:p w:rsidR="003E14E0" w:rsidRPr="00FB5CEA" w:rsidRDefault="003E14E0" w:rsidP="009C6DF2">
            <w:pPr>
              <w:jc w:val="right"/>
              <w:rPr>
                <w:sz w:val="18"/>
                <w:szCs w:val="20"/>
                <w:lang w:eastAsia="en-AU"/>
              </w:rPr>
            </w:pPr>
            <w:r w:rsidRPr="00FB5CEA">
              <w:rPr>
                <w:bCs/>
                <w:sz w:val="18"/>
                <w:szCs w:val="20"/>
              </w:rPr>
              <w:t>NOECcorr 2.0 mg ac/kg dry soil</w:t>
            </w:r>
          </w:p>
        </w:tc>
        <w:tc>
          <w:tcPr>
            <w:tcW w:w="0" w:type="auto"/>
          </w:tcPr>
          <w:p w:rsidR="003E14E0" w:rsidRPr="00FB5CEA" w:rsidRDefault="003E14E0" w:rsidP="000178C7">
            <w:pPr>
              <w:jc w:val="center"/>
              <w:rPr>
                <w:sz w:val="18"/>
                <w:szCs w:val="20"/>
                <w:lang w:eastAsia="en-AU"/>
              </w:rPr>
            </w:pPr>
            <w:r w:rsidRPr="00FB5CEA">
              <w:rPr>
                <w:sz w:val="18"/>
                <w:szCs w:val="20"/>
                <w:lang w:eastAsia="en-AU"/>
              </w:rPr>
              <w:t>1</w:t>
            </w:r>
          </w:p>
        </w:tc>
        <w:tc>
          <w:tcPr>
            <w:tcW w:w="0" w:type="auto"/>
            <w:shd w:val="clear" w:color="auto" w:fill="auto"/>
          </w:tcPr>
          <w:p w:rsidR="003E14E0" w:rsidRPr="00FB5CEA" w:rsidRDefault="003E14E0" w:rsidP="009C6DF2">
            <w:pPr>
              <w:jc w:val="right"/>
              <w:rPr>
                <w:sz w:val="18"/>
                <w:szCs w:val="20"/>
                <w:lang w:eastAsia="en-AU"/>
              </w:rPr>
            </w:pPr>
            <w:r w:rsidRPr="00FB5CEA">
              <w:rPr>
                <w:sz w:val="18"/>
                <w:szCs w:val="20"/>
                <w:lang w:eastAsia="en-AU"/>
              </w:rPr>
              <w:t>2.0 mg ac/kg dry soil</w:t>
            </w:r>
          </w:p>
        </w:tc>
      </w:tr>
      <w:tr w:rsidR="003E14E0" w:rsidRPr="00FB5CEA" w:rsidTr="009C6DF2">
        <w:trPr>
          <w:cantSplit/>
        </w:trPr>
        <w:tc>
          <w:tcPr>
            <w:tcW w:w="0" w:type="auto"/>
            <w:shd w:val="clear" w:color="auto" w:fill="auto"/>
          </w:tcPr>
          <w:p w:rsidR="003E14E0" w:rsidRPr="00FB5CEA" w:rsidRDefault="003E14E0" w:rsidP="009C6DF2">
            <w:pPr>
              <w:rPr>
                <w:sz w:val="18"/>
                <w:szCs w:val="20"/>
                <w:lang w:eastAsia="en-AU"/>
              </w:rPr>
            </w:pPr>
            <w:r w:rsidRPr="00FB5CEA">
              <w:rPr>
                <w:sz w:val="18"/>
                <w:szCs w:val="20"/>
                <w:lang w:eastAsia="en-AU"/>
              </w:rPr>
              <w:t>Soil micro-</w:t>
            </w:r>
          </w:p>
          <w:p w:rsidR="003E14E0" w:rsidRPr="00FB5CEA" w:rsidRDefault="003E14E0" w:rsidP="009C6DF2">
            <w:pPr>
              <w:rPr>
                <w:sz w:val="18"/>
                <w:szCs w:val="20"/>
                <w:lang w:eastAsia="en-AU"/>
              </w:rPr>
            </w:pPr>
            <w:r w:rsidRPr="00FB5CEA">
              <w:rPr>
                <w:sz w:val="18"/>
                <w:szCs w:val="20"/>
                <w:lang w:eastAsia="en-AU"/>
              </w:rPr>
              <w:t>organisms</w:t>
            </w:r>
          </w:p>
        </w:tc>
        <w:tc>
          <w:tcPr>
            <w:tcW w:w="0" w:type="auto"/>
            <w:shd w:val="clear" w:color="auto" w:fill="auto"/>
          </w:tcPr>
          <w:p w:rsidR="003E14E0" w:rsidRPr="00FB5CEA" w:rsidRDefault="003E14E0" w:rsidP="009C6DF2">
            <w:pPr>
              <w:rPr>
                <w:sz w:val="18"/>
                <w:szCs w:val="20"/>
                <w:lang w:eastAsia="en-AU"/>
              </w:rPr>
            </w:pPr>
            <w:r w:rsidRPr="00FB5CEA">
              <w:rPr>
                <w:sz w:val="18"/>
                <w:szCs w:val="20"/>
                <w:lang w:eastAsia="en-AU"/>
              </w:rPr>
              <w:t xml:space="preserve">N and C </w:t>
            </w:r>
          </w:p>
          <w:p w:rsidR="003E14E0" w:rsidRPr="00FB5CEA" w:rsidRDefault="003E14E0" w:rsidP="009C6DF2">
            <w:pPr>
              <w:rPr>
                <w:sz w:val="18"/>
                <w:szCs w:val="20"/>
                <w:lang w:eastAsia="en-AU"/>
              </w:rPr>
            </w:pPr>
            <w:r w:rsidRPr="00FB5CEA">
              <w:rPr>
                <w:sz w:val="18"/>
                <w:szCs w:val="20"/>
                <w:lang w:eastAsia="en-AU"/>
              </w:rPr>
              <w:t>mineralisation</w:t>
            </w:r>
          </w:p>
        </w:tc>
        <w:tc>
          <w:tcPr>
            <w:tcW w:w="0" w:type="auto"/>
            <w:shd w:val="clear" w:color="auto" w:fill="auto"/>
          </w:tcPr>
          <w:p w:rsidR="003E14E0" w:rsidRPr="00FB5CEA" w:rsidRDefault="003E14E0" w:rsidP="009C6DF2">
            <w:pPr>
              <w:rPr>
                <w:sz w:val="18"/>
                <w:szCs w:val="20"/>
                <w:lang w:eastAsia="en-AU"/>
              </w:rPr>
            </w:pPr>
            <w:r w:rsidRPr="00FB5CEA">
              <w:rPr>
                <w:sz w:val="18"/>
                <w:szCs w:val="20"/>
                <w:lang w:eastAsia="en-AU"/>
              </w:rPr>
              <w:t>Chronic</w:t>
            </w:r>
            <w:r w:rsidRPr="00FB5CEA">
              <w:rPr>
                <w:sz w:val="18"/>
                <w:szCs w:val="20"/>
              </w:rPr>
              <w:t xml:space="preserve"> </w:t>
            </w:r>
          </w:p>
        </w:tc>
        <w:tc>
          <w:tcPr>
            <w:tcW w:w="0" w:type="auto"/>
            <w:shd w:val="clear" w:color="auto" w:fill="auto"/>
          </w:tcPr>
          <w:p w:rsidR="003E14E0" w:rsidRPr="00FB5CEA" w:rsidRDefault="003E14E0" w:rsidP="009C6DF2">
            <w:pPr>
              <w:jc w:val="right"/>
              <w:rPr>
                <w:bCs/>
                <w:sz w:val="18"/>
                <w:szCs w:val="20"/>
              </w:rPr>
            </w:pPr>
            <w:r w:rsidRPr="00FB5CEA">
              <w:rPr>
                <w:sz w:val="18"/>
                <w:szCs w:val="20"/>
              </w:rPr>
              <w:t xml:space="preserve">NOEC 1.0 mg ac/kg dry soil </w:t>
            </w:r>
          </w:p>
        </w:tc>
        <w:tc>
          <w:tcPr>
            <w:tcW w:w="0" w:type="auto"/>
          </w:tcPr>
          <w:p w:rsidR="003E14E0" w:rsidRPr="00FB5CEA" w:rsidRDefault="003E14E0" w:rsidP="000178C7">
            <w:pPr>
              <w:jc w:val="center"/>
              <w:rPr>
                <w:sz w:val="18"/>
                <w:szCs w:val="20"/>
                <w:lang w:eastAsia="en-AU"/>
              </w:rPr>
            </w:pPr>
            <w:r w:rsidRPr="00FB5CEA">
              <w:rPr>
                <w:sz w:val="18"/>
                <w:szCs w:val="20"/>
                <w:lang w:eastAsia="en-AU"/>
              </w:rPr>
              <w:t>1</w:t>
            </w:r>
          </w:p>
        </w:tc>
        <w:tc>
          <w:tcPr>
            <w:tcW w:w="0" w:type="auto"/>
            <w:shd w:val="clear" w:color="auto" w:fill="auto"/>
          </w:tcPr>
          <w:p w:rsidR="003E14E0" w:rsidRPr="00FB5CEA" w:rsidRDefault="003E14E0" w:rsidP="009C6DF2">
            <w:pPr>
              <w:jc w:val="right"/>
              <w:rPr>
                <w:sz w:val="18"/>
                <w:szCs w:val="20"/>
                <w:lang w:eastAsia="en-AU"/>
              </w:rPr>
            </w:pPr>
            <w:r w:rsidRPr="00FB5CEA">
              <w:rPr>
                <w:sz w:val="18"/>
                <w:szCs w:val="20"/>
                <w:lang w:eastAsia="en-AU"/>
              </w:rPr>
              <w:t>1.0 mg ac/kg dry soil</w:t>
            </w:r>
          </w:p>
        </w:tc>
      </w:tr>
      <w:tr w:rsidR="003E14E0" w:rsidRPr="00FB5CEA" w:rsidTr="009C6DF2">
        <w:trPr>
          <w:cantSplit/>
        </w:trPr>
        <w:tc>
          <w:tcPr>
            <w:tcW w:w="0" w:type="auto"/>
            <w:shd w:val="clear" w:color="auto" w:fill="auto"/>
          </w:tcPr>
          <w:p w:rsidR="003E14E0" w:rsidRPr="00FB5CEA" w:rsidRDefault="003E14E0" w:rsidP="009C6DF2">
            <w:pPr>
              <w:rPr>
                <w:sz w:val="18"/>
                <w:szCs w:val="20"/>
                <w:lang w:eastAsia="en-AU"/>
              </w:rPr>
            </w:pPr>
            <w:r w:rsidRPr="00FB5CEA">
              <w:rPr>
                <w:sz w:val="18"/>
                <w:szCs w:val="20"/>
                <w:lang w:eastAsia="en-AU"/>
              </w:rPr>
              <w:t>Non-target</w:t>
            </w:r>
          </w:p>
          <w:p w:rsidR="003E14E0" w:rsidRPr="00FB5CEA" w:rsidRDefault="003E14E0" w:rsidP="009C6DF2">
            <w:pPr>
              <w:rPr>
                <w:sz w:val="18"/>
                <w:szCs w:val="20"/>
                <w:lang w:eastAsia="en-AU"/>
              </w:rPr>
            </w:pPr>
            <w:r w:rsidRPr="00FB5CEA">
              <w:rPr>
                <w:sz w:val="18"/>
                <w:szCs w:val="20"/>
                <w:lang w:eastAsia="en-AU"/>
              </w:rPr>
              <w:t>terrestrial plants</w:t>
            </w:r>
          </w:p>
        </w:tc>
        <w:tc>
          <w:tcPr>
            <w:tcW w:w="0" w:type="auto"/>
            <w:shd w:val="clear" w:color="auto" w:fill="auto"/>
          </w:tcPr>
          <w:p w:rsidR="003E14E0" w:rsidRPr="00FB5CEA" w:rsidRDefault="003E14E0" w:rsidP="009C6DF2">
            <w:pPr>
              <w:rPr>
                <w:sz w:val="18"/>
                <w:szCs w:val="20"/>
                <w:lang w:eastAsia="en-AU"/>
              </w:rPr>
            </w:pPr>
            <w:r w:rsidRPr="00FB5CEA">
              <w:rPr>
                <w:sz w:val="18"/>
                <w:szCs w:val="20"/>
              </w:rPr>
              <w:t>10 species tested</w:t>
            </w:r>
          </w:p>
        </w:tc>
        <w:tc>
          <w:tcPr>
            <w:tcW w:w="0" w:type="auto"/>
            <w:shd w:val="clear" w:color="auto" w:fill="auto"/>
          </w:tcPr>
          <w:p w:rsidR="003E14E0" w:rsidRPr="00FB5CEA" w:rsidRDefault="003E14E0" w:rsidP="009C6DF2">
            <w:pPr>
              <w:rPr>
                <w:sz w:val="18"/>
                <w:szCs w:val="20"/>
                <w:lang w:eastAsia="en-AU"/>
              </w:rPr>
            </w:pPr>
            <w:r w:rsidRPr="00FB5CEA">
              <w:rPr>
                <w:sz w:val="18"/>
                <w:szCs w:val="20"/>
              </w:rPr>
              <w:t xml:space="preserve">pre-emergent </w:t>
            </w:r>
          </w:p>
        </w:tc>
        <w:tc>
          <w:tcPr>
            <w:tcW w:w="0" w:type="auto"/>
            <w:shd w:val="clear" w:color="auto" w:fill="auto"/>
          </w:tcPr>
          <w:p w:rsidR="003E14E0" w:rsidRPr="00FB5CEA" w:rsidRDefault="003E14E0" w:rsidP="009C6DF2">
            <w:pPr>
              <w:jc w:val="right"/>
              <w:rPr>
                <w:sz w:val="18"/>
                <w:szCs w:val="20"/>
              </w:rPr>
            </w:pPr>
            <w:r w:rsidRPr="00FB5CEA">
              <w:rPr>
                <w:sz w:val="18"/>
                <w:szCs w:val="20"/>
              </w:rPr>
              <w:t>ER25 &gt;100 g ac/ha</w:t>
            </w:r>
          </w:p>
        </w:tc>
        <w:tc>
          <w:tcPr>
            <w:tcW w:w="0" w:type="auto"/>
          </w:tcPr>
          <w:p w:rsidR="003E14E0" w:rsidRPr="00FB5CEA" w:rsidRDefault="003E14E0" w:rsidP="000178C7">
            <w:pPr>
              <w:jc w:val="center"/>
              <w:rPr>
                <w:sz w:val="18"/>
                <w:szCs w:val="20"/>
                <w:lang w:eastAsia="en-AU"/>
              </w:rPr>
            </w:pPr>
            <w:r w:rsidRPr="00FB5CEA">
              <w:rPr>
                <w:sz w:val="18"/>
                <w:szCs w:val="20"/>
                <w:lang w:eastAsia="en-AU"/>
              </w:rPr>
              <w:t>2</w:t>
            </w:r>
          </w:p>
        </w:tc>
        <w:tc>
          <w:tcPr>
            <w:tcW w:w="0" w:type="auto"/>
            <w:shd w:val="clear" w:color="auto" w:fill="auto"/>
          </w:tcPr>
          <w:p w:rsidR="003E14E0" w:rsidRPr="00FB5CEA" w:rsidRDefault="003E14E0" w:rsidP="009C6DF2">
            <w:pPr>
              <w:jc w:val="right"/>
              <w:rPr>
                <w:sz w:val="18"/>
                <w:szCs w:val="20"/>
                <w:lang w:eastAsia="en-AU"/>
              </w:rPr>
            </w:pPr>
            <w:r w:rsidRPr="00FB5CEA">
              <w:rPr>
                <w:sz w:val="18"/>
                <w:szCs w:val="20"/>
                <w:lang w:eastAsia="en-AU"/>
              </w:rPr>
              <w:t>&gt;50 g ac/ha</w:t>
            </w:r>
          </w:p>
        </w:tc>
      </w:tr>
    </w:tbl>
    <w:p w:rsidR="003E14E0" w:rsidRPr="00FB5CEA" w:rsidRDefault="003E14E0" w:rsidP="003E14E0">
      <w:pPr>
        <w:rPr>
          <w:lang w:eastAsia="en-AU"/>
        </w:rPr>
      </w:pPr>
      <w:r w:rsidRPr="00FB5CEA">
        <w:rPr>
          <w:lang w:eastAsia="en-AU"/>
        </w:rPr>
        <w:t>RAL = regulatory acceptable level = endpoint/assessment factor</w:t>
      </w:r>
    </w:p>
    <w:p w:rsidR="003E14E0" w:rsidRPr="009F465F" w:rsidRDefault="003E14E0" w:rsidP="003E14E0">
      <w:pPr>
        <w:rPr>
          <w:highlight w:val="yellow"/>
        </w:rPr>
      </w:pPr>
    </w:p>
    <w:p w:rsidR="003E14E0" w:rsidRPr="00B76694" w:rsidRDefault="003E14E0" w:rsidP="003E14E0">
      <w:pPr>
        <w:pStyle w:val="Heading2"/>
      </w:pPr>
      <w:bookmarkStart w:id="46" w:name="_Toc504046799"/>
      <w:bookmarkStart w:id="47" w:name="_Toc516737107"/>
      <w:bookmarkStart w:id="48" w:name="_Toc516740339"/>
      <w:bookmarkStart w:id="49" w:name="_Toc526432186"/>
      <w:r w:rsidRPr="00B76694">
        <w:t>Terrestrial vertebrates</w:t>
      </w:r>
      <w:bookmarkEnd w:id="46"/>
      <w:bookmarkEnd w:id="47"/>
      <w:bookmarkEnd w:id="48"/>
      <w:bookmarkEnd w:id="49"/>
      <w:r w:rsidRPr="00B76694">
        <w:t xml:space="preserve"> </w:t>
      </w:r>
    </w:p>
    <w:p w:rsidR="00FA2705" w:rsidRPr="00B76694" w:rsidRDefault="00FA2705" w:rsidP="00FA2705">
      <w:pPr>
        <w:pStyle w:val="NormalText"/>
      </w:pPr>
      <w:r w:rsidRPr="00B76694">
        <w:t xml:space="preserve">Further information on the risk assessment for terrestrial vertebrates </w:t>
      </w:r>
      <w:r w:rsidR="004C688B">
        <w:t>is</w:t>
      </w:r>
      <w:r w:rsidRPr="00B76694">
        <w:t xml:space="preserve"> provided in Appendix A.</w:t>
      </w:r>
    </w:p>
    <w:p w:rsidR="003E14E0" w:rsidRPr="00B76694" w:rsidRDefault="00A8423E" w:rsidP="003E14E0">
      <w:pPr>
        <w:pStyle w:val="Heading3"/>
        <w:ind w:left="900" w:hanging="900"/>
      </w:pPr>
      <w:bookmarkStart w:id="50" w:name="_Toc516737108"/>
      <w:bookmarkStart w:id="51" w:name="_Toc516740340"/>
      <w:bookmarkStart w:id="52" w:name="_Toc526432187"/>
      <w:r>
        <w:t>Assessment a</w:t>
      </w:r>
      <w:r w:rsidR="003E14E0" w:rsidRPr="00B76694">
        <w:t>pproach</w:t>
      </w:r>
      <w:bookmarkEnd w:id="50"/>
      <w:bookmarkEnd w:id="51"/>
      <w:bookmarkEnd w:id="52"/>
    </w:p>
    <w:p w:rsidR="000E0693" w:rsidRPr="00B76694" w:rsidRDefault="000E0693" w:rsidP="00671539">
      <w:pPr>
        <w:pStyle w:val="NormalText"/>
      </w:pPr>
      <w:r w:rsidRPr="00B76694">
        <w:t xml:space="preserve">The procedures of risk characterisation are described according to the present state of knowledge. In this tiered assessment framework, potential risk for birds and mammals is identified on the basis of responses of individual organisms observed in controlled laboratory experiments, noting that the abundance and persistence of populations of organisms are potentially more relevant as endpoints for assessment than are responses of individual organisms. The proposed approach is justified on the ground that too little is known about the responses of populations to chemical exposure to support regulatory decisions on that basis. </w:t>
      </w:r>
      <w:r w:rsidRPr="00B76694">
        <w:lastRenderedPageBreak/>
        <w:t>Extrapolation tools aiming at bridging the gap between individual level and population level by means of population modelling techniques are not yet satisfactory. Risk assessors have to consider, at least qualitatively, that if only a small fraction of a population is exposed (spatial scale) risks associated with the use of the pesticide product may be small even if some individuals would be affected. That does not preclude, that appreciable mortality without population level consequences may be judged unacceptable.</w:t>
      </w:r>
    </w:p>
    <w:p w:rsidR="000E0693" w:rsidRPr="00B76694" w:rsidRDefault="000E0693" w:rsidP="00FA2705">
      <w:pPr>
        <w:pStyle w:val="NormalText"/>
      </w:pPr>
      <w:r w:rsidRPr="00B76694">
        <w:t>The standard risk assessment is based on the field s</w:t>
      </w:r>
      <w:r w:rsidR="00A8423E">
        <w:t>cale and not landscape scale, ie</w:t>
      </w:r>
      <w:r w:rsidRPr="00B76694">
        <w:t xml:space="preserve"> the risk to non-target birds and mammals frequenting the treated field is assessed. No consideration is made of the risk from applications of the same pesticide to neighbouring </w:t>
      </w:r>
      <w:r w:rsidR="00A8423E">
        <w:t>fields. If concern is raised (ie</w:t>
      </w:r>
      <w:r w:rsidRPr="00B76694">
        <w:t xml:space="preserve"> RQ &gt;1.0) then the risk can be refined appropriately. When refining the risk it may be appropriate to consider such issues as suitability of the standard scenarios, scale of use and potential impact on populations. However, no deviations from worst case assumption </w:t>
      </w:r>
      <w:r w:rsidR="00FA2705" w:rsidRPr="00B76694">
        <w:t>are</w:t>
      </w:r>
      <w:r w:rsidRPr="00B76694">
        <w:t xml:space="preserve"> made unless they are justified.</w:t>
      </w:r>
    </w:p>
    <w:p w:rsidR="00767242" w:rsidRPr="00B76694" w:rsidRDefault="006C20E3" w:rsidP="003E14E0">
      <w:pPr>
        <w:pStyle w:val="NormalText"/>
      </w:pPr>
      <w:r w:rsidRPr="00B76694">
        <w:t xml:space="preserve">Uses that </w:t>
      </w:r>
      <w:r w:rsidR="00767242" w:rsidRPr="00B76694">
        <w:t>may</w:t>
      </w:r>
      <w:r w:rsidRPr="00B76694">
        <w:t xml:space="preserve"> not require assessment includes those products that are used indoors or in enclosed structures, </w:t>
      </w:r>
      <w:r w:rsidR="00767242" w:rsidRPr="00B76694">
        <w:t xml:space="preserve">or other situations where the exposure or risk is considered negligible (due to the type of product such as disinfectants, preservatives, slimicides or antifouling products). </w:t>
      </w:r>
    </w:p>
    <w:p w:rsidR="003E14E0" w:rsidRPr="00B76694" w:rsidRDefault="003E14E0" w:rsidP="003E14E0">
      <w:pPr>
        <w:pStyle w:val="NormalText"/>
      </w:pPr>
      <w:r w:rsidRPr="00B76694">
        <w:t xml:space="preserve">The risks of the product </w:t>
      </w:r>
      <w:r w:rsidR="004C688B">
        <w:t xml:space="preserve">is </w:t>
      </w:r>
      <w:r w:rsidRPr="00B76694">
        <w:t xml:space="preserve">based on </w:t>
      </w:r>
      <w:r w:rsidR="00671539" w:rsidRPr="00B76694">
        <w:t xml:space="preserve">intensity of </w:t>
      </w:r>
      <w:r w:rsidR="004C688B">
        <w:t>use (gram per ac/ha) and</w:t>
      </w:r>
      <w:r w:rsidRPr="00B76694">
        <w:t xml:space="preserve"> what will be the crop grouping and likely vertebrate groups that may be exposed (eg effect on birds, effect on mammals). Similar product/active/studies will be reviewed and determined if valid for the current assessment. If these</w:t>
      </w:r>
      <w:r w:rsidR="000E0693" w:rsidRPr="00B76694">
        <w:t xml:space="preserve"> stud</w:t>
      </w:r>
      <w:r w:rsidR="00671539" w:rsidRPr="00B76694">
        <w:t>i</w:t>
      </w:r>
      <w:r w:rsidR="000E0693" w:rsidRPr="00B76694">
        <w:t>es are not considered</w:t>
      </w:r>
      <w:r w:rsidRPr="00B76694">
        <w:t xml:space="preserve"> suitable, than a full assessment will be undertaken by the APVMA. </w:t>
      </w:r>
    </w:p>
    <w:p w:rsidR="003E14E0" w:rsidRPr="00B76694" w:rsidRDefault="003E14E0" w:rsidP="003E14E0">
      <w:pPr>
        <w:pStyle w:val="NormalText"/>
      </w:pPr>
      <w:r w:rsidRPr="00B76694">
        <w:t xml:space="preserve">Predicted concentration is made based on maximum application rate, frequency of application, direct or indirect application and assumptions of dietary contribution of potential affected food material. </w:t>
      </w:r>
    </w:p>
    <w:p w:rsidR="003E14E0" w:rsidRPr="00B76694" w:rsidRDefault="003E14E0" w:rsidP="003E14E0">
      <w:pPr>
        <w:pStyle w:val="NormalText"/>
      </w:pPr>
      <w:r w:rsidRPr="00B76694">
        <w:t xml:space="preserve">The risks to birds are assessed based on single and maximum seasonal application rates. The dietary end points are determined in terms of acute and chronic risk assessments. </w:t>
      </w:r>
    </w:p>
    <w:p w:rsidR="003E14E0" w:rsidRPr="00B76694" w:rsidRDefault="003E14E0" w:rsidP="003E14E0">
      <w:pPr>
        <w:pStyle w:val="NormalText"/>
      </w:pPr>
      <w:r w:rsidRPr="00B76694">
        <w:t>Estimated residues are based on Kenaga nomogram which relates food item residues and pesticide application rate (Pfleeger et al., 1996). Dietary intakes are calculated based on standard assumptions of diet from US EPA 1993.</w:t>
      </w:r>
    </w:p>
    <w:p w:rsidR="003E14E0" w:rsidRPr="00B76694" w:rsidRDefault="00A8423E" w:rsidP="003E14E0">
      <w:pPr>
        <w:pStyle w:val="Heading3"/>
        <w:ind w:left="900" w:hanging="900"/>
      </w:pPr>
      <w:bookmarkStart w:id="53" w:name="_Toc516737109"/>
      <w:bookmarkStart w:id="54" w:name="_Toc516740341"/>
      <w:bookmarkStart w:id="55" w:name="_Toc526432188"/>
      <w:r>
        <w:t>Calculation a</w:t>
      </w:r>
      <w:r w:rsidR="003E14E0" w:rsidRPr="00B76694">
        <w:t>pproaches</w:t>
      </w:r>
      <w:bookmarkEnd w:id="53"/>
      <w:bookmarkEnd w:id="54"/>
      <w:bookmarkEnd w:id="55"/>
    </w:p>
    <w:p w:rsidR="003E14E0" w:rsidRPr="00B76694" w:rsidRDefault="003E14E0" w:rsidP="003E14E0">
      <w:pPr>
        <w:pStyle w:val="NormalText"/>
      </w:pPr>
      <w:r w:rsidRPr="00B76694">
        <w:t>Risk assessments are tabulated to include:</w:t>
      </w:r>
    </w:p>
    <w:p w:rsidR="003E14E0" w:rsidRPr="00B76694" w:rsidRDefault="003E14E0" w:rsidP="003E14E0">
      <w:pPr>
        <w:pStyle w:val="Bullet1"/>
        <w:ind w:left="714" w:hanging="357"/>
      </w:pPr>
      <w:r w:rsidRPr="00B76694">
        <w:t xml:space="preserve">which effects endpoints were used and associated assessment factors </w:t>
      </w:r>
    </w:p>
    <w:p w:rsidR="003E14E0" w:rsidRPr="00B76694" w:rsidRDefault="003E14E0" w:rsidP="003E14E0">
      <w:pPr>
        <w:pStyle w:val="Bullet1"/>
        <w:ind w:left="714" w:hanging="357"/>
      </w:pPr>
      <w:r w:rsidRPr="00B76694">
        <w:t>the parent and metabolites levels</w:t>
      </w:r>
    </w:p>
    <w:p w:rsidR="003E14E0" w:rsidRPr="00B76694" w:rsidRDefault="003E14E0" w:rsidP="003E14E0">
      <w:pPr>
        <w:pStyle w:val="Bullet1"/>
        <w:ind w:left="714" w:hanging="357"/>
      </w:pPr>
      <w:r w:rsidRPr="00B76694">
        <w:t xml:space="preserve">derivation of RAC (LD50/10, NOEC/1) </w:t>
      </w:r>
    </w:p>
    <w:p w:rsidR="003E14E0" w:rsidRPr="00B76694" w:rsidRDefault="003E14E0" w:rsidP="003E14E0">
      <w:pPr>
        <w:pStyle w:val="Bullet1"/>
        <w:ind w:left="714" w:hanging="357"/>
      </w:pPr>
      <w:r w:rsidRPr="00B76694">
        <w:t xml:space="preserve">how exposure estimates were determined (including assumptions) </w:t>
      </w:r>
    </w:p>
    <w:p w:rsidR="003E14E0" w:rsidRPr="00B76694" w:rsidRDefault="003E14E0" w:rsidP="003E14E0">
      <w:pPr>
        <w:pStyle w:val="Bullet1"/>
        <w:ind w:left="714" w:hanging="357"/>
      </w:pPr>
      <w:r w:rsidRPr="00B76694">
        <w:t xml:space="preserve">resulting risk quotients (acceptable chronic RQ ≤1.0, acute RQ≤0.1. ). </w:t>
      </w:r>
    </w:p>
    <w:p w:rsidR="00160E77" w:rsidRPr="00B76694" w:rsidRDefault="00160E77" w:rsidP="00160E77">
      <w:pPr>
        <w:pStyle w:val="NormalText"/>
      </w:pPr>
      <w:r w:rsidRPr="00B76694">
        <w:t xml:space="preserve">The risk assessment assess the major potential routes of exposure of terrestrial vertebrates feeding on food items directly contaminated from spray applications. Assessment first calculates a </w:t>
      </w:r>
      <w:r w:rsidR="006C20E3" w:rsidRPr="00B76694">
        <w:t>regulatory</w:t>
      </w:r>
      <w:r w:rsidRPr="00B76694">
        <w:t xml:space="preserve"> acceptable </w:t>
      </w:r>
      <w:r w:rsidRPr="00B76694">
        <w:lastRenderedPageBreak/>
        <w:t>dose (RAD) for acute and chronic exposure scenarios. I</w:t>
      </w:r>
      <w:r w:rsidR="006C20E3" w:rsidRPr="00B76694">
        <w:t>f</w:t>
      </w:r>
      <w:r w:rsidRPr="00B76694">
        <w:t xml:space="preserve"> required, a Tier 1 assessment according to EFSA (2009) guidance </w:t>
      </w:r>
      <w:r w:rsidR="00FA2705" w:rsidRPr="00B76694">
        <w:t>will</w:t>
      </w:r>
      <w:r w:rsidRPr="00B76694">
        <w:t xml:space="preserve"> considers more specific exposure scenarios. </w:t>
      </w:r>
    </w:p>
    <w:p w:rsidR="00160E77" w:rsidRPr="00B76694" w:rsidRDefault="00160E77" w:rsidP="00160E77">
      <w:pPr>
        <w:pStyle w:val="NormalText"/>
      </w:pPr>
      <w:r w:rsidRPr="00B76694">
        <w:t>Tier 2 assessment considers the animal’s daily diet</w:t>
      </w:r>
      <w:r w:rsidR="006C20E3" w:rsidRPr="00B76694">
        <w:t xml:space="preserve"> is obtained beyond that </w:t>
      </w:r>
      <w:r w:rsidR="00671539" w:rsidRPr="00B76694">
        <w:t>which are</w:t>
      </w:r>
      <w:r w:rsidR="006C20E3" w:rsidRPr="00B76694">
        <w:t xml:space="preserve"> treated with the product, or the diet is not just the particular type of affected food.</w:t>
      </w:r>
      <w:r w:rsidR="00671539" w:rsidRPr="00B76694">
        <w:t xml:space="preserve"> </w:t>
      </w:r>
    </w:p>
    <w:p w:rsidR="00671539" w:rsidRPr="00B76694" w:rsidRDefault="00671539" w:rsidP="00160E77">
      <w:pPr>
        <w:pStyle w:val="NormalText"/>
      </w:pPr>
      <w:r w:rsidRPr="00B76694">
        <w:t>Detailed assessments may be required for the following:</w:t>
      </w:r>
    </w:p>
    <w:p w:rsidR="00160E77" w:rsidRPr="00B76694" w:rsidRDefault="00160E77" w:rsidP="00B76694">
      <w:pPr>
        <w:pStyle w:val="Bullet1"/>
        <w:numPr>
          <w:ilvl w:val="0"/>
          <w:numId w:val="15"/>
        </w:numPr>
      </w:pPr>
      <w:r w:rsidRPr="00B76694">
        <w:t>Home garden uses</w:t>
      </w:r>
    </w:p>
    <w:p w:rsidR="00160E77" w:rsidRPr="00B76694" w:rsidRDefault="00160E77" w:rsidP="00B76694">
      <w:pPr>
        <w:pStyle w:val="Bullet1"/>
        <w:numPr>
          <w:ilvl w:val="0"/>
          <w:numId w:val="15"/>
        </w:numPr>
      </w:pPr>
      <w:r w:rsidRPr="00B76694">
        <w:t>Seed treatments and solid formulations</w:t>
      </w:r>
    </w:p>
    <w:p w:rsidR="00160E77" w:rsidRPr="00B76694" w:rsidRDefault="00160E77" w:rsidP="00B76694">
      <w:pPr>
        <w:pStyle w:val="Bullet1"/>
        <w:numPr>
          <w:ilvl w:val="1"/>
          <w:numId w:val="15"/>
        </w:numPr>
      </w:pPr>
      <w:r w:rsidRPr="00B76694">
        <w:t>Granular products</w:t>
      </w:r>
    </w:p>
    <w:p w:rsidR="00160E77" w:rsidRPr="00B76694" w:rsidRDefault="00160E77" w:rsidP="00B76694">
      <w:pPr>
        <w:pStyle w:val="Bullet1"/>
        <w:numPr>
          <w:ilvl w:val="1"/>
          <w:numId w:val="15"/>
        </w:numPr>
      </w:pPr>
      <w:r w:rsidRPr="00B76694">
        <w:t>Seed treatments</w:t>
      </w:r>
    </w:p>
    <w:p w:rsidR="00160E77" w:rsidRPr="00B76694" w:rsidRDefault="00160E77" w:rsidP="00B76694">
      <w:pPr>
        <w:pStyle w:val="Bullet1"/>
        <w:numPr>
          <w:ilvl w:val="1"/>
          <w:numId w:val="15"/>
        </w:numPr>
      </w:pPr>
      <w:r w:rsidRPr="00B76694">
        <w:t>Slug pellets</w:t>
      </w:r>
    </w:p>
    <w:p w:rsidR="00160E77" w:rsidRPr="00B76694" w:rsidRDefault="00160E77" w:rsidP="00B76694">
      <w:pPr>
        <w:pStyle w:val="Bullet1"/>
        <w:numPr>
          <w:ilvl w:val="1"/>
          <w:numId w:val="15"/>
        </w:numPr>
      </w:pPr>
      <w:r w:rsidRPr="00B76694">
        <w:t>Forage area of concern</w:t>
      </w:r>
    </w:p>
    <w:p w:rsidR="00160E77" w:rsidRPr="00B76694" w:rsidRDefault="00160E77" w:rsidP="00B76694">
      <w:pPr>
        <w:pStyle w:val="Bullet1"/>
        <w:numPr>
          <w:ilvl w:val="1"/>
          <w:numId w:val="15"/>
        </w:numPr>
      </w:pPr>
      <w:r w:rsidRPr="00B76694">
        <w:t>Forage time to concern</w:t>
      </w:r>
    </w:p>
    <w:p w:rsidR="00160E77" w:rsidRPr="00B76694" w:rsidRDefault="00160E77" w:rsidP="00B76694">
      <w:pPr>
        <w:pStyle w:val="Bullet1"/>
        <w:numPr>
          <w:ilvl w:val="1"/>
          <w:numId w:val="15"/>
        </w:numPr>
      </w:pPr>
      <w:r w:rsidRPr="00B76694">
        <w:t>Other refinement options</w:t>
      </w:r>
    </w:p>
    <w:p w:rsidR="00160E77" w:rsidRPr="00B76694" w:rsidRDefault="00160E77" w:rsidP="00B76694">
      <w:pPr>
        <w:pStyle w:val="Bullet1"/>
        <w:numPr>
          <w:ilvl w:val="0"/>
          <w:numId w:val="15"/>
        </w:numPr>
      </w:pPr>
      <w:r w:rsidRPr="00B76694">
        <w:t>Rodenticides</w:t>
      </w:r>
    </w:p>
    <w:p w:rsidR="00160E77" w:rsidRPr="00B76694" w:rsidRDefault="00160E77" w:rsidP="00B76694">
      <w:pPr>
        <w:pStyle w:val="Bullet1"/>
        <w:numPr>
          <w:ilvl w:val="1"/>
          <w:numId w:val="15"/>
        </w:numPr>
      </w:pPr>
      <w:r w:rsidRPr="00B76694">
        <w:t>Primary poisoning</w:t>
      </w:r>
    </w:p>
    <w:p w:rsidR="00160E77" w:rsidRPr="00B76694" w:rsidRDefault="00160E77" w:rsidP="00B76694">
      <w:pPr>
        <w:pStyle w:val="Bullet1"/>
        <w:numPr>
          <w:ilvl w:val="1"/>
          <w:numId w:val="15"/>
        </w:numPr>
      </w:pPr>
      <w:r w:rsidRPr="00B76694">
        <w:t>Secondary poisoning</w:t>
      </w:r>
    </w:p>
    <w:p w:rsidR="00160E77" w:rsidRPr="00B76694" w:rsidRDefault="00160E77" w:rsidP="00B76694">
      <w:pPr>
        <w:pStyle w:val="Bullet1"/>
        <w:numPr>
          <w:ilvl w:val="1"/>
          <w:numId w:val="15"/>
        </w:numPr>
      </w:pPr>
      <w:r w:rsidRPr="00B76694">
        <w:t>Exposure scenarios</w:t>
      </w:r>
    </w:p>
    <w:p w:rsidR="00767242" w:rsidRPr="00B76694" w:rsidRDefault="00767242" w:rsidP="00B76694">
      <w:pPr>
        <w:pStyle w:val="Bullet1"/>
        <w:numPr>
          <w:ilvl w:val="0"/>
          <w:numId w:val="15"/>
        </w:numPr>
      </w:pPr>
      <w:r w:rsidRPr="00B76694">
        <w:t>Avicides</w:t>
      </w:r>
    </w:p>
    <w:p w:rsidR="00767242" w:rsidRPr="00B76694" w:rsidRDefault="00767242" w:rsidP="00B76694">
      <w:pPr>
        <w:pStyle w:val="Bullet1"/>
        <w:numPr>
          <w:ilvl w:val="0"/>
          <w:numId w:val="15"/>
        </w:numPr>
      </w:pPr>
      <w:r w:rsidRPr="00B76694">
        <w:t>Combination toxicity</w:t>
      </w:r>
    </w:p>
    <w:p w:rsidR="003E14E0" w:rsidRPr="00B76694" w:rsidRDefault="003E14E0" w:rsidP="003E14E0">
      <w:pPr>
        <w:pStyle w:val="Heading3"/>
        <w:ind w:left="900" w:hanging="900"/>
      </w:pPr>
      <w:bookmarkStart w:id="56" w:name="_Toc516737110"/>
      <w:bookmarkStart w:id="57" w:name="_Toc516740342"/>
      <w:bookmarkStart w:id="58" w:name="_Toc526432189"/>
      <w:r w:rsidRPr="00B76694">
        <w:t>Conclusions</w:t>
      </w:r>
      <w:bookmarkEnd w:id="56"/>
      <w:bookmarkEnd w:id="57"/>
      <w:bookmarkEnd w:id="58"/>
    </w:p>
    <w:p w:rsidR="003E14E0" w:rsidRPr="00B76694" w:rsidRDefault="003E14E0" w:rsidP="003E14E0">
      <w:pPr>
        <w:pStyle w:val="NormalText"/>
      </w:pPr>
      <w:r w:rsidRPr="00B76694">
        <w:t>The overall conclusions on risk are described. Determination is made on any hazard or risk mitigation labelling.</w:t>
      </w:r>
    </w:p>
    <w:p w:rsidR="003E14E0" w:rsidRPr="00B76694" w:rsidRDefault="003E14E0" w:rsidP="003E14E0">
      <w:pPr>
        <w:pStyle w:val="Heading3"/>
        <w:ind w:left="900" w:hanging="900"/>
      </w:pPr>
      <w:bookmarkStart w:id="59" w:name="_Toc516737111"/>
      <w:bookmarkStart w:id="60" w:name="_Toc516740343"/>
      <w:bookmarkStart w:id="61" w:name="_Toc526432190"/>
      <w:r w:rsidRPr="00B76694">
        <w:t>References</w:t>
      </w:r>
      <w:bookmarkEnd w:id="59"/>
      <w:bookmarkEnd w:id="60"/>
      <w:bookmarkEnd w:id="61"/>
    </w:p>
    <w:p w:rsidR="003E14E0" w:rsidRPr="00B76694" w:rsidRDefault="003E14E0" w:rsidP="003E14E0">
      <w:pPr>
        <w:pStyle w:val="BodyText"/>
        <w:rPr>
          <w:szCs w:val="22"/>
        </w:rPr>
      </w:pPr>
      <w:r w:rsidRPr="00B76694">
        <w:rPr>
          <w:szCs w:val="22"/>
        </w:rPr>
        <w:t>Relevant guidance documents for risk assessment:</w:t>
      </w:r>
    </w:p>
    <w:p w:rsidR="003E14E0" w:rsidRPr="00B76694" w:rsidRDefault="0086416E" w:rsidP="0085106E">
      <w:pPr>
        <w:rPr>
          <w:rStyle w:val="Hyperlink"/>
        </w:rPr>
      </w:pPr>
      <w:hyperlink r:id="rId32" w:history="1">
        <w:r w:rsidR="003E14E0" w:rsidRPr="00B76694">
          <w:rPr>
            <w:rStyle w:val="Hyperlink"/>
          </w:rPr>
          <w:t>http://ec.europa.eu/food/plant/protection/evaluation/guidance/wrkdoc19_en.pdf</w:t>
        </w:r>
      </w:hyperlink>
    </w:p>
    <w:p w:rsidR="003E14E0" w:rsidRPr="00B76694" w:rsidRDefault="0086416E" w:rsidP="0085106E">
      <w:pPr>
        <w:rPr>
          <w:rStyle w:val="Hyperlink"/>
        </w:rPr>
      </w:pPr>
      <w:hyperlink r:id="rId33" w:history="1">
        <w:r w:rsidR="003E14E0" w:rsidRPr="00B76694">
          <w:rPr>
            <w:rStyle w:val="Hyperlink"/>
          </w:rPr>
          <w:t>http://archives.eppo.int/EPPOStandards/PP3_ERA/pp3-11(2).pdf</w:t>
        </w:r>
      </w:hyperlink>
      <w:r w:rsidR="003E14E0" w:rsidRPr="00B76694">
        <w:rPr>
          <w:rStyle w:val="Hyperlink"/>
        </w:rPr>
        <w:t xml:space="preserve"> </w:t>
      </w:r>
    </w:p>
    <w:p w:rsidR="003E14E0" w:rsidRPr="00B76694" w:rsidRDefault="0086416E" w:rsidP="0085106E">
      <w:pPr>
        <w:rPr>
          <w:rStyle w:val="Hyperlink"/>
        </w:rPr>
      </w:pPr>
      <w:hyperlink r:id="rId34" w:history="1">
        <w:r w:rsidR="003E14E0" w:rsidRPr="00B76694">
          <w:rPr>
            <w:rStyle w:val="Hyperlink"/>
          </w:rPr>
          <w:t>http://www.efsa.europa.eu/en/scdocs/doc/1438.pdf</w:t>
        </w:r>
      </w:hyperlink>
      <w:r w:rsidR="003E14E0" w:rsidRPr="00B76694">
        <w:rPr>
          <w:rStyle w:val="Hyperlink"/>
        </w:rPr>
        <w:t xml:space="preserve"> </w:t>
      </w:r>
    </w:p>
    <w:p w:rsidR="003E14E0" w:rsidRPr="00B76694" w:rsidRDefault="0086416E" w:rsidP="003E14E0">
      <w:pPr>
        <w:rPr>
          <w:rStyle w:val="Hyperlink"/>
        </w:rPr>
      </w:pPr>
      <w:hyperlink r:id="rId35" w:history="1">
        <w:r w:rsidR="003E14E0" w:rsidRPr="00B76694">
          <w:rPr>
            <w:rStyle w:val="Hyperlink"/>
          </w:rPr>
          <w:t>http://www.efsa.europa.eu/en/efsajournal/pub/1438</w:t>
        </w:r>
      </w:hyperlink>
      <w:r w:rsidR="003E14E0" w:rsidRPr="00B76694">
        <w:rPr>
          <w:rStyle w:val="Hyperlink"/>
        </w:rPr>
        <w:t xml:space="preserve"> </w:t>
      </w:r>
    </w:p>
    <w:p w:rsidR="003E14E0" w:rsidRPr="00B76694" w:rsidRDefault="0086416E" w:rsidP="003E14E0">
      <w:pPr>
        <w:rPr>
          <w:rStyle w:val="Hyperlink"/>
        </w:rPr>
      </w:pPr>
      <w:hyperlink r:id="rId36" w:history="1">
        <w:r w:rsidR="003E14E0" w:rsidRPr="00B76694">
          <w:rPr>
            <w:rStyle w:val="Hyperlink"/>
          </w:rPr>
          <w:t>https://ec.europa.eu/food/sites/food/files/plant/docs/pesticides_ppp_app-proc_guide_ecotox_ra_birds-mammals-jwg.pdf</w:t>
        </w:r>
      </w:hyperlink>
      <w:r w:rsidR="003E14E0" w:rsidRPr="00B76694">
        <w:rPr>
          <w:rStyle w:val="Hyperlink"/>
        </w:rPr>
        <w:t xml:space="preserve"> </w:t>
      </w:r>
    </w:p>
    <w:p w:rsidR="003E14E0" w:rsidRPr="00B76694" w:rsidRDefault="0086416E" w:rsidP="003E14E0">
      <w:pPr>
        <w:rPr>
          <w:rStyle w:val="Hyperlink"/>
        </w:rPr>
      </w:pPr>
      <w:hyperlink r:id="rId37" w:history="1">
        <w:r w:rsidR="003E14E0" w:rsidRPr="00B76694">
          <w:rPr>
            <w:rStyle w:val="Hyperlink"/>
          </w:rPr>
          <w:t>http://archives.eppo.int/EPPOStandards/era.htm</w:t>
        </w:r>
      </w:hyperlink>
      <w:r w:rsidR="003E14E0" w:rsidRPr="00B76694">
        <w:rPr>
          <w:rStyle w:val="Hyperlink"/>
        </w:rPr>
        <w:t xml:space="preserve"> </w:t>
      </w:r>
    </w:p>
    <w:p w:rsidR="003E14E0" w:rsidRPr="00671539" w:rsidRDefault="0086416E" w:rsidP="003E14E0">
      <w:pPr>
        <w:rPr>
          <w:color w:val="1F497D"/>
        </w:rPr>
      </w:pPr>
      <w:hyperlink r:id="rId38" w:history="1">
        <w:r w:rsidR="003E14E0" w:rsidRPr="00B76694">
          <w:rPr>
            <w:rStyle w:val="Hyperlink"/>
          </w:rPr>
          <w:t>https://ec.europa.eu/food/sites/food/files/plant/docs/pesticides_ppp_app-proc_guide_ecotox_ra_birds-mammals.pdf</w:t>
        </w:r>
      </w:hyperlink>
      <w:r w:rsidR="003E14E0" w:rsidRPr="00671539">
        <w:rPr>
          <w:color w:val="1F497D"/>
        </w:rPr>
        <w:t xml:space="preserve"> </w:t>
      </w:r>
    </w:p>
    <w:p w:rsidR="003E14E0" w:rsidRPr="00671539" w:rsidRDefault="003E14E0" w:rsidP="003E14E0">
      <w:pPr>
        <w:pStyle w:val="AT"/>
      </w:pPr>
    </w:p>
    <w:p w:rsidR="003E14E0" w:rsidRPr="00FB5CEA" w:rsidRDefault="003E14E0" w:rsidP="003E14E0">
      <w:pPr>
        <w:pStyle w:val="Heading2"/>
      </w:pPr>
      <w:bookmarkStart w:id="62" w:name="_Toc504046800"/>
      <w:bookmarkStart w:id="63" w:name="_Toc516737112"/>
      <w:bookmarkStart w:id="64" w:name="_Toc516740344"/>
      <w:bookmarkStart w:id="65" w:name="_Toc526432191"/>
      <w:r w:rsidRPr="00FB5CEA">
        <w:lastRenderedPageBreak/>
        <w:t>Aquatic species</w:t>
      </w:r>
      <w:bookmarkEnd w:id="62"/>
      <w:bookmarkEnd w:id="63"/>
      <w:bookmarkEnd w:id="64"/>
      <w:bookmarkEnd w:id="65"/>
    </w:p>
    <w:p w:rsidR="003E14E0" w:rsidRPr="00FB5CEA" w:rsidRDefault="00A8423E" w:rsidP="003E14E0">
      <w:pPr>
        <w:pStyle w:val="Heading3"/>
        <w:ind w:left="900" w:hanging="900"/>
      </w:pPr>
      <w:bookmarkStart w:id="66" w:name="_Toc516737113"/>
      <w:bookmarkStart w:id="67" w:name="_Toc516740345"/>
      <w:bookmarkStart w:id="68" w:name="_Toc526432192"/>
      <w:r>
        <w:t>Assessment a</w:t>
      </w:r>
      <w:r w:rsidR="003E14E0" w:rsidRPr="00FB5CEA">
        <w:t>pproach</w:t>
      </w:r>
      <w:bookmarkEnd w:id="66"/>
      <w:bookmarkEnd w:id="67"/>
      <w:bookmarkEnd w:id="68"/>
    </w:p>
    <w:p w:rsidR="003E14E0" w:rsidRPr="003E14E0" w:rsidRDefault="003E14E0" w:rsidP="003E14E0">
      <w:pPr>
        <w:pStyle w:val="NormalText"/>
      </w:pPr>
      <w:r w:rsidRPr="003E14E0">
        <w:t>Determination is made whether an assessment is required based on potential impacts to fish, aquatic invertebrates, effects on algae and sediment dwelling organisations. If assessment is not required, there must be valid reasons why (usually due to negligible exposure expected based on use pattern and/or fate and behaviour properties, no toxicity/effects at limit doses, or covered by a previous assessment or product).</w:t>
      </w:r>
    </w:p>
    <w:p w:rsidR="003E14E0" w:rsidRPr="003E14E0" w:rsidRDefault="003E14E0" w:rsidP="003E14E0">
      <w:pPr>
        <w:pStyle w:val="NormalText"/>
      </w:pPr>
      <w:r w:rsidRPr="003E14E0">
        <w:t>The Risk Assessment Manual (RAM, EPHC 2009) applies a quotient approach (Urban and Cook, 1986) to predict environmental risk for aquatic organisms.</w:t>
      </w:r>
    </w:p>
    <w:p w:rsidR="003E14E0" w:rsidRPr="003E14E0" w:rsidRDefault="003E14E0" w:rsidP="003E14E0">
      <w:pPr>
        <w:pStyle w:val="NormalText"/>
      </w:pPr>
      <w:r w:rsidRPr="003E14E0">
        <w:t xml:space="preserve">A risk assessment is tabulated which demonstrates which effects endpoints were used and associated assessment factors, derivation of RAC (LC50/10, NOEC/1), how exposure estimates were determined (including footnotes to describe the assumptions), and resulting risk quotients (acceptable RQ ≤1.0). Based on this, assessment is made on the overall conclusions on risk and whether hazard or risk mitigation labelling is required. </w:t>
      </w:r>
    </w:p>
    <w:p w:rsidR="003E14E0" w:rsidRPr="00020DB2" w:rsidRDefault="003E14E0" w:rsidP="003E14E0">
      <w:pPr>
        <w:pStyle w:val="Heading3"/>
        <w:ind w:left="900" w:hanging="900"/>
      </w:pPr>
      <w:bookmarkStart w:id="69" w:name="_Toc516737114"/>
      <w:bookmarkStart w:id="70" w:name="_Toc516740346"/>
      <w:bookmarkStart w:id="71" w:name="_Toc526432193"/>
      <w:r w:rsidRPr="00020DB2">
        <w:t xml:space="preserve">Calculation </w:t>
      </w:r>
      <w:r w:rsidR="00A8423E">
        <w:t>a</w:t>
      </w:r>
      <w:r w:rsidRPr="00020DB2">
        <w:t>pproaches</w:t>
      </w:r>
      <w:bookmarkEnd w:id="69"/>
      <w:bookmarkEnd w:id="70"/>
      <w:bookmarkEnd w:id="71"/>
    </w:p>
    <w:p w:rsidR="003E14E0" w:rsidRPr="003E14E0" w:rsidRDefault="003E14E0" w:rsidP="003E14E0">
      <w:pPr>
        <w:pStyle w:val="NormalText"/>
      </w:pPr>
      <w:r w:rsidRPr="003E14E0">
        <w:t>Standard assumptions are applied.</w:t>
      </w:r>
      <w:r w:rsidR="000178C7">
        <w:t xml:space="preserve"> </w:t>
      </w:r>
      <w:r w:rsidR="00B76694">
        <w:t>A</w:t>
      </w:r>
      <w:r w:rsidRPr="003E14E0">
        <w:t xml:space="preserve"> screening level assessment</w:t>
      </w:r>
      <w:r w:rsidR="00B76694">
        <w:t xml:space="preserve"> is undertaken considering </w:t>
      </w:r>
      <w:r w:rsidRPr="003E14E0">
        <w:t>15cm water depth, runoff assessment for risks of produce to aquatic invertebrates and sediment dwellers.</w:t>
      </w:r>
    </w:p>
    <w:p w:rsidR="003E14E0" w:rsidRPr="003E14E0" w:rsidRDefault="003E14E0" w:rsidP="003E14E0">
      <w:pPr>
        <w:pStyle w:val="NormalText"/>
      </w:pPr>
      <w:r w:rsidRPr="003E14E0">
        <w:t>Testing of sediment dwellers is not required when the lowest Daphnia magna acute EC50 value is &gt;1 mg ac/L and chronic NOEC value is &gt; 0.1 mg ac/L (SANCO/3268/2001 Section 2.3.4.2)</w:t>
      </w:r>
    </w:p>
    <w:p w:rsidR="003E14E0" w:rsidRPr="003E14E0" w:rsidRDefault="003E14E0" w:rsidP="003E14E0">
      <w:pPr>
        <w:pStyle w:val="NormalText"/>
      </w:pPr>
      <w:r w:rsidRPr="003E14E0">
        <w:t xml:space="preserve">The movement rate to sediment </w:t>
      </w:r>
      <w:r w:rsidR="004C688B">
        <w:t xml:space="preserve">is </w:t>
      </w:r>
      <w:r w:rsidRPr="003E14E0">
        <w:t xml:space="preserve">based on the testing that has been undertaken and provided to APVMA. Chronic risk may need to be considered in both water and sediment systems for species. </w:t>
      </w:r>
    </w:p>
    <w:p w:rsidR="003E14E0" w:rsidRPr="003E14E0" w:rsidRDefault="003E14E0" w:rsidP="003E14E0">
      <w:pPr>
        <w:pStyle w:val="NormalText"/>
      </w:pPr>
      <w:r w:rsidRPr="003E14E0">
        <w:t xml:space="preserve">The predicted environmental concentration is calculated based on ac applications in a 3 m wide × 15 cm deep body of water. The calculation will be assessed against the chronic toxicity endpoint (28 d NOEC) for sediment dwelling organisms from water spiked sediment tests to determine if the risk to sediment dwelling organism is unacceptable.  </w:t>
      </w:r>
    </w:p>
    <w:p w:rsidR="003E14E0" w:rsidRPr="003E14E0" w:rsidRDefault="003E14E0" w:rsidP="003E14E0">
      <w:pPr>
        <w:pStyle w:val="NormalText"/>
      </w:pPr>
      <w:r w:rsidRPr="003E14E0">
        <w:t>Calculations may also be made in relation to spray drift and runoff. Assessment will be made against the most sensitive aquatic RAL and corresponding risk quotient.</w:t>
      </w:r>
    </w:p>
    <w:p w:rsidR="003E14E0" w:rsidRPr="003E14E0" w:rsidRDefault="003E14E0" w:rsidP="003E14E0">
      <w:pPr>
        <w:pStyle w:val="NormalText"/>
      </w:pPr>
      <w:r w:rsidRPr="003E14E0">
        <w:t xml:space="preserve">The maximum PEC at the edge of field is calculated based on the application rate and method. Determination of the chronic risks to sediment dwelling organisms based on RQ&lt;1.  </w:t>
      </w:r>
    </w:p>
    <w:p w:rsidR="003E14E0" w:rsidRPr="00020DB2" w:rsidRDefault="003E14E0" w:rsidP="003E14E0">
      <w:pPr>
        <w:pStyle w:val="Heading3"/>
        <w:ind w:left="900" w:hanging="900"/>
      </w:pPr>
      <w:bookmarkStart w:id="72" w:name="_Toc516737115"/>
      <w:bookmarkStart w:id="73" w:name="_Toc516740347"/>
      <w:bookmarkStart w:id="74" w:name="_Toc526432194"/>
      <w:r>
        <w:t>Conclusions</w:t>
      </w:r>
      <w:bookmarkEnd w:id="72"/>
      <w:bookmarkEnd w:id="73"/>
      <w:bookmarkEnd w:id="74"/>
    </w:p>
    <w:p w:rsidR="003E14E0" w:rsidRDefault="003E14E0" w:rsidP="003E14E0">
      <w:pPr>
        <w:pStyle w:val="NormalText"/>
      </w:pPr>
      <w:r>
        <w:t>Th</w:t>
      </w:r>
      <w:r w:rsidRPr="00B94EB4">
        <w:t>e overall conclusions on risk</w:t>
      </w:r>
      <w:r>
        <w:t xml:space="preserve"> are described.</w:t>
      </w:r>
      <w:r w:rsidRPr="00B94EB4">
        <w:t xml:space="preserve"> </w:t>
      </w:r>
      <w:r>
        <w:t>Determination is made on any</w:t>
      </w:r>
      <w:r w:rsidRPr="00B94EB4">
        <w:t xml:space="preserve"> hazard or risk mitigation labelling</w:t>
      </w:r>
      <w:r>
        <w:t>.</w:t>
      </w:r>
    </w:p>
    <w:p w:rsidR="003E14E0" w:rsidRPr="00765768" w:rsidRDefault="003E14E0" w:rsidP="003E14E0">
      <w:pPr>
        <w:pStyle w:val="Heading3"/>
        <w:ind w:left="900" w:hanging="900"/>
      </w:pPr>
      <w:bookmarkStart w:id="75" w:name="_Toc516737116"/>
      <w:bookmarkStart w:id="76" w:name="_Toc516740348"/>
      <w:bookmarkStart w:id="77" w:name="_Toc526432195"/>
      <w:r w:rsidRPr="00765768">
        <w:lastRenderedPageBreak/>
        <w:t>References</w:t>
      </w:r>
      <w:bookmarkEnd w:id="75"/>
      <w:bookmarkEnd w:id="76"/>
      <w:bookmarkEnd w:id="77"/>
    </w:p>
    <w:p w:rsidR="003E14E0" w:rsidRPr="0085106E" w:rsidRDefault="0086416E" w:rsidP="0085106E">
      <w:pPr>
        <w:rPr>
          <w:rStyle w:val="Hyperlink"/>
        </w:rPr>
      </w:pPr>
      <w:hyperlink r:id="rId39" w:history="1">
        <w:r w:rsidR="003E14E0" w:rsidRPr="0085106E">
          <w:rPr>
            <w:rStyle w:val="Hyperlink"/>
          </w:rPr>
          <w:t>http://ec.europa.eu/food/plant/protection/evaluation/guidance/wrkdoc10_en.pdf</w:t>
        </w:r>
      </w:hyperlink>
    </w:p>
    <w:p w:rsidR="003E14E0" w:rsidRPr="0085106E" w:rsidRDefault="0086416E" w:rsidP="0085106E">
      <w:pPr>
        <w:rPr>
          <w:rStyle w:val="Hyperlink"/>
        </w:rPr>
      </w:pPr>
      <w:hyperlink r:id="rId40" w:history="1">
        <w:r w:rsidR="003E14E0" w:rsidRPr="0085106E">
          <w:rPr>
            <w:rStyle w:val="Hyperlink"/>
          </w:rPr>
          <w:t>http://www.scew.gov.au/system/files/resources/bffdc9e9-7004-4de9-b94f-b758140dbc8c/files/cmgt-nchem-eragm-agricultural-and-veterinary-chemicals-200902.pdf</w:t>
        </w:r>
      </w:hyperlink>
      <w:r w:rsidR="003E14E0" w:rsidRPr="0085106E">
        <w:rPr>
          <w:rStyle w:val="Hyperlink"/>
        </w:rPr>
        <w:t xml:space="preserve"> </w:t>
      </w:r>
    </w:p>
    <w:p w:rsidR="003E14E0" w:rsidRPr="0085106E" w:rsidRDefault="0086416E" w:rsidP="003E14E0">
      <w:pPr>
        <w:rPr>
          <w:rStyle w:val="Hyperlink"/>
        </w:rPr>
      </w:pPr>
      <w:hyperlink r:id="rId41" w:history="1">
        <w:r w:rsidR="003E14E0" w:rsidRPr="00FB5CEA">
          <w:rPr>
            <w:rStyle w:val="Hyperlink"/>
          </w:rPr>
          <w:t>https://ec.europa.eu/food/sites/food/files/plant/docs/pesticides_ppp_app-proc_guide_ecotox_aquatic.pdf</w:t>
        </w:r>
      </w:hyperlink>
      <w:r w:rsidR="003E14E0" w:rsidRPr="0085106E">
        <w:rPr>
          <w:rStyle w:val="Hyperlink"/>
        </w:rPr>
        <w:t xml:space="preserve"> </w:t>
      </w:r>
    </w:p>
    <w:p w:rsidR="003E14E0" w:rsidRPr="0085106E" w:rsidRDefault="0086416E" w:rsidP="003E14E0">
      <w:pPr>
        <w:rPr>
          <w:rStyle w:val="Hyperlink"/>
        </w:rPr>
      </w:pPr>
      <w:hyperlink r:id="rId42" w:history="1">
        <w:r w:rsidR="003E14E0" w:rsidRPr="00FB5CEA">
          <w:rPr>
            <w:rStyle w:val="Hyperlink"/>
          </w:rPr>
          <w:t>https://www.efsa.europa.eu/en/efsajournal/pub/3290</w:t>
        </w:r>
      </w:hyperlink>
      <w:r w:rsidR="003E14E0" w:rsidRPr="0085106E">
        <w:rPr>
          <w:rStyle w:val="Hyperlink"/>
        </w:rPr>
        <w:t xml:space="preserve"> </w:t>
      </w:r>
    </w:p>
    <w:p w:rsidR="003E14E0" w:rsidRPr="0085106E" w:rsidRDefault="0086416E" w:rsidP="003E14E0">
      <w:pPr>
        <w:rPr>
          <w:rStyle w:val="Hyperlink"/>
        </w:rPr>
      </w:pPr>
      <w:hyperlink r:id="rId43" w:history="1">
        <w:r w:rsidR="003E14E0" w:rsidRPr="00FB5CEA">
          <w:rPr>
            <w:rStyle w:val="Hyperlink"/>
          </w:rPr>
          <w:t>http://archives.eppo.int/EPPOStandards/era.htm</w:t>
        </w:r>
      </w:hyperlink>
      <w:r w:rsidR="003E14E0" w:rsidRPr="0085106E">
        <w:rPr>
          <w:rStyle w:val="Hyperlink"/>
        </w:rPr>
        <w:t xml:space="preserve"> </w:t>
      </w:r>
    </w:p>
    <w:p w:rsidR="003E14E0" w:rsidRDefault="003E14E0" w:rsidP="003E14E0">
      <w:pPr>
        <w:pStyle w:val="Heading2"/>
      </w:pPr>
      <w:bookmarkStart w:id="78" w:name="_Toc504046801"/>
      <w:bookmarkStart w:id="79" w:name="_Toc516737117"/>
      <w:bookmarkStart w:id="80" w:name="_Toc516740349"/>
      <w:bookmarkStart w:id="81" w:name="_Toc526432196"/>
      <w:r w:rsidRPr="00B94EB4">
        <w:t>Bees</w:t>
      </w:r>
      <w:bookmarkEnd w:id="78"/>
      <w:bookmarkEnd w:id="79"/>
      <w:bookmarkEnd w:id="80"/>
      <w:bookmarkEnd w:id="81"/>
    </w:p>
    <w:p w:rsidR="004C688B" w:rsidRPr="004C688B" w:rsidRDefault="004C688B" w:rsidP="004C688B">
      <w:pPr>
        <w:pStyle w:val="NormalText"/>
        <w:rPr>
          <w:lang w:eastAsia="en-AU"/>
        </w:rPr>
      </w:pPr>
      <w:r w:rsidRPr="00B76694">
        <w:rPr>
          <w:lang w:eastAsia="en-AU"/>
        </w:rPr>
        <w:t xml:space="preserve">Further information on the risk assessment for terrestrial vertebrates </w:t>
      </w:r>
      <w:r>
        <w:rPr>
          <w:lang w:eastAsia="en-AU"/>
        </w:rPr>
        <w:t>is</w:t>
      </w:r>
      <w:r w:rsidRPr="00B76694">
        <w:rPr>
          <w:lang w:eastAsia="en-AU"/>
        </w:rPr>
        <w:t xml:space="preserve"> provided in </w:t>
      </w:r>
      <w:r>
        <w:rPr>
          <w:lang w:eastAsia="en-AU"/>
        </w:rPr>
        <w:t>t</w:t>
      </w:r>
      <w:r w:rsidRPr="0073131B">
        <w:rPr>
          <w:lang w:eastAsia="en-AU"/>
        </w:rPr>
        <w:t>he APVMA framework ‘Roadmap for insect pollinator risk assessment’ in Australia</w:t>
      </w:r>
      <w:r>
        <w:rPr>
          <w:lang w:eastAsia="en-AU"/>
        </w:rPr>
        <w:t>.</w:t>
      </w:r>
    </w:p>
    <w:p w:rsidR="003E14E0" w:rsidRPr="00765768" w:rsidRDefault="003E14E0" w:rsidP="003E14E0">
      <w:pPr>
        <w:pStyle w:val="Heading3"/>
        <w:ind w:left="900" w:hanging="900"/>
      </w:pPr>
      <w:bookmarkStart w:id="82" w:name="_Toc516737118"/>
      <w:bookmarkStart w:id="83" w:name="_Toc516740350"/>
      <w:bookmarkStart w:id="84" w:name="_Toc526432197"/>
      <w:r w:rsidRPr="00765768">
        <w:t xml:space="preserve">Assessment </w:t>
      </w:r>
      <w:r w:rsidR="00A8423E">
        <w:t>a</w:t>
      </w:r>
      <w:r w:rsidRPr="00765768">
        <w:t>pproach</w:t>
      </w:r>
      <w:bookmarkEnd w:id="82"/>
      <w:bookmarkEnd w:id="83"/>
      <w:bookmarkEnd w:id="84"/>
    </w:p>
    <w:p w:rsidR="003E14E0" w:rsidRPr="00B94EB4" w:rsidRDefault="003E14E0" w:rsidP="003E14E0">
      <w:pPr>
        <w:pStyle w:val="NormalText"/>
        <w:rPr>
          <w:lang w:eastAsia="en-AU"/>
        </w:rPr>
      </w:pPr>
      <w:r>
        <w:rPr>
          <w:lang w:eastAsia="en-AU"/>
        </w:rPr>
        <w:t>Assessment is undertaken through the following approach:</w:t>
      </w:r>
    </w:p>
    <w:p w:rsidR="003E14E0" w:rsidRPr="00B94EB4" w:rsidRDefault="003E14E0" w:rsidP="003E14E0">
      <w:pPr>
        <w:pStyle w:val="Bullet1"/>
        <w:ind w:left="714" w:hanging="357"/>
      </w:pPr>
      <w:r>
        <w:t xml:space="preserve">The application is assessed through understanding whether the </w:t>
      </w:r>
      <w:r w:rsidRPr="00B94EB4">
        <w:t xml:space="preserve">active </w:t>
      </w:r>
      <w:r>
        <w:t>component</w:t>
      </w:r>
      <w:r w:rsidRPr="00B94EB4">
        <w:t xml:space="preserve"> present</w:t>
      </w:r>
      <w:r>
        <w:t>s</w:t>
      </w:r>
      <w:r w:rsidRPr="00B94EB4">
        <w:t xml:space="preserve"> a risk to non-target species based on use, chem</w:t>
      </w:r>
      <w:r>
        <w:t>istry, fate and transport based on</w:t>
      </w:r>
      <w:r w:rsidRPr="00B94EB4">
        <w:t xml:space="preserve"> </w:t>
      </w:r>
      <w:r>
        <w:t>s</w:t>
      </w:r>
      <w:r w:rsidRPr="00B94EB4">
        <w:t>tandard calculations</w:t>
      </w:r>
      <w:r>
        <w:t>.</w:t>
      </w:r>
    </w:p>
    <w:p w:rsidR="003E14E0" w:rsidRPr="00B94EB4" w:rsidRDefault="003E14E0" w:rsidP="003E14E0">
      <w:pPr>
        <w:pStyle w:val="Bullet1"/>
        <w:ind w:left="714" w:hanging="357"/>
      </w:pPr>
      <w:r>
        <w:t>Examine the s</w:t>
      </w:r>
      <w:r w:rsidRPr="00B94EB4">
        <w:t>creening asse</w:t>
      </w:r>
      <w:r>
        <w:t xml:space="preserve">ssment that has been undertaken, particularly looking at </w:t>
      </w:r>
      <w:r w:rsidRPr="00B94EB4">
        <w:t>where is the data referenced</w:t>
      </w:r>
      <w:r>
        <w:t>.</w:t>
      </w:r>
    </w:p>
    <w:p w:rsidR="003E14E0" w:rsidRPr="0073131B" w:rsidRDefault="003E14E0" w:rsidP="003E14E0">
      <w:pPr>
        <w:pStyle w:val="Bullet1"/>
        <w:ind w:left="714" w:hanging="357"/>
      </w:pPr>
      <w:r w:rsidRPr="0073131B">
        <w:t xml:space="preserve">Determination of the </w:t>
      </w:r>
      <w:r>
        <w:t xml:space="preserve">potential </w:t>
      </w:r>
      <w:r w:rsidRPr="0073131B">
        <w:t>exposure pathway to bees</w:t>
      </w:r>
      <w:r>
        <w:t xml:space="preserve"> is assessed and </w:t>
      </w:r>
      <w:r w:rsidRPr="0073131B">
        <w:t xml:space="preserve">whether exposure </w:t>
      </w:r>
      <w:r>
        <w:t xml:space="preserve">is </w:t>
      </w:r>
      <w:r w:rsidRPr="0073131B">
        <w:t>during the flowering stage of the plant</w:t>
      </w:r>
      <w:r>
        <w:t xml:space="preserve">. </w:t>
      </w:r>
      <w:r w:rsidRPr="0073131B">
        <w:t xml:space="preserve">The APVMA framework ‘Roadmap for insect pollinator risk assessment’ in Australia (APVMA, 205) </w:t>
      </w:r>
      <w:r>
        <w:t xml:space="preserve">is used </w:t>
      </w:r>
      <w:r w:rsidRPr="0073131B">
        <w:t>for the assessment of the risk to bees from the proposed use of the product.</w:t>
      </w:r>
    </w:p>
    <w:p w:rsidR="003E14E0" w:rsidRPr="00B94EB4" w:rsidRDefault="003E14E0" w:rsidP="003E14E0">
      <w:pPr>
        <w:pStyle w:val="Bullet1"/>
        <w:ind w:left="714" w:hanging="357"/>
      </w:pPr>
      <w:r w:rsidRPr="00B94EB4">
        <w:t>If data is not provided or clear statements that other non-target arthropods are not at risk, then an assessment will need to be undertaken</w:t>
      </w:r>
      <w:r>
        <w:t>.</w:t>
      </w:r>
    </w:p>
    <w:p w:rsidR="003E14E0" w:rsidRPr="00B94EB4" w:rsidRDefault="003E14E0" w:rsidP="003E14E0">
      <w:pPr>
        <w:pStyle w:val="NormalText"/>
        <w:rPr>
          <w:szCs w:val="22"/>
        </w:rPr>
      </w:pPr>
      <w:r w:rsidRPr="00B94EB4">
        <w:rPr>
          <w:szCs w:val="22"/>
        </w:rPr>
        <w:t>Tabulate</w:t>
      </w:r>
      <w:r w:rsidR="004C688B">
        <w:rPr>
          <w:szCs w:val="22"/>
        </w:rPr>
        <w:t>d</w:t>
      </w:r>
      <w:r w:rsidRPr="00B94EB4">
        <w:rPr>
          <w:szCs w:val="22"/>
        </w:rPr>
        <w:t xml:space="preserve"> risk assessment demonstrates which effects endpoints were used and associated assessment factors, derivation of RAC (LD50/2.5, NOEC/1), how exposure estimates were determined (may require footnotes to describe the assumptions), and resulting risk quotients (acceptable RQ ≤1.0). What are overall conclusions on risk? Is hazard or risk mitigation labelling required?</w:t>
      </w:r>
    </w:p>
    <w:p w:rsidR="003E14E0" w:rsidRPr="00020DB2" w:rsidRDefault="003E14E0" w:rsidP="003E14E0">
      <w:pPr>
        <w:pStyle w:val="Heading3"/>
        <w:ind w:left="900" w:hanging="900"/>
      </w:pPr>
      <w:bookmarkStart w:id="85" w:name="_Toc516737119"/>
      <w:bookmarkStart w:id="86" w:name="_Toc516740351"/>
      <w:bookmarkStart w:id="87" w:name="_Toc526432198"/>
      <w:r w:rsidRPr="00020DB2">
        <w:t xml:space="preserve">Calculation </w:t>
      </w:r>
      <w:r w:rsidR="00A8423E">
        <w:t>a</w:t>
      </w:r>
      <w:r w:rsidRPr="00020DB2">
        <w:t>pproaches</w:t>
      </w:r>
      <w:bookmarkEnd w:id="85"/>
      <w:bookmarkEnd w:id="86"/>
      <w:bookmarkEnd w:id="87"/>
    </w:p>
    <w:p w:rsidR="003E14E0" w:rsidRPr="00EF45FD" w:rsidRDefault="003E14E0" w:rsidP="00EF45FD">
      <w:pPr>
        <w:pStyle w:val="NormalText"/>
        <w:rPr>
          <w:i/>
        </w:rPr>
      </w:pPr>
      <w:r w:rsidRPr="00EF45FD">
        <w:rPr>
          <w:i/>
        </w:rPr>
        <w:t>Adult bee contact exposure</w:t>
      </w:r>
    </w:p>
    <w:p w:rsidR="003E14E0" w:rsidRPr="0073131B" w:rsidRDefault="003E14E0" w:rsidP="00EF45FD">
      <w:pPr>
        <w:pStyle w:val="NormalText"/>
      </w:pPr>
      <w:r w:rsidRPr="0073131B">
        <w:t>PEC</w:t>
      </w:r>
      <w:r w:rsidRPr="0073131B">
        <w:rPr>
          <w:vertAlign w:val="subscript"/>
        </w:rPr>
        <w:t>(contact)</w:t>
      </w:r>
      <w:r w:rsidRPr="0073131B">
        <w:t xml:space="preserve"> = AR × 2.4 µg ac/bee</w:t>
      </w:r>
    </w:p>
    <w:p w:rsidR="003E14E0" w:rsidRPr="0073131B" w:rsidRDefault="003E14E0" w:rsidP="00EF45FD">
      <w:pPr>
        <w:pStyle w:val="NormalText"/>
      </w:pPr>
      <w:r w:rsidRPr="0073131B">
        <w:t>Where: AR = application rate (normalised to 1 kg ac/ha)</w:t>
      </w:r>
    </w:p>
    <w:p w:rsidR="003E14E0" w:rsidRPr="0073131B" w:rsidRDefault="003E14E0" w:rsidP="00EF45FD">
      <w:pPr>
        <w:pStyle w:val="NormalText"/>
      </w:pPr>
      <w:r w:rsidRPr="0073131B">
        <w:t xml:space="preserve">The risk quotient </w:t>
      </w:r>
      <w:r>
        <w:t>is</w:t>
      </w:r>
      <w:r w:rsidRPr="0073131B">
        <w:t xml:space="preserve"> calculated by comparing the PEC</w:t>
      </w:r>
      <w:r w:rsidRPr="0073131B">
        <w:rPr>
          <w:vertAlign w:val="subscript"/>
        </w:rPr>
        <w:t>(contact)</w:t>
      </w:r>
      <w:r w:rsidRPr="0073131B">
        <w:t xml:space="preserve"> with the adult contact LD50:</w:t>
      </w:r>
    </w:p>
    <w:p w:rsidR="003E14E0" w:rsidRPr="0073131B" w:rsidRDefault="003E14E0" w:rsidP="00EF45FD">
      <w:pPr>
        <w:pStyle w:val="NormalText"/>
        <w:rPr>
          <w:vertAlign w:val="subscript"/>
        </w:rPr>
      </w:pPr>
      <w:r w:rsidRPr="0073131B">
        <w:t>RQ = PEC</w:t>
      </w:r>
      <w:r w:rsidRPr="0073131B">
        <w:rPr>
          <w:vertAlign w:val="subscript"/>
        </w:rPr>
        <w:t>(contact)</w:t>
      </w:r>
      <w:r w:rsidRPr="0073131B">
        <w:t>/LD</w:t>
      </w:r>
      <w:r w:rsidRPr="0073131B">
        <w:rPr>
          <w:vertAlign w:val="subscript"/>
        </w:rPr>
        <w:t>50(contact)</w:t>
      </w:r>
    </w:p>
    <w:p w:rsidR="003E14E0" w:rsidRPr="0073131B" w:rsidRDefault="003E14E0" w:rsidP="00EF45FD">
      <w:pPr>
        <w:pStyle w:val="NormalText"/>
        <w:rPr>
          <w:rStyle w:val="ATChar"/>
          <w:rFonts w:eastAsia="Trebuchet MS"/>
        </w:rPr>
      </w:pPr>
      <w:r w:rsidRPr="0073131B">
        <w:lastRenderedPageBreak/>
        <w:t>The RQ is then compared to the level of concern (LOC) for interpretation. Currently Australia uses a standard LOC of 1.0 for the honey bee contact and oral risk assessment (EPHC, 2009).</w:t>
      </w:r>
    </w:p>
    <w:p w:rsidR="003E14E0" w:rsidRPr="00EF45FD" w:rsidRDefault="003E14E0" w:rsidP="00EF45FD">
      <w:pPr>
        <w:pStyle w:val="NormalText"/>
        <w:rPr>
          <w:i/>
        </w:rPr>
      </w:pPr>
      <w:r w:rsidRPr="00EF45FD">
        <w:rPr>
          <w:i/>
        </w:rPr>
        <w:t>Adult bee oral exposure</w:t>
      </w:r>
    </w:p>
    <w:p w:rsidR="003E14E0" w:rsidRPr="0073131B" w:rsidRDefault="0086416E" w:rsidP="00EF45FD">
      <w:pPr>
        <w:pStyle w:val="NormalText"/>
        <w:rPr>
          <w:rFonts w:ascii="Cambria Math" w:hAnsi="Cambria Math"/>
          <w:oMath/>
        </w:rPr>
      </w:pPr>
      <m:oMathPara>
        <m:oMath>
          <m:sSub>
            <m:sSubPr>
              <m:ctrlPr>
                <w:rPr>
                  <w:rFonts w:ascii="Cambria Math" w:hAnsi="Cambria Math"/>
                </w:rPr>
              </m:ctrlPr>
            </m:sSubPr>
            <m:e>
              <m:r>
                <m:rPr>
                  <m:nor/>
                </m:rPr>
                <m:t>PEC</m:t>
              </m:r>
            </m:e>
            <m:sub>
              <m:r>
                <m:rPr>
                  <m:nor/>
                </m:rPr>
                <m:t xml:space="preserve">(oral) </m:t>
              </m:r>
            </m:sub>
          </m:sSub>
          <m:r>
            <m:rPr>
              <m:nor/>
            </m:rPr>
            <m:t>= AR ×</m:t>
          </m:r>
          <m:d>
            <m:dPr>
              <m:ctrlPr>
                <w:rPr>
                  <w:rFonts w:ascii="Cambria Math" w:hAnsi="Cambria Math"/>
                </w:rPr>
              </m:ctrlPr>
            </m:dPr>
            <m:e>
              <m:r>
                <m:rPr>
                  <m:nor/>
                </m:rPr>
                <m:t>98</m:t>
              </m:r>
              <m:f>
                <m:fPr>
                  <m:ctrlPr>
                    <w:rPr>
                      <w:rFonts w:ascii="Cambria Math" w:hAnsi="Cambria Math"/>
                    </w:rPr>
                  </m:ctrlPr>
                </m:fPr>
                <m:num>
                  <m:r>
                    <m:rPr>
                      <m:nor/>
                    </m:rPr>
                    <m:t>μg ac</m:t>
                  </m:r>
                </m:num>
                <m:den>
                  <m:r>
                    <m:rPr>
                      <m:nor/>
                    </m:rPr>
                    <m:t>g</m:t>
                  </m:r>
                </m:den>
              </m:f>
            </m:e>
          </m:d>
          <m:r>
            <m:rPr>
              <m:nor/>
            </m:rPr>
            <m:t xml:space="preserve"> × 0.292</m:t>
          </m:r>
          <m:f>
            <m:fPr>
              <m:ctrlPr>
                <w:rPr>
                  <w:rFonts w:ascii="Cambria Math" w:hAnsi="Cambria Math"/>
                </w:rPr>
              </m:ctrlPr>
            </m:fPr>
            <m:num>
              <m:r>
                <m:rPr>
                  <m:nor/>
                </m:rPr>
                <m:t>g</m:t>
              </m:r>
            </m:num>
            <m:den>
              <m:r>
                <m:rPr>
                  <m:nor/>
                </m:rPr>
                <m:t>day</m:t>
              </m:r>
            </m:den>
          </m:f>
        </m:oMath>
      </m:oMathPara>
    </w:p>
    <w:p w:rsidR="003E14E0" w:rsidRPr="0073131B" w:rsidRDefault="003E14E0" w:rsidP="00EF45FD">
      <w:pPr>
        <w:pStyle w:val="NormalText"/>
      </w:pPr>
      <w:r w:rsidRPr="0073131B">
        <w:t>For acute oral risk assessment the PEC</w:t>
      </w:r>
      <w:r w:rsidRPr="0073131B">
        <w:rPr>
          <w:vertAlign w:val="subscript"/>
        </w:rPr>
        <w:t>(oral)</w:t>
      </w:r>
      <w:r w:rsidRPr="0073131B">
        <w:t xml:space="preserve"> is compared to the adult acute oral LD50:</w:t>
      </w:r>
    </w:p>
    <w:p w:rsidR="003E14E0" w:rsidRPr="0073131B" w:rsidRDefault="003E14E0" w:rsidP="00EF45FD">
      <w:pPr>
        <w:pStyle w:val="NormalText"/>
      </w:pPr>
      <w:r w:rsidRPr="0073131B">
        <w:t>RQ = PEC</w:t>
      </w:r>
      <w:r w:rsidRPr="0073131B">
        <w:rPr>
          <w:vertAlign w:val="subscript"/>
        </w:rPr>
        <w:t>(oral)</w:t>
      </w:r>
      <w:r w:rsidRPr="0073131B">
        <w:t>/LD</w:t>
      </w:r>
      <w:r w:rsidRPr="0073131B">
        <w:rPr>
          <w:vertAlign w:val="subscript"/>
        </w:rPr>
        <w:t>50(oral)</w:t>
      </w:r>
    </w:p>
    <w:p w:rsidR="003E14E0" w:rsidRPr="0073131B" w:rsidRDefault="003E14E0" w:rsidP="00EF45FD">
      <w:pPr>
        <w:pStyle w:val="NormalText"/>
      </w:pPr>
      <w:r w:rsidRPr="0073131B">
        <w:t xml:space="preserve">The RQ is then compared to the level of concern (LOC) for interpretation. Currently, Australia uses a standard LOC of 1.0 for the honey bee oral risk assessment (EPHC, 2009). </w:t>
      </w:r>
    </w:p>
    <w:p w:rsidR="003E14E0" w:rsidRPr="00020DB2" w:rsidRDefault="003E14E0" w:rsidP="003E14E0">
      <w:pPr>
        <w:pStyle w:val="Heading3"/>
        <w:ind w:left="900" w:hanging="900"/>
      </w:pPr>
      <w:bookmarkStart w:id="88" w:name="_Toc516737120"/>
      <w:bookmarkStart w:id="89" w:name="_Toc516740352"/>
      <w:bookmarkStart w:id="90" w:name="_Toc526432199"/>
      <w:r>
        <w:t>Conclusions</w:t>
      </w:r>
      <w:bookmarkEnd w:id="88"/>
      <w:bookmarkEnd w:id="89"/>
      <w:bookmarkEnd w:id="90"/>
    </w:p>
    <w:p w:rsidR="003E14E0" w:rsidRDefault="003E14E0" w:rsidP="00EF45FD">
      <w:pPr>
        <w:pStyle w:val="NormalText"/>
      </w:pPr>
      <w:r>
        <w:t>Th</w:t>
      </w:r>
      <w:r w:rsidRPr="00B94EB4">
        <w:t>e overall conclusions on risk</w:t>
      </w:r>
      <w:r>
        <w:t xml:space="preserve"> are described. Including any requirement for </w:t>
      </w:r>
      <w:r w:rsidRPr="00B94EB4">
        <w:t xml:space="preserve">hazard </w:t>
      </w:r>
      <w:r>
        <w:t>and</w:t>
      </w:r>
      <w:r w:rsidRPr="00B94EB4">
        <w:t xml:space="preserve"> risk mitigation labelling</w:t>
      </w:r>
      <w:r>
        <w:t>.</w:t>
      </w:r>
    </w:p>
    <w:p w:rsidR="003E14E0" w:rsidRPr="00EF45FD" w:rsidRDefault="003E14E0" w:rsidP="00EF45FD">
      <w:pPr>
        <w:pStyle w:val="Heading3"/>
        <w:ind w:left="900" w:hanging="900"/>
      </w:pPr>
      <w:bookmarkStart w:id="91" w:name="_Toc516740353"/>
      <w:bookmarkStart w:id="92" w:name="_Toc526432200"/>
      <w:r w:rsidRPr="00EF45FD">
        <w:t>References</w:t>
      </w:r>
      <w:bookmarkEnd w:id="91"/>
      <w:bookmarkEnd w:id="92"/>
    </w:p>
    <w:p w:rsidR="003E14E0" w:rsidRPr="00B94EB4" w:rsidRDefault="003E14E0" w:rsidP="00EF45FD">
      <w:pPr>
        <w:pStyle w:val="NormalText"/>
      </w:pPr>
      <w:r w:rsidRPr="00B94EB4">
        <w:t>Relevant guidance documents for risk assessment:</w:t>
      </w:r>
    </w:p>
    <w:p w:rsidR="003E14E0" w:rsidRPr="0085106E" w:rsidRDefault="0086416E" w:rsidP="0085106E">
      <w:pPr>
        <w:rPr>
          <w:rStyle w:val="Hyperlink"/>
        </w:rPr>
      </w:pPr>
      <w:hyperlink r:id="rId44" w:history="1">
        <w:r w:rsidR="003E14E0" w:rsidRPr="0085106E">
          <w:rPr>
            <w:rStyle w:val="Hyperlink"/>
          </w:rPr>
          <w:t>https://apvma.gov.au/node/18536</w:t>
        </w:r>
      </w:hyperlink>
      <w:r w:rsidR="003E14E0" w:rsidRPr="0085106E">
        <w:rPr>
          <w:rStyle w:val="Hyperlink"/>
        </w:rPr>
        <w:t xml:space="preserve"> </w:t>
      </w:r>
    </w:p>
    <w:p w:rsidR="003E14E0" w:rsidRPr="0085106E" w:rsidRDefault="0086416E" w:rsidP="0085106E">
      <w:pPr>
        <w:rPr>
          <w:rStyle w:val="Hyperlink"/>
        </w:rPr>
      </w:pPr>
      <w:hyperlink r:id="rId45" w:history="1">
        <w:r w:rsidR="003E14E0" w:rsidRPr="0085106E">
          <w:rPr>
            <w:rStyle w:val="Hyperlink"/>
          </w:rPr>
          <w:t>http://onlinelibrary.wiley.com/doi/10.1111/j.1365-2338.2010.02419.x/epdf</w:t>
        </w:r>
      </w:hyperlink>
      <w:r w:rsidR="003E14E0" w:rsidRPr="0085106E">
        <w:rPr>
          <w:rStyle w:val="Hyperlink"/>
        </w:rPr>
        <w:t xml:space="preserve"> </w:t>
      </w:r>
    </w:p>
    <w:p w:rsidR="003E14E0" w:rsidRPr="0085106E" w:rsidRDefault="0086416E" w:rsidP="0085106E">
      <w:pPr>
        <w:rPr>
          <w:rStyle w:val="Hyperlink"/>
        </w:rPr>
      </w:pPr>
      <w:hyperlink r:id="rId46" w:history="1">
        <w:r w:rsidR="003E14E0" w:rsidRPr="0085106E">
          <w:rPr>
            <w:rStyle w:val="Hyperlink"/>
          </w:rPr>
          <w:t>http://www2.epa.gov/sites/production/files/2014-06/documents/pollinator_risk_assessment_guidance_06_19_14.pdf</w:t>
        </w:r>
      </w:hyperlink>
      <w:r w:rsidR="003E14E0" w:rsidRPr="0085106E">
        <w:rPr>
          <w:rStyle w:val="Hyperlink"/>
        </w:rPr>
        <w:t xml:space="preserve"> </w:t>
      </w:r>
    </w:p>
    <w:p w:rsidR="003E14E0" w:rsidRPr="0085106E" w:rsidRDefault="0086416E" w:rsidP="0085106E">
      <w:pPr>
        <w:rPr>
          <w:rStyle w:val="Hyperlink"/>
        </w:rPr>
      </w:pPr>
      <w:hyperlink r:id="rId47" w:history="1">
        <w:r w:rsidR="003E14E0" w:rsidRPr="0085106E">
          <w:rPr>
            <w:rStyle w:val="Hyperlink"/>
          </w:rPr>
          <w:t>http://www.oecd.org/chemicalsafety/pesticides-biocides/work-related-beespollinators.htm</w:t>
        </w:r>
      </w:hyperlink>
      <w:r w:rsidR="003E14E0" w:rsidRPr="0085106E">
        <w:rPr>
          <w:rStyle w:val="Hyperlink"/>
        </w:rPr>
        <w:t xml:space="preserve"> </w:t>
      </w:r>
    </w:p>
    <w:p w:rsidR="003E14E0" w:rsidRPr="0085106E" w:rsidRDefault="0086416E" w:rsidP="0085106E">
      <w:pPr>
        <w:rPr>
          <w:rStyle w:val="Hyperlink"/>
        </w:rPr>
      </w:pPr>
      <w:hyperlink r:id="rId48" w:history="1">
        <w:r w:rsidR="003E14E0" w:rsidRPr="0085106E">
          <w:rPr>
            <w:rStyle w:val="Hyperlink"/>
          </w:rPr>
          <w:t>https://www.epa.gov/pollinator-protection/pollinator-risk-assessment-guidance</w:t>
        </w:r>
      </w:hyperlink>
      <w:r w:rsidR="003E14E0" w:rsidRPr="0085106E">
        <w:rPr>
          <w:rStyle w:val="Hyperlink"/>
        </w:rPr>
        <w:t xml:space="preserve"> </w:t>
      </w:r>
    </w:p>
    <w:p w:rsidR="003E14E0" w:rsidRPr="0085106E" w:rsidRDefault="0086416E" w:rsidP="0085106E">
      <w:pPr>
        <w:rPr>
          <w:rStyle w:val="Hyperlink"/>
        </w:rPr>
      </w:pPr>
      <w:hyperlink r:id="rId49" w:history="1">
        <w:r w:rsidR="003E14E0" w:rsidRPr="0085106E">
          <w:rPr>
            <w:rStyle w:val="Hyperlink"/>
          </w:rPr>
          <w:t>http://archives.eppo.int/EPPOStandards/era.htm</w:t>
        </w:r>
      </w:hyperlink>
      <w:r w:rsidR="003E14E0" w:rsidRPr="0085106E">
        <w:rPr>
          <w:rStyle w:val="Hyperlink"/>
        </w:rPr>
        <w:t xml:space="preserve"> </w:t>
      </w:r>
    </w:p>
    <w:p w:rsidR="003E14E0" w:rsidRPr="00120D98" w:rsidRDefault="0086416E" w:rsidP="0085106E">
      <w:pPr>
        <w:rPr>
          <w:rStyle w:val="Hyperlink"/>
        </w:rPr>
      </w:pPr>
      <w:hyperlink r:id="rId50" w:history="1">
        <w:r w:rsidR="003E14E0" w:rsidRPr="0085106E">
          <w:rPr>
            <w:rStyle w:val="Hyperlink"/>
          </w:rPr>
          <w:t>https://ec.europa.eu/food/sites/food/files/plant/docs/pesticides_ppp_app-proc_guide_ecotox_terrestrial.pdf</w:t>
        </w:r>
      </w:hyperlink>
    </w:p>
    <w:p w:rsidR="003E14E0" w:rsidRDefault="003E14E0" w:rsidP="003E14E0">
      <w:pPr>
        <w:pStyle w:val="Heading2"/>
      </w:pPr>
      <w:bookmarkStart w:id="93" w:name="_Toc504046802"/>
      <w:bookmarkStart w:id="94" w:name="_Toc516737121"/>
      <w:bookmarkStart w:id="95" w:name="_Toc516740354"/>
      <w:bookmarkStart w:id="96" w:name="_Toc526432201"/>
      <w:r w:rsidRPr="00B94EB4">
        <w:t>Other non-target arthropods</w:t>
      </w:r>
      <w:bookmarkEnd w:id="93"/>
      <w:bookmarkEnd w:id="94"/>
      <w:bookmarkEnd w:id="95"/>
      <w:bookmarkEnd w:id="96"/>
    </w:p>
    <w:p w:rsidR="00B06AAB" w:rsidRPr="00306307" w:rsidRDefault="00B06AAB" w:rsidP="00B06AAB">
      <w:pPr>
        <w:pStyle w:val="NormalText"/>
      </w:pPr>
      <w:r w:rsidRPr="00306307">
        <w:t>Further information on the risk assessment for terrestrial vertebrates provided in Appendix B.</w:t>
      </w:r>
    </w:p>
    <w:p w:rsidR="003E14E0" w:rsidRPr="00765768" w:rsidRDefault="003E14E0" w:rsidP="003E14E0">
      <w:pPr>
        <w:pStyle w:val="Heading3"/>
        <w:ind w:left="900" w:hanging="900"/>
      </w:pPr>
      <w:bookmarkStart w:id="97" w:name="_Toc516737122"/>
      <w:bookmarkStart w:id="98" w:name="_Toc516740355"/>
      <w:bookmarkStart w:id="99" w:name="_Toc526432202"/>
      <w:r w:rsidRPr="00765768">
        <w:t xml:space="preserve">Assessment </w:t>
      </w:r>
      <w:r w:rsidR="00A8423E">
        <w:t>a</w:t>
      </w:r>
      <w:r w:rsidRPr="00765768">
        <w:t>pproach</w:t>
      </w:r>
      <w:bookmarkEnd w:id="97"/>
      <w:bookmarkEnd w:id="98"/>
      <w:bookmarkEnd w:id="99"/>
    </w:p>
    <w:p w:rsidR="003E14E0" w:rsidRPr="00B94EB4" w:rsidRDefault="001F1EB2" w:rsidP="00EF45FD">
      <w:pPr>
        <w:pStyle w:val="NormalText"/>
        <w:rPr>
          <w:lang w:eastAsia="en-AU"/>
        </w:rPr>
      </w:pPr>
      <w:r>
        <w:rPr>
          <w:szCs w:val="22"/>
        </w:rPr>
        <w:t>Products</w:t>
      </w:r>
      <w:r w:rsidRPr="00FA4193">
        <w:rPr>
          <w:szCs w:val="22"/>
        </w:rPr>
        <w:t xml:space="preserve"> that are used as prescribed</w:t>
      </w:r>
      <w:r>
        <w:rPr>
          <w:szCs w:val="22"/>
        </w:rPr>
        <w:t xml:space="preserve"> </w:t>
      </w:r>
      <w:r w:rsidRPr="00FA4193">
        <w:rPr>
          <w:szCs w:val="22"/>
        </w:rPr>
        <w:t>should not cause unacceptable effects on populations of non</w:t>
      </w:r>
      <w:r>
        <w:rPr>
          <w:szCs w:val="22"/>
        </w:rPr>
        <w:t>-</w:t>
      </w:r>
      <w:r w:rsidRPr="00FA4193">
        <w:rPr>
          <w:szCs w:val="22"/>
        </w:rPr>
        <w:t>target</w:t>
      </w:r>
      <w:r>
        <w:rPr>
          <w:szCs w:val="22"/>
        </w:rPr>
        <w:t xml:space="preserve"> </w:t>
      </w:r>
      <w:r w:rsidRPr="00FA4193">
        <w:rPr>
          <w:szCs w:val="22"/>
        </w:rPr>
        <w:t>arthropods both in- and off-field</w:t>
      </w:r>
      <w:r>
        <w:rPr>
          <w:lang w:eastAsia="en-AU"/>
        </w:rPr>
        <w:t xml:space="preserve">. </w:t>
      </w:r>
      <w:r w:rsidR="003E14E0">
        <w:rPr>
          <w:lang w:eastAsia="en-AU"/>
        </w:rPr>
        <w:t xml:space="preserve">The approach determines whether </w:t>
      </w:r>
      <w:r w:rsidR="003E14E0" w:rsidRPr="00B94EB4">
        <w:rPr>
          <w:lang w:eastAsia="en-AU"/>
        </w:rPr>
        <w:t xml:space="preserve">the application and active </w:t>
      </w:r>
      <w:r w:rsidR="003E14E0">
        <w:rPr>
          <w:lang w:eastAsia="en-AU"/>
        </w:rPr>
        <w:t>component</w:t>
      </w:r>
      <w:r w:rsidR="003E14E0" w:rsidRPr="00B94EB4">
        <w:rPr>
          <w:lang w:eastAsia="en-AU"/>
        </w:rPr>
        <w:t xml:space="preserve"> present a risk to non-target species based on use, chemistry, fate and transport</w:t>
      </w:r>
      <w:r w:rsidR="003E14E0">
        <w:rPr>
          <w:lang w:eastAsia="en-AU"/>
        </w:rPr>
        <w:t xml:space="preserve"> and s</w:t>
      </w:r>
      <w:r w:rsidR="003E14E0" w:rsidRPr="00B94EB4">
        <w:rPr>
          <w:lang w:eastAsia="en-AU"/>
        </w:rPr>
        <w:t>tandard calculations</w:t>
      </w:r>
      <w:r w:rsidR="003E14E0">
        <w:rPr>
          <w:lang w:eastAsia="en-AU"/>
        </w:rPr>
        <w:t>.</w:t>
      </w:r>
    </w:p>
    <w:p w:rsidR="001F1EB2" w:rsidRDefault="005B2937" w:rsidP="00EF45FD">
      <w:pPr>
        <w:pStyle w:val="NormalText"/>
        <w:rPr>
          <w:lang w:eastAsia="en-AU"/>
        </w:rPr>
      </w:pPr>
      <w:r w:rsidRPr="009C1535">
        <w:rPr>
          <w:lang w:eastAsia="en-AU"/>
        </w:rPr>
        <w:t>If data is not provided or clear statements that other non-target arthropods are not at risk, then an assessment will need to be undertaken. Indoor uses are generally considered to have negligible exposure to natural populations.</w:t>
      </w:r>
      <w:r>
        <w:rPr>
          <w:lang w:eastAsia="en-AU"/>
        </w:rPr>
        <w:t xml:space="preserve"> </w:t>
      </w:r>
      <w:r w:rsidR="001F1EB2">
        <w:rPr>
          <w:lang w:eastAsia="en-AU"/>
        </w:rPr>
        <w:t>A tiered approach is undertaken.</w:t>
      </w:r>
    </w:p>
    <w:p w:rsidR="005B2937" w:rsidRPr="009C1535" w:rsidRDefault="001F1EB2" w:rsidP="005B2937">
      <w:pPr>
        <w:pStyle w:val="NormalText"/>
      </w:pPr>
      <w:r w:rsidRPr="00306307">
        <w:rPr>
          <w:b/>
          <w:lang w:eastAsia="en-AU"/>
        </w:rPr>
        <w:t>Tier 1</w:t>
      </w:r>
      <w:r>
        <w:rPr>
          <w:lang w:eastAsia="en-AU"/>
        </w:rPr>
        <w:t xml:space="preserve"> </w:t>
      </w:r>
      <w:r w:rsidR="009C1535" w:rsidRPr="00FA4193">
        <w:rPr>
          <w:szCs w:val="22"/>
        </w:rPr>
        <w:t>laboratory test is a dose–response test assessing</w:t>
      </w:r>
      <w:r w:rsidR="009C1535">
        <w:rPr>
          <w:szCs w:val="22"/>
        </w:rPr>
        <w:t xml:space="preserve"> </w:t>
      </w:r>
      <w:r w:rsidR="009C1535" w:rsidRPr="00FA4193">
        <w:rPr>
          <w:szCs w:val="22"/>
        </w:rPr>
        <w:t>lethal effects of the active substance on the test species. This</w:t>
      </w:r>
      <w:r w:rsidR="009C1535">
        <w:rPr>
          <w:szCs w:val="22"/>
        </w:rPr>
        <w:t xml:space="preserve"> </w:t>
      </w:r>
      <w:r w:rsidR="009C1535" w:rsidRPr="00FA4193">
        <w:rPr>
          <w:szCs w:val="22"/>
        </w:rPr>
        <w:t xml:space="preserve">tier has a screening character and is required for all </w:t>
      </w:r>
      <w:r w:rsidR="009C1535">
        <w:rPr>
          <w:szCs w:val="22"/>
        </w:rPr>
        <w:t>representative formulations</w:t>
      </w:r>
      <w:r w:rsidR="009C1535" w:rsidRPr="00FA4193">
        <w:rPr>
          <w:szCs w:val="22"/>
        </w:rPr>
        <w:t xml:space="preserve"> where </w:t>
      </w:r>
      <w:r w:rsidR="009C1535" w:rsidRPr="00FA4193">
        <w:rPr>
          <w:szCs w:val="22"/>
        </w:rPr>
        <w:lastRenderedPageBreak/>
        <w:t>exposure of</w:t>
      </w:r>
      <w:r w:rsidR="009C1535">
        <w:rPr>
          <w:szCs w:val="22"/>
        </w:rPr>
        <w:t xml:space="preserve"> </w:t>
      </w:r>
      <w:r w:rsidR="009C1535" w:rsidRPr="00FA4193">
        <w:rPr>
          <w:szCs w:val="22"/>
        </w:rPr>
        <w:t>non-target arthropods can occur.</w:t>
      </w:r>
      <w:r w:rsidR="005B2937" w:rsidRPr="005B2937">
        <w:t xml:space="preserve"> </w:t>
      </w:r>
      <w:r w:rsidR="005B2937">
        <w:t xml:space="preserve"> </w:t>
      </w:r>
      <w:r w:rsidR="005B2937" w:rsidRPr="009C1535">
        <w:t xml:space="preserve">Generally the LR50 in g/ha for sensitive arthropods (eg </w:t>
      </w:r>
      <w:r w:rsidR="005B2937" w:rsidRPr="009C1535">
        <w:rPr>
          <w:i/>
        </w:rPr>
        <w:t>Aphidius rhopalosiphi, Aleochara bilineata, Typhlodromus pyri</w:t>
      </w:r>
      <w:r w:rsidR="005B2937" w:rsidRPr="009C1535">
        <w:t>) is compared to the expected maximum rate of exposure. Exposure will be determined through the application and lifecycle of the application (such as whether an ingestation pathway, or spray exposure).</w:t>
      </w:r>
    </w:p>
    <w:p w:rsidR="001F1EB2" w:rsidRDefault="001F1EB2" w:rsidP="00FB32A1">
      <w:pPr>
        <w:pStyle w:val="NormalText"/>
        <w:tabs>
          <w:tab w:val="left" w:pos="1005"/>
        </w:tabs>
        <w:rPr>
          <w:lang w:eastAsia="en-AU"/>
        </w:rPr>
      </w:pPr>
      <w:r w:rsidRPr="00B06AAB">
        <w:rPr>
          <w:b/>
          <w:lang w:eastAsia="en-AU"/>
        </w:rPr>
        <w:t>Tier 2</w:t>
      </w:r>
      <w:r>
        <w:rPr>
          <w:lang w:eastAsia="en-AU"/>
        </w:rPr>
        <w:t xml:space="preserve"> </w:t>
      </w:r>
      <w:r w:rsidR="00FB32A1" w:rsidRPr="00B40EA8">
        <w:rPr>
          <w:szCs w:val="22"/>
        </w:rPr>
        <w:t>may comprise extended laboratory</w:t>
      </w:r>
      <w:r w:rsidR="00FB32A1">
        <w:rPr>
          <w:szCs w:val="22"/>
        </w:rPr>
        <w:t xml:space="preserve"> </w:t>
      </w:r>
      <w:r w:rsidR="00A8423E">
        <w:rPr>
          <w:szCs w:val="22"/>
        </w:rPr>
        <w:t>tests (eg</w:t>
      </w:r>
      <w:r w:rsidR="00FB32A1" w:rsidRPr="00B40EA8">
        <w:rPr>
          <w:szCs w:val="22"/>
        </w:rPr>
        <w:t xml:space="preserve"> on natural substrates), semi-field bioassays and field</w:t>
      </w:r>
      <w:r w:rsidR="00FB32A1">
        <w:rPr>
          <w:szCs w:val="22"/>
        </w:rPr>
        <w:t xml:space="preserve"> </w:t>
      </w:r>
      <w:r w:rsidR="00FB32A1" w:rsidRPr="00B40EA8">
        <w:rPr>
          <w:szCs w:val="22"/>
        </w:rPr>
        <w:t>experiments.</w:t>
      </w:r>
    </w:p>
    <w:p w:rsidR="00A67F75" w:rsidRDefault="001F1EB2" w:rsidP="00A67F75">
      <w:pPr>
        <w:pStyle w:val="NormalText"/>
      </w:pPr>
      <w:r w:rsidRPr="00B06AAB">
        <w:rPr>
          <w:b/>
          <w:lang w:eastAsia="en-AU"/>
        </w:rPr>
        <w:t>Tier 3</w:t>
      </w:r>
      <w:r>
        <w:rPr>
          <w:lang w:eastAsia="en-AU"/>
        </w:rPr>
        <w:t xml:space="preserve"> </w:t>
      </w:r>
      <w:r w:rsidR="00FB32A1">
        <w:rPr>
          <w:lang w:eastAsia="en-AU"/>
        </w:rPr>
        <w:t>consists of field trials based on effects on populations rather than on individuals.</w:t>
      </w:r>
      <w:r w:rsidR="00A67F75" w:rsidRPr="00A67F75">
        <w:t xml:space="preserve"> </w:t>
      </w:r>
    </w:p>
    <w:p w:rsidR="00A67F75" w:rsidRPr="00A67F75" w:rsidRDefault="00A67F75" w:rsidP="00A67F75">
      <w:pPr>
        <w:pStyle w:val="NormalText"/>
      </w:pPr>
      <w:r w:rsidRPr="00A67F75">
        <w:t xml:space="preserve">If the risk is acceptable in field it will be acceptable off-field so no further assessment will be required.  </w:t>
      </w:r>
    </w:p>
    <w:p w:rsidR="00A67F75" w:rsidRPr="00A67F75" w:rsidRDefault="00A67F75" w:rsidP="00A67F75">
      <w:pPr>
        <w:pStyle w:val="NormalText"/>
      </w:pPr>
      <w:r w:rsidRPr="00A67F75">
        <w:t xml:space="preserve">If reference products are provided for comparison, then risks are assessed whether they are higher or lower than the reference products.  </w:t>
      </w:r>
    </w:p>
    <w:p w:rsidR="003E14E0" w:rsidRPr="00A67F75" w:rsidRDefault="00A8423E" w:rsidP="003E14E0">
      <w:pPr>
        <w:pStyle w:val="Heading3"/>
        <w:ind w:left="900" w:hanging="900"/>
      </w:pPr>
      <w:bookmarkStart w:id="100" w:name="_Toc516737123"/>
      <w:bookmarkStart w:id="101" w:name="_Toc516740356"/>
      <w:bookmarkStart w:id="102" w:name="_Toc526432203"/>
      <w:r>
        <w:t>High l</w:t>
      </w:r>
      <w:r w:rsidR="00A67F75">
        <w:t xml:space="preserve">evel </w:t>
      </w:r>
      <w:r>
        <w:t>c</w:t>
      </w:r>
      <w:r w:rsidR="003E14E0" w:rsidRPr="00A67F75">
        <w:t xml:space="preserve">alculation </w:t>
      </w:r>
      <w:r>
        <w:t>a</w:t>
      </w:r>
      <w:r w:rsidR="003E14E0" w:rsidRPr="00A67F75">
        <w:t>pproaches</w:t>
      </w:r>
      <w:bookmarkEnd w:id="100"/>
      <w:bookmarkEnd w:id="101"/>
      <w:bookmarkEnd w:id="102"/>
    </w:p>
    <w:p w:rsidR="003E14E0" w:rsidRPr="008B68EB" w:rsidRDefault="003E14E0" w:rsidP="00EF45FD">
      <w:pPr>
        <w:pStyle w:val="NormalText"/>
      </w:pPr>
      <w:r w:rsidRPr="008B68EB">
        <w:t xml:space="preserve">The EU approach </w:t>
      </w:r>
      <w:r w:rsidR="001F1EB2" w:rsidRPr="008B68EB">
        <w:t>is used in considering risk to non-target arthropods</w:t>
      </w:r>
      <w:r w:rsidRPr="008B68EB">
        <w:t xml:space="preserve">. </w:t>
      </w:r>
    </w:p>
    <w:p w:rsidR="003E14E0" w:rsidRPr="008B68EB" w:rsidRDefault="003E14E0" w:rsidP="00EF45FD">
      <w:pPr>
        <w:pStyle w:val="NormalText"/>
      </w:pPr>
      <w:r w:rsidRPr="008B68EB">
        <w:t xml:space="preserve">In-field Hazard Quotient (HQ) where HQ = in-field exposure/LR50 for the standard (glass plate) tests (EC, 2002). </w:t>
      </w:r>
    </w:p>
    <w:p w:rsidR="003E14E0" w:rsidRPr="008B68EB" w:rsidRDefault="003E14E0" w:rsidP="00EF45FD">
      <w:pPr>
        <w:pStyle w:val="NormalText"/>
      </w:pPr>
      <w:r w:rsidRPr="008B68EB">
        <w:t xml:space="preserve">The in-field exposure is calculated </w:t>
      </w:r>
      <w:r w:rsidR="004D3501" w:rsidRPr="008B68EB">
        <w:t>through the</w:t>
      </w:r>
      <w:r w:rsidRPr="008B68EB">
        <w:t xml:space="preserve"> application rate × MAF (Multiple Application Factor). </w:t>
      </w:r>
    </w:p>
    <w:p w:rsidR="003E14E0" w:rsidRPr="008B68EB" w:rsidRDefault="003E14E0" w:rsidP="00EF45FD">
      <w:pPr>
        <w:pStyle w:val="NormalText"/>
      </w:pPr>
      <w:r w:rsidRPr="008B68EB">
        <w:t xml:space="preserve">The default MAF value = 2.7 (dissipation on foliage for 4 applications) </w:t>
      </w:r>
      <w:r w:rsidR="005B2937" w:rsidRPr="008B68EB">
        <w:t xml:space="preserve">is </w:t>
      </w:r>
      <w:r w:rsidR="0096629A" w:rsidRPr="008B68EB">
        <w:t>u</w:t>
      </w:r>
      <w:r w:rsidRPr="008B68EB">
        <w:t>sed in the absence of provided DT50 (foliage) values.</w:t>
      </w:r>
    </w:p>
    <w:p w:rsidR="003E14E0" w:rsidRPr="00A67F75" w:rsidRDefault="003E14E0" w:rsidP="00EF45FD">
      <w:pPr>
        <w:pStyle w:val="NormalText"/>
      </w:pPr>
      <w:r w:rsidRPr="008B68EB">
        <w:t>If the in-field HQ is &lt;2 for the two standard species tested [parasitic wasps (Aphidius rhopalosiphi) and predatory mite (Typhlodromus  pyri)], then no further testing/assessment is required based on guidance in ESCORT 2 (Candolfi et al, 2001).</w:t>
      </w:r>
    </w:p>
    <w:p w:rsidR="003E14E0" w:rsidRPr="00A67F75" w:rsidRDefault="003E14E0" w:rsidP="003E14E0">
      <w:pPr>
        <w:pStyle w:val="Heading3"/>
        <w:ind w:left="900" w:hanging="900"/>
      </w:pPr>
      <w:bookmarkStart w:id="103" w:name="_Toc516737124"/>
      <w:bookmarkStart w:id="104" w:name="_Toc516740357"/>
      <w:bookmarkStart w:id="105" w:name="_Toc526432204"/>
      <w:r w:rsidRPr="00A67F75">
        <w:t>Conclusions</w:t>
      </w:r>
      <w:bookmarkEnd w:id="103"/>
      <w:bookmarkEnd w:id="104"/>
      <w:bookmarkEnd w:id="105"/>
    </w:p>
    <w:p w:rsidR="003E14E0" w:rsidRPr="00A67F75" w:rsidRDefault="003E14E0" w:rsidP="00EF45FD">
      <w:pPr>
        <w:pStyle w:val="NormalText"/>
      </w:pPr>
      <w:r w:rsidRPr="00A67F75">
        <w:t>The overall conclusions on risk are described. Determination is made on any hazard or risk mitigation labelling.</w:t>
      </w:r>
    </w:p>
    <w:p w:rsidR="003E14E0" w:rsidRPr="00147306" w:rsidRDefault="003E14E0" w:rsidP="003E14E0">
      <w:pPr>
        <w:pStyle w:val="Heading3"/>
        <w:ind w:left="900" w:hanging="900"/>
      </w:pPr>
      <w:bookmarkStart w:id="106" w:name="_Toc516737125"/>
      <w:bookmarkStart w:id="107" w:name="_Toc516740358"/>
      <w:bookmarkStart w:id="108" w:name="_Toc526432205"/>
      <w:r w:rsidRPr="00147306">
        <w:t>References</w:t>
      </w:r>
      <w:bookmarkEnd w:id="106"/>
      <w:bookmarkEnd w:id="107"/>
      <w:bookmarkEnd w:id="108"/>
    </w:p>
    <w:p w:rsidR="003E14E0" w:rsidRPr="00147306" w:rsidRDefault="003E14E0" w:rsidP="00EF45FD">
      <w:pPr>
        <w:pStyle w:val="NormalText"/>
      </w:pPr>
      <w:r w:rsidRPr="00147306">
        <w:t>Relevant guidance documents for risk assessment:</w:t>
      </w:r>
    </w:p>
    <w:p w:rsidR="003E14E0" w:rsidRPr="00147306" w:rsidRDefault="0086416E" w:rsidP="0085106E">
      <w:pPr>
        <w:rPr>
          <w:rStyle w:val="Hyperlink"/>
        </w:rPr>
      </w:pPr>
      <w:hyperlink r:id="rId51" w:history="1">
        <w:r w:rsidR="003E14E0" w:rsidRPr="00147306">
          <w:rPr>
            <w:rStyle w:val="Hyperlink"/>
          </w:rPr>
          <w:t>http://archives.eppo.int/EPPOStandards/era.htm</w:t>
        </w:r>
      </w:hyperlink>
      <w:r w:rsidR="003E14E0" w:rsidRPr="00147306">
        <w:rPr>
          <w:rStyle w:val="Hyperlink"/>
        </w:rPr>
        <w:t xml:space="preserve"> </w:t>
      </w:r>
    </w:p>
    <w:p w:rsidR="003E14E0" w:rsidRPr="0085106E" w:rsidRDefault="0086416E" w:rsidP="0085106E">
      <w:pPr>
        <w:rPr>
          <w:rStyle w:val="Hyperlink"/>
        </w:rPr>
      </w:pPr>
      <w:hyperlink r:id="rId52" w:history="1">
        <w:r w:rsidR="003E14E0" w:rsidRPr="00147306">
          <w:rPr>
            <w:rStyle w:val="Hyperlink"/>
          </w:rPr>
          <w:t>https://ec.europa.eu/food/sites/food/files/plant/docs/pesticides_ppp_app-proc_guide_ecotox_terrestrial.pdf</w:t>
        </w:r>
      </w:hyperlink>
      <w:r w:rsidR="003E14E0" w:rsidRPr="0085106E">
        <w:rPr>
          <w:rStyle w:val="Hyperlink"/>
        </w:rPr>
        <w:t xml:space="preserve"> </w:t>
      </w:r>
    </w:p>
    <w:p w:rsidR="00DE0F11" w:rsidRDefault="00A8423E" w:rsidP="003E14E0">
      <w:pPr>
        <w:pStyle w:val="Heading2"/>
      </w:pPr>
      <w:bookmarkStart w:id="109" w:name="_Toc526432206"/>
      <w:bookmarkStart w:id="110" w:name="_Toc504046803"/>
      <w:bookmarkStart w:id="111" w:name="_Toc516737126"/>
      <w:bookmarkStart w:id="112" w:name="_Toc516740359"/>
      <w:r>
        <w:t>Soil o</w:t>
      </w:r>
      <w:r w:rsidR="00DE0F11">
        <w:t>rganisms</w:t>
      </w:r>
      <w:bookmarkEnd w:id="109"/>
    </w:p>
    <w:p w:rsidR="00B06AAB" w:rsidRPr="008B68EB" w:rsidRDefault="00B06AAB" w:rsidP="00B06AAB">
      <w:pPr>
        <w:pStyle w:val="NormalText"/>
      </w:pPr>
      <w:r w:rsidRPr="008B68EB">
        <w:t>Further information on the risk assessment for terrestrial vertebrates i</w:t>
      </w:r>
      <w:r w:rsidR="000178C7">
        <w:t>s</w:t>
      </w:r>
      <w:r w:rsidRPr="008B68EB">
        <w:t xml:space="preserve"> provided in Appendix C.</w:t>
      </w:r>
    </w:p>
    <w:p w:rsidR="003E14E0" w:rsidRPr="00765768" w:rsidRDefault="003E14E0" w:rsidP="003E14E0">
      <w:pPr>
        <w:pStyle w:val="Heading3"/>
        <w:ind w:left="900" w:hanging="900"/>
      </w:pPr>
      <w:bookmarkStart w:id="113" w:name="_Toc516737127"/>
      <w:bookmarkStart w:id="114" w:name="_Toc516740360"/>
      <w:bookmarkStart w:id="115" w:name="_Toc526432207"/>
      <w:bookmarkEnd w:id="110"/>
      <w:bookmarkEnd w:id="111"/>
      <w:bookmarkEnd w:id="112"/>
      <w:r w:rsidRPr="00765768">
        <w:lastRenderedPageBreak/>
        <w:t xml:space="preserve">Assessment </w:t>
      </w:r>
      <w:r w:rsidR="00A8423E">
        <w:t>a</w:t>
      </w:r>
      <w:r w:rsidRPr="00765768">
        <w:t>pproach</w:t>
      </w:r>
      <w:bookmarkEnd w:id="113"/>
      <w:bookmarkEnd w:id="114"/>
      <w:bookmarkEnd w:id="115"/>
    </w:p>
    <w:p w:rsidR="004C688B" w:rsidRPr="00DE0F11" w:rsidRDefault="004C688B" w:rsidP="004C688B">
      <w:pPr>
        <w:pStyle w:val="NormalText"/>
      </w:pPr>
      <w:r>
        <w:rPr>
          <w:szCs w:val="22"/>
        </w:rPr>
        <w:t>The general protection goal is to protect biodiversity and ecosystems. EFSA (2017) has proposed specific protection goals for soil organisms being key drivers for relevant ecosystem services in agricultural landscapes such as nutrient cycling, soil structure, pest control and biodiversity. Considering the time-scales and biological processes related to the dispersal of the majority of soil organisms, risk assessment are made at in- and off-field scale considering field boundary levels.</w:t>
      </w:r>
    </w:p>
    <w:p w:rsidR="003E14E0" w:rsidRPr="009F465F" w:rsidRDefault="00BD29A7" w:rsidP="00EF45FD">
      <w:pPr>
        <w:pStyle w:val="NormalText"/>
      </w:pPr>
      <w:r>
        <w:t xml:space="preserve">Soil micro-organisms could be directly exposed to the active and combined residues in soil. Consideration is made on whether there is additive toxicity of any combinations. </w:t>
      </w:r>
      <w:r w:rsidR="003E14E0">
        <w:t>The s</w:t>
      </w:r>
      <w:r w:rsidR="003E14E0" w:rsidRPr="009F465F">
        <w:t>creening level approach</w:t>
      </w:r>
      <w:r w:rsidR="003E14E0">
        <w:t xml:space="preserve"> is based on c</w:t>
      </w:r>
      <w:r w:rsidR="003E14E0" w:rsidRPr="009F465F">
        <w:t>ontact exposure to residues within the treatment area immediately after application</w:t>
      </w:r>
      <w:r w:rsidR="003E14E0">
        <w:t>.</w:t>
      </w:r>
    </w:p>
    <w:p w:rsidR="003E14E0" w:rsidRDefault="00BD29A7" w:rsidP="00EF45FD">
      <w:pPr>
        <w:pStyle w:val="NormalText"/>
      </w:pPr>
      <w:r>
        <w:t>The results of provided trials are examined to determine the effect on soil micro-organisms of the parent and potential metabolites. Assessment against PEC</w:t>
      </w:r>
      <w:r w:rsidRPr="000178C7">
        <w:rPr>
          <w:vertAlign w:val="subscript"/>
        </w:rPr>
        <w:t>soi</w:t>
      </w:r>
      <w:r>
        <w:t xml:space="preserve">l is used to determine potential impacts on microbial respiration and nitrification. </w:t>
      </w:r>
      <w:r w:rsidR="003E14E0" w:rsidRPr="009F465F">
        <w:t xml:space="preserve">Risk assessments are tabulated that include the endpoints and associated assessment factors, derivation of RAC (tier1 LR50/0.5, tier2 ER50/1 or LR50/1), how exposure estimates were determined (which may require footnotes to describe the assumptions), and resulting risk quotients (acceptable RQ ≤1.0). </w:t>
      </w:r>
    </w:p>
    <w:p w:rsidR="003E14E0" w:rsidRDefault="003E14E0" w:rsidP="00EF45FD">
      <w:pPr>
        <w:pStyle w:val="NormalText"/>
      </w:pPr>
      <w:r>
        <w:t>Assessment is based</w:t>
      </w:r>
      <w:r w:rsidRPr="00C041DC">
        <w:t xml:space="preserve"> on the most sensitive chronic NOEC values for the parent and its metabolite.</w:t>
      </w:r>
      <w:r>
        <w:t xml:space="preserve"> The accumulation potential in soils is also determined based on DT5D (field and soil studies), and what is the potential accumulation in soils after </w:t>
      </w:r>
      <w:r w:rsidR="004C688B">
        <w:t>one</w:t>
      </w:r>
      <w:r>
        <w:t xml:space="preserve"> year.  Combined residues in soils will also be examined.</w:t>
      </w:r>
    </w:p>
    <w:p w:rsidR="003E14E0" w:rsidRPr="00020DB2" w:rsidRDefault="003E14E0" w:rsidP="003E14E0">
      <w:pPr>
        <w:pStyle w:val="Heading3"/>
        <w:ind w:left="900" w:hanging="900"/>
      </w:pPr>
      <w:bookmarkStart w:id="116" w:name="_Toc516737128"/>
      <w:bookmarkStart w:id="117" w:name="_Toc516740361"/>
      <w:bookmarkStart w:id="118" w:name="_Toc526432208"/>
      <w:r w:rsidRPr="00020DB2">
        <w:t xml:space="preserve">Calculation </w:t>
      </w:r>
      <w:r w:rsidR="00A8423E">
        <w:t>a</w:t>
      </w:r>
      <w:r w:rsidRPr="00020DB2">
        <w:t>pproaches</w:t>
      </w:r>
      <w:bookmarkEnd w:id="116"/>
      <w:bookmarkEnd w:id="117"/>
      <w:bookmarkEnd w:id="118"/>
    </w:p>
    <w:p w:rsidR="003E14E0" w:rsidRPr="00020DB2" w:rsidRDefault="003E14E0" w:rsidP="003E14E0">
      <w:pPr>
        <w:rPr>
          <w:b/>
          <w:i/>
        </w:rPr>
      </w:pPr>
      <w:r w:rsidRPr="00020DB2">
        <w:rPr>
          <w:b/>
          <w:i/>
        </w:rPr>
        <w:t>Assumptions</w:t>
      </w:r>
    </w:p>
    <w:p w:rsidR="00BD29A7" w:rsidRDefault="00BD29A7" w:rsidP="00EF45FD">
      <w:pPr>
        <w:pStyle w:val="NormalText"/>
      </w:pPr>
      <w:r>
        <w:t>Assumptions are applied:</w:t>
      </w:r>
    </w:p>
    <w:p w:rsidR="003E14E0" w:rsidRPr="009F465F" w:rsidRDefault="003E14E0" w:rsidP="00EF45FD">
      <w:pPr>
        <w:pStyle w:val="NormalText"/>
      </w:pPr>
      <w:r w:rsidRPr="009F465F">
        <w:t>Soil concentrations are considered in the top 5 cm.</w:t>
      </w:r>
    </w:p>
    <w:p w:rsidR="003E14E0" w:rsidRPr="009F465F" w:rsidRDefault="003E14E0" w:rsidP="00EF45FD">
      <w:pPr>
        <w:pStyle w:val="NormalText"/>
      </w:pPr>
      <w:r w:rsidRPr="009F465F">
        <w:t>Soil density is based on SCEW, 2009. Assumption of 1500 kg/m3</w:t>
      </w:r>
    </w:p>
    <w:p w:rsidR="003E14E0" w:rsidRPr="009F465F" w:rsidRDefault="003E14E0" w:rsidP="00EF45FD">
      <w:pPr>
        <w:pStyle w:val="NormalText"/>
      </w:pPr>
      <w:r w:rsidRPr="009F465F">
        <w:t>PEC</w:t>
      </w:r>
      <w:r w:rsidRPr="004C688B">
        <w:rPr>
          <w:vertAlign w:val="subscript"/>
        </w:rPr>
        <w:t>soil</w:t>
      </w:r>
      <w:r w:rsidRPr="009F465F">
        <w:t xml:space="preserve"> is based on the application rate.</w:t>
      </w:r>
    </w:p>
    <w:p w:rsidR="00153306" w:rsidRPr="00FD2A2B" w:rsidRDefault="00153306" w:rsidP="00153306">
      <w:pPr>
        <w:pStyle w:val="BodyText"/>
        <w:ind w:left="720"/>
        <w:rPr>
          <w:sz w:val="20"/>
        </w:rPr>
      </w:pPr>
      <w:r w:rsidRPr="00FD2A2B">
        <w:rPr>
          <w:sz w:val="20"/>
        </w:rPr>
        <w:t>C</w:t>
      </w:r>
      <w:r w:rsidRPr="00FD2A2B">
        <w:rPr>
          <w:sz w:val="20"/>
          <w:vertAlign w:val="subscript"/>
        </w:rPr>
        <w:t>i</w:t>
      </w:r>
      <w:r w:rsidRPr="00FD2A2B">
        <w:rPr>
          <w:sz w:val="20"/>
        </w:rPr>
        <w:t xml:space="preserve"> = [A · (1−f</w:t>
      </w:r>
      <w:r w:rsidRPr="00FD2A2B">
        <w:rPr>
          <w:sz w:val="20"/>
          <w:vertAlign w:val="subscript"/>
        </w:rPr>
        <w:t>I</w:t>
      </w:r>
      <w:r w:rsidRPr="00FD2A2B">
        <w:rPr>
          <w:sz w:val="20"/>
        </w:rPr>
        <w:t>) · 10</w:t>
      </w:r>
      <w:r w:rsidRPr="00FD2A2B">
        <w:rPr>
          <w:sz w:val="20"/>
          <w:vertAlign w:val="superscript"/>
        </w:rPr>
        <w:t>6</w:t>
      </w:r>
      <w:r w:rsidRPr="00FD2A2B">
        <w:rPr>
          <w:sz w:val="20"/>
        </w:rPr>
        <w:t>]/ l · 10</w:t>
      </w:r>
      <w:r w:rsidRPr="00FD2A2B">
        <w:rPr>
          <w:sz w:val="20"/>
          <w:vertAlign w:val="superscript"/>
        </w:rPr>
        <w:t>4</w:t>
      </w:r>
      <w:r w:rsidRPr="00FD2A2B">
        <w:rPr>
          <w:sz w:val="20"/>
        </w:rPr>
        <w:t xml:space="preserve"> · d</w:t>
      </w:r>
    </w:p>
    <w:p w:rsidR="00153306" w:rsidRPr="00FD2A2B" w:rsidRDefault="00153306" w:rsidP="00153306">
      <w:pPr>
        <w:pStyle w:val="BodyText"/>
        <w:rPr>
          <w:sz w:val="20"/>
        </w:rPr>
      </w:pPr>
    </w:p>
    <w:p w:rsidR="00153306" w:rsidRPr="00FD2A2B" w:rsidRDefault="00153306" w:rsidP="00153306">
      <w:pPr>
        <w:pStyle w:val="BodyText"/>
        <w:ind w:left="720"/>
        <w:rPr>
          <w:sz w:val="20"/>
        </w:rPr>
      </w:pPr>
      <w:r w:rsidRPr="00FD2A2B">
        <w:rPr>
          <w:sz w:val="20"/>
        </w:rPr>
        <w:t>in which:</w:t>
      </w:r>
    </w:p>
    <w:p w:rsidR="00153306" w:rsidRPr="00FD2A2B" w:rsidRDefault="00153306" w:rsidP="00153306">
      <w:pPr>
        <w:pStyle w:val="BodyText"/>
        <w:ind w:left="720"/>
        <w:rPr>
          <w:sz w:val="20"/>
        </w:rPr>
      </w:pPr>
      <w:r w:rsidRPr="00FD2A2B">
        <w:rPr>
          <w:sz w:val="20"/>
        </w:rPr>
        <w:t>C</w:t>
      </w:r>
      <w:r w:rsidRPr="00FD2A2B">
        <w:rPr>
          <w:sz w:val="20"/>
          <w:vertAlign w:val="subscript"/>
        </w:rPr>
        <w:t>i</w:t>
      </w:r>
      <w:r w:rsidRPr="00FD2A2B">
        <w:rPr>
          <w:sz w:val="20"/>
        </w:rPr>
        <w:t xml:space="preserve"> = initial concentration in soil (mg kg</w:t>
      </w:r>
      <w:r w:rsidRPr="00FD2A2B">
        <w:rPr>
          <w:sz w:val="20"/>
          <w:vertAlign w:val="superscript"/>
        </w:rPr>
        <w:t>−1</w:t>
      </w:r>
      <w:r w:rsidRPr="00FD2A2B">
        <w:rPr>
          <w:sz w:val="20"/>
        </w:rPr>
        <w:t xml:space="preserve"> soil)</w:t>
      </w:r>
    </w:p>
    <w:p w:rsidR="00153306" w:rsidRPr="00FD2A2B" w:rsidRDefault="00153306" w:rsidP="00153306">
      <w:pPr>
        <w:pStyle w:val="BodyText"/>
        <w:ind w:left="720"/>
        <w:rPr>
          <w:sz w:val="20"/>
        </w:rPr>
      </w:pPr>
      <w:r w:rsidRPr="00FD2A2B">
        <w:rPr>
          <w:sz w:val="20"/>
        </w:rPr>
        <w:t>A = application rate (kg ha</w:t>
      </w:r>
      <w:r w:rsidRPr="00FD2A2B">
        <w:rPr>
          <w:sz w:val="20"/>
          <w:vertAlign w:val="superscript"/>
        </w:rPr>
        <w:t>−1</w:t>
      </w:r>
      <w:r w:rsidRPr="00FD2A2B">
        <w:rPr>
          <w:sz w:val="20"/>
        </w:rPr>
        <w:t>)</w:t>
      </w:r>
    </w:p>
    <w:p w:rsidR="00153306" w:rsidRPr="00FD2A2B" w:rsidRDefault="00153306" w:rsidP="00153306">
      <w:pPr>
        <w:pStyle w:val="BodyText"/>
        <w:ind w:left="720"/>
        <w:rPr>
          <w:sz w:val="20"/>
        </w:rPr>
      </w:pPr>
      <w:r w:rsidRPr="00FD2A2B">
        <w:rPr>
          <w:sz w:val="20"/>
        </w:rPr>
        <w:t>f</w:t>
      </w:r>
      <w:r w:rsidRPr="00FD2A2B">
        <w:rPr>
          <w:sz w:val="20"/>
          <w:vertAlign w:val="subscript"/>
        </w:rPr>
        <w:t>I</w:t>
      </w:r>
      <w:r w:rsidRPr="00FD2A2B">
        <w:rPr>
          <w:sz w:val="20"/>
        </w:rPr>
        <w:t xml:space="preserve"> = fraction intercepted by the crop (dimensionless)</w:t>
      </w:r>
    </w:p>
    <w:p w:rsidR="00153306" w:rsidRPr="00FD2A2B" w:rsidRDefault="00153306" w:rsidP="00153306">
      <w:pPr>
        <w:pStyle w:val="BodyText"/>
        <w:ind w:left="720"/>
        <w:rPr>
          <w:sz w:val="20"/>
        </w:rPr>
      </w:pPr>
      <w:r w:rsidRPr="00FD2A2B">
        <w:rPr>
          <w:sz w:val="20"/>
        </w:rPr>
        <w:t>l = thickness of soil layer (m)</w:t>
      </w:r>
      <w:r>
        <w:rPr>
          <w:sz w:val="20"/>
        </w:rPr>
        <w:t xml:space="preserve"> (default 0.05 m)</w:t>
      </w:r>
    </w:p>
    <w:p w:rsidR="00153306" w:rsidRPr="00F82DFF" w:rsidRDefault="00153306" w:rsidP="00153306">
      <w:pPr>
        <w:pStyle w:val="BodyText"/>
        <w:ind w:left="720"/>
        <w:rPr>
          <w:sz w:val="22"/>
          <w:szCs w:val="22"/>
        </w:rPr>
      </w:pPr>
      <w:r w:rsidRPr="00FD2A2B">
        <w:rPr>
          <w:sz w:val="20"/>
        </w:rPr>
        <w:t>d = bulk density of soil (kg m</w:t>
      </w:r>
      <w:r w:rsidRPr="00FD2A2B">
        <w:rPr>
          <w:sz w:val="20"/>
          <w:vertAlign w:val="superscript"/>
        </w:rPr>
        <w:t>−3</w:t>
      </w:r>
      <w:r w:rsidRPr="00FD2A2B">
        <w:rPr>
          <w:sz w:val="20"/>
        </w:rPr>
        <w:t>)</w:t>
      </w:r>
      <w:r>
        <w:rPr>
          <w:sz w:val="20"/>
        </w:rPr>
        <w:t xml:space="preserve"> (default 1500 </w:t>
      </w:r>
      <w:r w:rsidRPr="00FD2A2B">
        <w:rPr>
          <w:sz w:val="20"/>
        </w:rPr>
        <w:t>kg m</w:t>
      </w:r>
      <w:r w:rsidRPr="00FD2A2B">
        <w:rPr>
          <w:sz w:val="20"/>
          <w:vertAlign w:val="superscript"/>
        </w:rPr>
        <w:t>−3</w:t>
      </w:r>
      <w:r>
        <w:rPr>
          <w:sz w:val="20"/>
        </w:rPr>
        <w:t>)</w:t>
      </w:r>
      <w:r w:rsidRPr="00FD2A2B">
        <w:rPr>
          <w:sz w:val="20"/>
        </w:rPr>
        <w:t>.</w:t>
      </w:r>
    </w:p>
    <w:p w:rsidR="003E14E0" w:rsidRDefault="003E14E0" w:rsidP="00EF45FD">
      <w:pPr>
        <w:pStyle w:val="NormalText"/>
      </w:pPr>
      <w:r w:rsidRPr="009F465F">
        <w:t>RQ = PEC</w:t>
      </w:r>
      <w:r w:rsidRPr="004C688B">
        <w:rPr>
          <w:vertAlign w:val="subscript"/>
        </w:rPr>
        <w:t>soil</w:t>
      </w:r>
      <w:r w:rsidRPr="009F465F">
        <w:t>/NOEC (earthworms)</w:t>
      </w:r>
    </w:p>
    <w:p w:rsidR="00BD29A7" w:rsidRDefault="00BD29A7" w:rsidP="00BD29A7">
      <w:pPr>
        <w:pStyle w:val="NormalText"/>
      </w:pPr>
      <w:r w:rsidRPr="009F465F">
        <w:t>RQ = PEC</w:t>
      </w:r>
      <w:r w:rsidRPr="004C688B">
        <w:rPr>
          <w:vertAlign w:val="subscript"/>
        </w:rPr>
        <w:t>soil</w:t>
      </w:r>
      <w:r w:rsidRPr="009F465F">
        <w:t>/</w:t>
      </w:r>
      <w:r>
        <w:t>RAL</w:t>
      </w:r>
    </w:p>
    <w:p w:rsidR="00153306" w:rsidRDefault="00153306" w:rsidP="00EF45FD">
      <w:pPr>
        <w:pStyle w:val="NormalText"/>
      </w:pPr>
      <w:r w:rsidRPr="008A71CD">
        <w:t>Lower plateau concentrations, upper plateau concentration is calcu</w:t>
      </w:r>
      <w:r w:rsidR="00E81BC5" w:rsidRPr="008A71CD">
        <w:t>lated.</w:t>
      </w:r>
      <w:r>
        <w:t xml:space="preserve"> </w:t>
      </w:r>
    </w:p>
    <w:p w:rsidR="003E14E0" w:rsidRDefault="003E14E0" w:rsidP="00EF45FD">
      <w:pPr>
        <w:pStyle w:val="NormalText"/>
      </w:pPr>
      <w:r w:rsidRPr="009F465F">
        <w:lastRenderedPageBreak/>
        <w:t>If RQ&lt;1 acceptable risk</w:t>
      </w:r>
    </w:p>
    <w:p w:rsidR="003E14E0" w:rsidRDefault="003E14E0" w:rsidP="00EF45FD">
      <w:pPr>
        <w:pStyle w:val="NormalText"/>
      </w:pPr>
      <w:r>
        <w:t>For a combined toxicity LC50 – assessment factor of 10 is applied to determine the RAC. If PEC</w:t>
      </w:r>
      <w:r w:rsidRPr="004C688B">
        <w:rPr>
          <w:vertAlign w:val="subscript"/>
        </w:rPr>
        <w:t>soil</w:t>
      </w:r>
      <w:r>
        <w:t>&lt;RAC then risk of combination product is acceptable.</w:t>
      </w:r>
    </w:p>
    <w:p w:rsidR="003E14E0" w:rsidRDefault="003E14E0" w:rsidP="00EF45FD">
      <w:pPr>
        <w:pStyle w:val="NormalText"/>
      </w:pPr>
      <w:r>
        <w:t>RQ=PEC</w:t>
      </w:r>
      <w:r w:rsidRPr="004C688B">
        <w:rPr>
          <w:vertAlign w:val="subscript"/>
        </w:rPr>
        <w:t>soil</w:t>
      </w:r>
      <w:r>
        <w:t>/acute 14dLC50</w:t>
      </w:r>
    </w:p>
    <w:p w:rsidR="00E81BC5" w:rsidRPr="00D61B62" w:rsidRDefault="00E81BC5" w:rsidP="00E81BC5">
      <w:pPr>
        <w:pStyle w:val="BodyText"/>
        <w:rPr>
          <w:rFonts w:asciiTheme="minorHAnsi" w:eastAsia="Times New Roman" w:hAnsiTheme="minorHAnsi" w:cs="Arial"/>
          <w:kern w:val="20"/>
          <w:sz w:val="22"/>
          <w:szCs w:val="22"/>
          <w:u w:color="000000"/>
          <w:lang w:val="en-AU"/>
        </w:rPr>
      </w:pPr>
      <w:r w:rsidRPr="00D61B62">
        <w:rPr>
          <w:rFonts w:asciiTheme="minorHAnsi" w:eastAsia="Times New Roman" w:hAnsiTheme="minorHAnsi" w:cs="Arial"/>
          <w:kern w:val="20"/>
          <w:sz w:val="22"/>
          <w:szCs w:val="22"/>
          <w:u w:color="000000"/>
          <w:lang w:val="en-AU"/>
        </w:rPr>
        <w:t>If it is necessary to refine the assessment for any particular taxonomic group or process, crop interception should be considered as a first step.  Ideally, the crop and its growth stage at the time of application should be specified. If such data is not available, data for similar crops may be adequate. Crop interception factors presented for surface water in EFSA (2014) are preferred.</w:t>
      </w:r>
    </w:p>
    <w:p w:rsidR="00E81BC5" w:rsidRDefault="00E81BC5" w:rsidP="00E81BC5">
      <w:pPr>
        <w:pStyle w:val="NormalText"/>
      </w:pPr>
      <w:r>
        <w:rPr>
          <w:szCs w:val="22"/>
        </w:rPr>
        <w:t xml:space="preserve">If further assessment is necessary, higher tier studies can be considered.  </w:t>
      </w:r>
      <w:r w:rsidRPr="007E6608">
        <w:rPr>
          <w:szCs w:val="22"/>
        </w:rPr>
        <w:t>Higher-tier tests may take the</w:t>
      </w:r>
      <w:r>
        <w:rPr>
          <w:szCs w:val="22"/>
        </w:rPr>
        <w:t xml:space="preserve"> </w:t>
      </w:r>
      <w:r w:rsidRPr="007E6608">
        <w:rPr>
          <w:szCs w:val="22"/>
        </w:rPr>
        <w:t xml:space="preserve">form of limited </w:t>
      </w:r>
      <w:r w:rsidR="00A8423E">
        <w:rPr>
          <w:szCs w:val="22"/>
        </w:rPr>
        <w:t>community/population studies (eg</w:t>
      </w:r>
      <w:r w:rsidRPr="007E6608">
        <w:rPr>
          <w:szCs w:val="22"/>
        </w:rPr>
        <w:t xml:space="preserve"> terrestrial</w:t>
      </w:r>
      <w:r>
        <w:rPr>
          <w:szCs w:val="22"/>
        </w:rPr>
        <w:t xml:space="preserve"> </w:t>
      </w:r>
      <w:r w:rsidRPr="007E6608">
        <w:rPr>
          <w:szCs w:val="22"/>
        </w:rPr>
        <w:t>model ecosystems, soil mesocosms) or field studies (including,</w:t>
      </w:r>
      <w:r>
        <w:rPr>
          <w:szCs w:val="22"/>
        </w:rPr>
        <w:t xml:space="preserve"> </w:t>
      </w:r>
      <w:r w:rsidRPr="007E6608">
        <w:rPr>
          <w:szCs w:val="22"/>
        </w:rPr>
        <w:t>if appropriate, litte</w:t>
      </w:r>
      <w:r w:rsidR="00A8423E">
        <w:rPr>
          <w:szCs w:val="22"/>
        </w:rPr>
        <w:t>r-bag studies). Other groups (eg</w:t>
      </w:r>
      <w:r w:rsidRPr="007E6608">
        <w:rPr>
          <w:szCs w:val="22"/>
        </w:rPr>
        <w:t xml:space="preserve"> earthworms,</w:t>
      </w:r>
      <w:r>
        <w:rPr>
          <w:szCs w:val="22"/>
        </w:rPr>
        <w:t xml:space="preserve"> </w:t>
      </w:r>
      <w:r w:rsidRPr="007E6608">
        <w:rPr>
          <w:szCs w:val="22"/>
        </w:rPr>
        <w:t>microbial functions) may also be tested in the same</w:t>
      </w:r>
      <w:r>
        <w:rPr>
          <w:szCs w:val="22"/>
        </w:rPr>
        <w:t xml:space="preserve"> </w:t>
      </w:r>
      <w:r w:rsidRPr="007E6608">
        <w:rPr>
          <w:szCs w:val="22"/>
        </w:rPr>
        <w:t>study. It is important that the timing, levels and routes of exposure</w:t>
      </w:r>
      <w:r>
        <w:rPr>
          <w:szCs w:val="22"/>
        </w:rPr>
        <w:t xml:space="preserve"> </w:t>
      </w:r>
      <w:r w:rsidRPr="007E6608">
        <w:rPr>
          <w:szCs w:val="22"/>
        </w:rPr>
        <w:t>reflect, as far as possible, those of the proposed use of the</w:t>
      </w:r>
      <w:r>
        <w:rPr>
          <w:szCs w:val="22"/>
        </w:rPr>
        <w:t xml:space="preserve"> </w:t>
      </w:r>
      <w:r w:rsidRPr="007E6608">
        <w:rPr>
          <w:szCs w:val="22"/>
        </w:rPr>
        <w:t>product.</w:t>
      </w:r>
    </w:p>
    <w:p w:rsidR="003E14E0" w:rsidRPr="00020DB2" w:rsidRDefault="003E14E0" w:rsidP="003E14E0">
      <w:pPr>
        <w:pStyle w:val="Heading3"/>
        <w:ind w:left="900" w:hanging="900"/>
      </w:pPr>
      <w:bookmarkStart w:id="119" w:name="_Toc516737129"/>
      <w:bookmarkStart w:id="120" w:name="_Toc516740362"/>
      <w:bookmarkStart w:id="121" w:name="_Toc526432209"/>
      <w:r>
        <w:t>Conclusions</w:t>
      </w:r>
      <w:bookmarkEnd w:id="119"/>
      <w:bookmarkEnd w:id="120"/>
      <w:bookmarkEnd w:id="121"/>
    </w:p>
    <w:p w:rsidR="003E14E0" w:rsidRPr="009F465F" w:rsidRDefault="003E14E0" w:rsidP="00EF45FD">
      <w:pPr>
        <w:pStyle w:val="NormalText"/>
      </w:pPr>
      <w:r>
        <w:t>Th</w:t>
      </w:r>
      <w:r w:rsidRPr="00B94EB4">
        <w:t>e overall conclusions on risk</w:t>
      </w:r>
      <w:r>
        <w:t xml:space="preserve"> are described.</w:t>
      </w:r>
      <w:r w:rsidRPr="00B94EB4">
        <w:t xml:space="preserve"> </w:t>
      </w:r>
      <w:r>
        <w:t>Determination is made on any</w:t>
      </w:r>
      <w:r w:rsidRPr="00B94EB4">
        <w:t xml:space="preserve"> hazard or risk mitigation labelling</w:t>
      </w:r>
      <w:r>
        <w:t>. Other species and studies may be assessed to support or not support the findings.</w:t>
      </w:r>
    </w:p>
    <w:p w:rsidR="003E14E0" w:rsidRPr="00765768" w:rsidRDefault="003E14E0" w:rsidP="003E14E0">
      <w:pPr>
        <w:pStyle w:val="Heading3"/>
        <w:ind w:left="900" w:hanging="900"/>
      </w:pPr>
      <w:bookmarkStart w:id="122" w:name="_Toc516737130"/>
      <w:bookmarkStart w:id="123" w:name="_Toc516740363"/>
      <w:bookmarkStart w:id="124" w:name="_Toc526432210"/>
      <w:r w:rsidRPr="00765768">
        <w:t>References</w:t>
      </w:r>
      <w:bookmarkEnd w:id="122"/>
      <w:bookmarkEnd w:id="123"/>
      <w:bookmarkEnd w:id="124"/>
    </w:p>
    <w:p w:rsidR="003E14E0" w:rsidRDefault="003E14E0" w:rsidP="0085106E">
      <w:pPr>
        <w:rPr>
          <w:rStyle w:val="Hyperlink"/>
        </w:rPr>
      </w:pPr>
      <w:r w:rsidRPr="0085106E">
        <w:rPr>
          <w:rStyle w:val="Hyperlink"/>
        </w:rPr>
        <w:t xml:space="preserve">http://archives.eppo.int/EPPOStandards/PP3_ERA/pp3-09(2).pdf (based on ESCORT 2/3) </w:t>
      </w:r>
    </w:p>
    <w:p w:rsidR="00EE717D" w:rsidRPr="0085106E" w:rsidRDefault="00EE717D" w:rsidP="0085106E">
      <w:pPr>
        <w:rPr>
          <w:rStyle w:val="Hyperlink"/>
        </w:rPr>
      </w:pPr>
      <w:r>
        <w:rPr>
          <w:rStyle w:val="Hyperlink"/>
        </w:rPr>
        <w:t>put in link to the detailed guidance manuals</w:t>
      </w:r>
    </w:p>
    <w:p w:rsidR="003E14E0" w:rsidRPr="0085106E" w:rsidRDefault="0086416E" w:rsidP="003E14E0">
      <w:pPr>
        <w:rPr>
          <w:rStyle w:val="Hyperlink"/>
        </w:rPr>
      </w:pPr>
      <w:hyperlink r:id="rId53" w:history="1">
        <w:r w:rsidR="003E14E0" w:rsidRPr="00C041DC">
          <w:rPr>
            <w:rStyle w:val="Hyperlink"/>
          </w:rPr>
          <w:t>http://archives.eppo.int/EPPOStandards/era.htm</w:t>
        </w:r>
      </w:hyperlink>
      <w:r w:rsidR="003E14E0" w:rsidRPr="0085106E">
        <w:rPr>
          <w:rStyle w:val="Hyperlink"/>
        </w:rPr>
        <w:t xml:space="preserve"> </w:t>
      </w:r>
    </w:p>
    <w:p w:rsidR="003E14E0" w:rsidRPr="0085106E" w:rsidRDefault="0086416E" w:rsidP="003E14E0">
      <w:pPr>
        <w:rPr>
          <w:rStyle w:val="Hyperlink"/>
        </w:rPr>
      </w:pPr>
      <w:hyperlink r:id="rId54" w:history="1">
        <w:r w:rsidR="003E14E0" w:rsidRPr="00C041DC">
          <w:rPr>
            <w:rStyle w:val="Hyperlink"/>
          </w:rPr>
          <w:t>https://ec.europa.eu/food/sites/food/files/plant/docs/pesticides_ppp_app-proc_guide_ecotox_terrestrial.pdf</w:t>
        </w:r>
      </w:hyperlink>
      <w:r w:rsidR="003E14E0" w:rsidRPr="0085106E">
        <w:rPr>
          <w:rStyle w:val="Hyperlink"/>
        </w:rPr>
        <w:t xml:space="preserve"> </w:t>
      </w:r>
    </w:p>
    <w:p w:rsidR="003E14E0" w:rsidRDefault="003E14E0" w:rsidP="003E14E0">
      <w:pPr>
        <w:pStyle w:val="Heading2"/>
      </w:pPr>
      <w:bookmarkStart w:id="125" w:name="_Toc504046805"/>
      <w:bookmarkStart w:id="126" w:name="_Toc516737136"/>
      <w:bookmarkStart w:id="127" w:name="_Toc516740369"/>
      <w:bookmarkStart w:id="128" w:name="_Toc526432211"/>
      <w:r w:rsidRPr="008E565C">
        <w:t>Non-target terrestrial plants</w:t>
      </w:r>
      <w:bookmarkEnd w:id="125"/>
      <w:bookmarkEnd w:id="126"/>
      <w:bookmarkEnd w:id="127"/>
      <w:bookmarkEnd w:id="128"/>
    </w:p>
    <w:p w:rsidR="00B06AAB" w:rsidRPr="008B68EB" w:rsidRDefault="00B06AAB" w:rsidP="00B06AAB">
      <w:pPr>
        <w:pStyle w:val="NormalText"/>
      </w:pPr>
      <w:r w:rsidRPr="008B68EB">
        <w:t>Further information on the risk assessment for terrestrial vertebrates provided in Appendix D.</w:t>
      </w:r>
    </w:p>
    <w:p w:rsidR="003E14E0" w:rsidRPr="00765768" w:rsidRDefault="003E14E0" w:rsidP="003E14E0">
      <w:pPr>
        <w:pStyle w:val="Heading3"/>
        <w:ind w:left="900" w:hanging="900"/>
      </w:pPr>
      <w:bookmarkStart w:id="129" w:name="_Toc516737137"/>
      <w:bookmarkStart w:id="130" w:name="_Toc516740370"/>
      <w:bookmarkStart w:id="131" w:name="_Toc526432212"/>
      <w:r w:rsidRPr="00765768">
        <w:t xml:space="preserve">Assessment </w:t>
      </w:r>
      <w:r w:rsidR="00A8423E">
        <w:t>a</w:t>
      </w:r>
      <w:r w:rsidRPr="00765768">
        <w:t>pproach</w:t>
      </w:r>
      <w:bookmarkEnd w:id="129"/>
      <w:bookmarkEnd w:id="130"/>
      <w:bookmarkEnd w:id="131"/>
    </w:p>
    <w:p w:rsidR="003E14E0" w:rsidRPr="008B68EB" w:rsidRDefault="003E14E0" w:rsidP="00EF45FD">
      <w:pPr>
        <w:pStyle w:val="NormalText"/>
      </w:pPr>
      <w:r w:rsidRPr="008B68EB">
        <w:t>The assessment is to determine what are the adverse effects on plant spec</w:t>
      </w:r>
      <w:r w:rsidR="00F87E60" w:rsidRPr="008B68EB">
        <w:t xml:space="preserve">ies based on application rates and the </w:t>
      </w:r>
      <w:r w:rsidRPr="008B68EB">
        <w:t xml:space="preserve">exposure potential for non-target terrestrial plants. </w:t>
      </w:r>
    </w:p>
    <w:p w:rsidR="003E14E0" w:rsidRPr="00EF45FD" w:rsidRDefault="003E14E0" w:rsidP="00EF45FD">
      <w:pPr>
        <w:pStyle w:val="NormalText"/>
      </w:pPr>
      <w:r w:rsidRPr="00EF45FD">
        <w:t>The screening level approach is based on pre- and post-emergent exposure to direct overspray. Only one application is assessed for post-emergent exposure risk assessment (cumulative application is not considered).</w:t>
      </w:r>
      <w:r w:rsidR="00F87E60">
        <w:t xml:space="preserve"> </w:t>
      </w:r>
      <w:r w:rsidR="00F87E60" w:rsidRPr="00C64CBE">
        <w:rPr>
          <w:szCs w:val="22"/>
        </w:rPr>
        <w:t xml:space="preserve">It is assumed that the biodiversity is maintained when the plant populations will not be affected by the use of </w:t>
      </w:r>
      <w:r w:rsidR="00F87E60">
        <w:rPr>
          <w:szCs w:val="22"/>
        </w:rPr>
        <w:t>pesticide product</w:t>
      </w:r>
      <w:r w:rsidR="00F87E60" w:rsidRPr="00C64CBE">
        <w:rPr>
          <w:szCs w:val="22"/>
        </w:rPr>
        <w:t>.</w:t>
      </w:r>
    </w:p>
    <w:p w:rsidR="003E14E0" w:rsidRPr="00020DB2" w:rsidRDefault="003E14E0" w:rsidP="003E14E0">
      <w:pPr>
        <w:pStyle w:val="Heading3"/>
        <w:ind w:left="900" w:hanging="900"/>
      </w:pPr>
      <w:bookmarkStart w:id="132" w:name="_Toc516737138"/>
      <w:bookmarkStart w:id="133" w:name="_Toc516740371"/>
      <w:bookmarkStart w:id="134" w:name="_Toc526432213"/>
      <w:r w:rsidRPr="00020DB2">
        <w:lastRenderedPageBreak/>
        <w:t xml:space="preserve">Calculation </w:t>
      </w:r>
      <w:r w:rsidR="00A8423E">
        <w:t>a</w:t>
      </w:r>
      <w:r w:rsidRPr="00020DB2">
        <w:t>pproaches</w:t>
      </w:r>
      <w:bookmarkEnd w:id="132"/>
      <w:bookmarkEnd w:id="133"/>
      <w:bookmarkEnd w:id="134"/>
    </w:p>
    <w:p w:rsidR="003E14E0" w:rsidRDefault="003E14E0" w:rsidP="00EF45FD">
      <w:pPr>
        <w:pStyle w:val="NormalText"/>
      </w:pPr>
      <w:r w:rsidRPr="008E565C">
        <w:t xml:space="preserve">Environmental hazard from acute exposure is calculated </w:t>
      </w:r>
      <w:r>
        <w:t>for the</w:t>
      </w:r>
      <w:r w:rsidRPr="008E565C">
        <w:t xml:space="preserve"> Environmental Risk Quotient (RQ = PEC/LC50 or EC50, Urban and Cook, 1986)</w:t>
      </w:r>
      <w:r>
        <w:t>.</w:t>
      </w:r>
      <w:r w:rsidR="00B17D00">
        <w:t xml:space="preserve"> Assessment is based on a tiered approach to determine the potential phytotoxic properties.</w:t>
      </w:r>
    </w:p>
    <w:p w:rsidR="00B17D00" w:rsidRDefault="00B17D00" w:rsidP="00EF45FD">
      <w:pPr>
        <w:pStyle w:val="NormalText"/>
      </w:pPr>
      <w:r w:rsidRPr="00B73A7A">
        <w:rPr>
          <w:b/>
        </w:rPr>
        <w:t>Tier 1</w:t>
      </w:r>
      <w:r>
        <w:t xml:space="preserve"> consists of assessing single dose phytotoxicity screening data for terrestrial non-target plants at or above the maximum application rate based on at least six species.</w:t>
      </w:r>
    </w:p>
    <w:p w:rsidR="00B17D00" w:rsidRDefault="00B17D00" w:rsidP="00EF45FD">
      <w:pPr>
        <w:pStyle w:val="NormalText"/>
      </w:pPr>
      <w:r w:rsidRPr="00B73A7A">
        <w:rPr>
          <w:b/>
        </w:rPr>
        <w:t>Tier 2</w:t>
      </w:r>
      <w:r>
        <w:t xml:space="preserve"> is undertaken if there is a &gt;50% effect observed in the Tier 1 testing. Dose- response relationships for at least six species representing families for which significant herbicidal action has been found are assessed.</w:t>
      </w:r>
    </w:p>
    <w:p w:rsidR="003E14E0" w:rsidRPr="00AE2542" w:rsidRDefault="003977CF" w:rsidP="00EF45FD">
      <w:pPr>
        <w:pStyle w:val="NormalText"/>
      </w:pPr>
      <w:r w:rsidRPr="00B73A7A">
        <w:rPr>
          <w:b/>
        </w:rPr>
        <w:t>Tier 3</w:t>
      </w:r>
      <w:r>
        <w:t xml:space="preserve"> </w:t>
      </w:r>
      <w:r w:rsidR="00D14B10">
        <w:t>is required where the risks based on the tier 2 assessment cannot be mitigated through management measures and involves field or semi-field studies using realistic applications.</w:t>
      </w:r>
    </w:p>
    <w:p w:rsidR="003E14E0" w:rsidRDefault="003E14E0" w:rsidP="00EF45FD">
      <w:pPr>
        <w:pStyle w:val="NormalText"/>
      </w:pPr>
      <w:r w:rsidRPr="00AE2542">
        <w:t xml:space="preserve">For the aquatic risk scenarios, the initial worst-case situation of direct overspray at the maximum label rate is considered. If this scenario is greater than </w:t>
      </w:r>
      <w:r>
        <w:t>0</w:t>
      </w:r>
      <w:r w:rsidRPr="00AE2542">
        <w:t>.5 (RQ&gt;</w:t>
      </w:r>
      <w:r>
        <w:t>0</w:t>
      </w:r>
      <w:r w:rsidRPr="00AE2542">
        <w:t>.5) than more likely practical situations are assessed.</w:t>
      </w:r>
    </w:p>
    <w:p w:rsidR="003E14E0" w:rsidRPr="00C56A8A" w:rsidRDefault="000178C7" w:rsidP="00EF45FD">
      <w:pPr>
        <w:pStyle w:val="Bullet1"/>
        <w:ind w:left="714" w:hanging="357"/>
      </w:pPr>
      <w:r>
        <w:t>RQ &gt; 0.5: risk is unacceptable</w:t>
      </w:r>
    </w:p>
    <w:p w:rsidR="003E14E0" w:rsidRPr="00C56A8A" w:rsidRDefault="003E14E0" w:rsidP="00EF45FD">
      <w:pPr>
        <w:pStyle w:val="Bullet1"/>
        <w:ind w:left="714" w:hanging="357"/>
      </w:pPr>
      <w:r w:rsidRPr="00C56A8A">
        <w:t>≤ RQ ≤ 0.5: risk may be able to be mitigated by some form of risk management, such as label restraints for a specific use and an identified</w:t>
      </w:r>
      <w:r w:rsidR="000178C7">
        <w:t xml:space="preserve"> risk arising from that use</w:t>
      </w:r>
    </w:p>
    <w:p w:rsidR="003E14E0" w:rsidRPr="00C56A8A" w:rsidRDefault="003E14E0" w:rsidP="00EF45FD">
      <w:pPr>
        <w:pStyle w:val="Bullet1"/>
        <w:ind w:left="714" w:hanging="357"/>
      </w:pPr>
      <w:r w:rsidRPr="00C56A8A">
        <w:t>RQ &lt; 0.1: risk is considered low (and may or may not require some form of risk management, such as general label restraints).</w:t>
      </w:r>
    </w:p>
    <w:p w:rsidR="003E14E0" w:rsidRDefault="003E14E0" w:rsidP="00EF45FD">
      <w:pPr>
        <w:pStyle w:val="NormalText"/>
      </w:pPr>
      <w:r>
        <w:t>The</w:t>
      </w:r>
      <w:r w:rsidRPr="008E565C">
        <w:t xml:space="preserve"> risk assessment </w:t>
      </w:r>
      <w:r>
        <w:t xml:space="preserve">is tabulated to be able to </w:t>
      </w:r>
      <w:r w:rsidRPr="008E565C">
        <w:t xml:space="preserve">demonstrate which effects endpoints were used and associated assessment factors, derivation of RAC (NOEC/1), how exposure estimates were determined (may require footnotes to describe the assumptions), and resulting risk quotients (acceptable RQ ≤1.0). </w:t>
      </w:r>
    </w:p>
    <w:p w:rsidR="003E14E0" w:rsidRPr="003E14E0" w:rsidRDefault="003E14E0" w:rsidP="003E14E0">
      <w:pPr>
        <w:pStyle w:val="Heading3"/>
        <w:ind w:left="900" w:hanging="900"/>
      </w:pPr>
      <w:bookmarkStart w:id="135" w:name="_Toc516737139"/>
      <w:bookmarkStart w:id="136" w:name="_Toc516740372"/>
      <w:bookmarkStart w:id="137" w:name="_Toc526432214"/>
      <w:r w:rsidRPr="003E14E0">
        <w:t>References</w:t>
      </w:r>
      <w:bookmarkEnd w:id="135"/>
      <w:bookmarkEnd w:id="136"/>
      <w:bookmarkEnd w:id="137"/>
    </w:p>
    <w:p w:rsidR="003E14E0" w:rsidRPr="006154F0" w:rsidRDefault="003E14E0" w:rsidP="003E14E0">
      <w:r w:rsidRPr="006154F0">
        <w:t>Relevant guidance documents:</w:t>
      </w:r>
    </w:p>
    <w:p w:rsidR="003E14E0" w:rsidRPr="0085106E" w:rsidRDefault="003E14E0" w:rsidP="003E14E0">
      <w:pPr>
        <w:rPr>
          <w:rStyle w:val="Hyperlink"/>
        </w:rPr>
      </w:pPr>
      <w:r w:rsidRPr="0085106E">
        <w:rPr>
          <w:rStyle w:val="Hyperlink"/>
        </w:rPr>
        <w:t>http://ec.europa.eu/food/plant/protection/evaluation/guidance/wrkdoc09_en.pdf</w:t>
      </w:r>
    </w:p>
    <w:p w:rsidR="003E14E0" w:rsidRPr="0085106E" w:rsidRDefault="0086416E" w:rsidP="003E14E0">
      <w:pPr>
        <w:rPr>
          <w:rStyle w:val="Hyperlink"/>
        </w:rPr>
      </w:pPr>
      <w:hyperlink r:id="rId55" w:history="1">
        <w:r w:rsidR="003E14E0" w:rsidRPr="0015475B">
          <w:rPr>
            <w:rStyle w:val="Hyperlink"/>
          </w:rPr>
          <w:t>http://archives.eppo.int/EPPOStandards/PP3_ERA/pp3-07(2).pdf</w:t>
        </w:r>
      </w:hyperlink>
      <w:r w:rsidR="003E14E0" w:rsidRPr="0085106E">
        <w:rPr>
          <w:rStyle w:val="Hyperlink"/>
        </w:rPr>
        <w:t xml:space="preserve"> </w:t>
      </w:r>
    </w:p>
    <w:p w:rsidR="003E14E0" w:rsidRPr="0085106E" w:rsidRDefault="0086416E" w:rsidP="003E14E0">
      <w:pPr>
        <w:rPr>
          <w:rStyle w:val="Hyperlink"/>
        </w:rPr>
      </w:pPr>
      <w:hyperlink r:id="rId56" w:history="1">
        <w:r w:rsidR="003E14E0" w:rsidRPr="0015475B">
          <w:rPr>
            <w:rStyle w:val="Hyperlink"/>
          </w:rPr>
          <w:t>https://ec.europa.eu/food/sites/food/files/plant/docs/pesticides_ppp_app-proc_guide_ecotox_terrestrial.pdf</w:t>
        </w:r>
      </w:hyperlink>
      <w:r w:rsidR="003E14E0" w:rsidRPr="0085106E">
        <w:rPr>
          <w:rStyle w:val="Hyperlink"/>
        </w:rPr>
        <w:t xml:space="preserve"> </w:t>
      </w:r>
    </w:p>
    <w:p w:rsidR="003E14E0" w:rsidRPr="0085106E" w:rsidRDefault="0086416E" w:rsidP="003E14E0">
      <w:pPr>
        <w:rPr>
          <w:rStyle w:val="Hyperlink"/>
        </w:rPr>
      </w:pPr>
      <w:hyperlink r:id="rId57" w:history="1">
        <w:r w:rsidR="003E14E0" w:rsidRPr="0015475B">
          <w:rPr>
            <w:rStyle w:val="Hyperlink"/>
          </w:rPr>
          <w:t>http://archives.eppo.int/EPPOStandards/era.htm</w:t>
        </w:r>
      </w:hyperlink>
      <w:r w:rsidR="003E14E0" w:rsidRPr="0085106E">
        <w:rPr>
          <w:rStyle w:val="Hyperlink"/>
        </w:rPr>
        <w:t xml:space="preserve"> </w:t>
      </w:r>
    </w:p>
    <w:p w:rsidR="003E14E0" w:rsidRPr="003E14E0" w:rsidRDefault="003E14E0" w:rsidP="003E14E0">
      <w:pPr>
        <w:pStyle w:val="Heading2"/>
        <w:rPr>
          <w:szCs w:val="26"/>
        </w:rPr>
      </w:pPr>
      <w:bookmarkStart w:id="138" w:name="_Toc516737140"/>
      <w:bookmarkStart w:id="139" w:name="_Toc516740373"/>
      <w:bookmarkStart w:id="140" w:name="_Toc526432215"/>
      <w:r>
        <w:t>Spray drift</w:t>
      </w:r>
      <w:bookmarkEnd w:id="138"/>
      <w:bookmarkEnd w:id="139"/>
      <w:bookmarkEnd w:id="140"/>
    </w:p>
    <w:p w:rsidR="003E14E0" w:rsidRDefault="003E14E0" w:rsidP="00EF45FD">
      <w:pPr>
        <w:pStyle w:val="NormalText"/>
      </w:pPr>
      <w:r w:rsidRPr="0031046C">
        <w:t>Spray drift is assessed to determine th</w:t>
      </w:r>
      <w:r w:rsidR="00A8423E">
        <w:t>e length of buffer necessary (ie</w:t>
      </w:r>
      <w:r w:rsidRPr="0031046C">
        <w:t xml:space="preserve"> “downwind no-spray zone”), to protect aquatic organisms under the proposed use according to APVMA policy for spray drift risk assessment (APVMA 2008a,b,c and 2010a,b).</w:t>
      </w:r>
    </w:p>
    <w:p w:rsidR="003E14E0" w:rsidRDefault="003E14E0" w:rsidP="00EF45FD">
      <w:pPr>
        <w:pStyle w:val="NormalText"/>
      </w:pPr>
      <w:r w:rsidRPr="0031046C">
        <w:t>Concentrations arising in a 3 m wide × 15 cm deep body of water at various distances downwind of the sprayed area are modelled, consistent with EPHC (2009).</w:t>
      </w:r>
    </w:p>
    <w:p w:rsidR="003E14E0" w:rsidRDefault="003E14E0" w:rsidP="00EF45FD">
      <w:pPr>
        <w:pStyle w:val="NormalText"/>
      </w:pPr>
      <w:r w:rsidRPr="0031046C">
        <w:lastRenderedPageBreak/>
        <w:t xml:space="preserve">For ground applications, AgDRIFT® model (Version 2.0.09) is used based on the settings for the appropriate APVMA scenario (2008b). </w:t>
      </w:r>
    </w:p>
    <w:p w:rsidR="003E14E0" w:rsidRPr="0031046C" w:rsidRDefault="003E14E0" w:rsidP="00EF45FD">
      <w:pPr>
        <w:pStyle w:val="NormalText"/>
      </w:pPr>
      <w:r w:rsidRPr="0031046C">
        <w:t xml:space="preserve">The APVMA lists a range of Broadacre Ground Boom application to be used for risk assessment (APVMA 2008b). The most relevant application is determined based on the application scenario.  The application approach will be assessed based on the Application and Use Pattern and draft label. </w:t>
      </w:r>
    </w:p>
    <w:p w:rsidR="003E14E0" w:rsidRPr="00613D2C" w:rsidRDefault="003E14E0" w:rsidP="00EF45FD">
      <w:pPr>
        <w:pStyle w:val="NormalText"/>
      </w:pPr>
      <w:r w:rsidRPr="0031046C">
        <w:t xml:space="preserve">The cumulative application rate is determined based on ac/ha, frequency of application and DT50 values. </w:t>
      </w:r>
    </w:p>
    <w:p w:rsidR="003E14E0" w:rsidRPr="006F7E8B" w:rsidRDefault="00A8423E" w:rsidP="003E14E0">
      <w:pPr>
        <w:pStyle w:val="Heading2"/>
      </w:pPr>
      <w:bookmarkStart w:id="141" w:name="_Toc516737142"/>
      <w:bookmarkStart w:id="142" w:name="_Toc516740375"/>
      <w:bookmarkStart w:id="143" w:name="_Toc526432216"/>
      <w:r>
        <w:t>Runoff m</w:t>
      </w:r>
      <w:r w:rsidR="003E14E0" w:rsidRPr="006F7E8B">
        <w:t>odelling</w:t>
      </w:r>
      <w:bookmarkEnd w:id="141"/>
      <w:bookmarkEnd w:id="142"/>
      <w:bookmarkEnd w:id="143"/>
    </w:p>
    <w:p w:rsidR="003E14E0" w:rsidRDefault="003E14E0" w:rsidP="00EF45FD">
      <w:pPr>
        <w:pStyle w:val="NormalText"/>
      </w:pPr>
      <w:r w:rsidRPr="006F7E8B">
        <w:t xml:space="preserve">Screening level runoff exposure estimates are calculated using an in house model as described in the APVMA Agricultural Manual of Requirements and Guidelines – AgMORAG, Volume 3, Part 7 – Environment </w:t>
      </w:r>
      <w:r w:rsidRPr="006F7E8B">
        <w:fldChar w:fldCharType="begin"/>
      </w:r>
      <w:r w:rsidRPr="006F7E8B">
        <w:instrText xml:space="preserve"> ADDIN EN.CITE &lt;EndNote&gt;&lt;Cite&gt;&lt;Author&gt;APVMA AgMORAG&lt;/Author&gt;&lt;RecNum&gt;53&lt;/RecNum&gt;&lt;DisplayText&gt;APVMA AgMORAG)&lt;/DisplayText&gt;&lt;record&gt;&lt;rec-number&gt;53&lt;/rec-number&gt;&lt;foreign-keys&gt;&lt;key app="EN" db-id="wwpdpsray9dwt7etwtmx52tndf02dfpw2vz2"&gt;53&lt;/key&gt;&lt;/foreign-keys&gt;&lt;ref-type name="Web Page"&gt;12&lt;/ref-type&gt;&lt;contributors&gt;&lt;authors&gt;&lt;author&gt;APVMA AgMORAG,&lt;/author&gt;&lt;/authors&gt;&lt;/contributors&gt;&lt;titles&gt;&lt;title&gt;Agricultural Manual of Requirements and Guidelines - Ag MORAG&lt;/title&gt;&lt;/titles&gt;&lt;volume&gt;2015&lt;/volume&gt;&lt;number&gt;April&lt;/number&gt;&lt;dates&gt;&lt;/dates&gt;&lt;urls&gt;&lt;related-urls&gt;&lt;url&gt;http://archive.apvma.gov.au/morag_ag/vol_3/part_07_environment.php&lt;/url&gt;&lt;/related-urls&gt;&lt;/urls&gt;&lt;/record&gt;&lt;/Cite&gt;&lt;/EndNote&gt;</w:instrText>
      </w:r>
      <w:r w:rsidRPr="006F7E8B">
        <w:fldChar w:fldCharType="separate"/>
      </w:r>
      <w:hyperlink w:anchor="_ENREF_8" w:tooltip="APVMA AgMORAG,  #53" w:history="1">
        <w:r w:rsidRPr="006F7E8B">
          <w:rPr>
            <w:noProof/>
          </w:rPr>
          <w:t>APVMA AgMORAG</w:t>
        </w:r>
      </w:hyperlink>
      <w:r w:rsidRPr="006F7E8B">
        <w:rPr>
          <w:noProof/>
        </w:rPr>
        <w:t>)</w:t>
      </w:r>
      <w:r w:rsidRPr="006F7E8B">
        <w:fldChar w:fldCharType="end"/>
      </w:r>
      <w:r w:rsidRPr="006F7E8B">
        <w:t xml:space="preserve">.  </w:t>
      </w:r>
    </w:p>
    <w:p w:rsidR="003E14E0" w:rsidRDefault="003E14E0" w:rsidP="00EF45FD">
      <w:pPr>
        <w:pStyle w:val="NormalText"/>
      </w:pPr>
      <w:r>
        <w:t>The physio-chemical properties used for runoff calculations include:</w:t>
      </w:r>
    </w:p>
    <w:p w:rsidR="003E14E0" w:rsidRPr="006F7E8B" w:rsidRDefault="008A71CD" w:rsidP="00EF45FD">
      <w:pPr>
        <w:pStyle w:val="Bullet1"/>
        <w:ind w:left="714" w:hanging="357"/>
      </w:pPr>
      <w:r>
        <w:t>c</w:t>
      </w:r>
      <w:r w:rsidR="003E14E0" w:rsidRPr="006F7E8B">
        <w:t>rop situation and critical application characteristics.</w:t>
      </w:r>
    </w:p>
    <w:p w:rsidR="003E14E0" w:rsidRPr="006F7E8B" w:rsidRDefault="008A71CD" w:rsidP="00EF45FD">
      <w:pPr>
        <w:pStyle w:val="Bullet1"/>
        <w:ind w:left="714" w:hanging="357"/>
      </w:pPr>
      <w:r>
        <w:t>m</w:t>
      </w:r>
      <w:r w:rsidR="003E14E0" w:rsidRPr="006F7E8B">
        <w:t>aximum application rate</w:t>
      </w:r>
      <w:r w:rsidR="003E14E0">
        <w:t xml:space="preserve"> (ACg/ha)</w:t>
      </w:r>
    </w:p>
    <w:p w:rsidR="003E14E0" w:rsidRPr="006F7E8B" w:rsidRDefault="008A71CD" w:rsidP="00EF45FD">
      <w:pPr>
        <w:pStyle w:val="Bullet1"/>
        <w:ind w:left="714" w:hanging="357"/>
      </w:pPr>
      <w:r>
        <w:t>w</w:t>
      </w:r>
      <w:r w:rsidR="003E14E0" w:rsidRPr="006F7E8B">
        <w:t>ater solubility</w:t>
      </w:r>
    </w:p>
    <w:p w:rsidR="003E14E0" w:rsidRPr="006F7E8B" w:rsidRDefault="008A71CD" w:rsidP="00EF45FD">
      <w:pPr>
        <w:pStyle w:val="Bullet1"/>
        <w:ind w:left="714" w:hanging="357"/>
      </w:pPr>
      <w:r>
        <w:t>k</w:t>
      </w:r>
      <w:r w:rsidR="003E14E0" w:rsidRPr="006F7E8B">
        <w:t>oc</w:t>
      </w:r>
    </w:p>
    <w:p w:rsidR="003E14E0" w:rsidRPr="006F7E8B" w:rsidRDefault="008A71CD" w:rsidP="00EF45FD">
      <w:pPr>
        <w:pStyle w:val="Bullet1"/>
        <w:ind w:left="714" w:hanging="357"/>
      </w:pPr>
      <w:r>
        <w:t>field d</w:t>
      </w:r>
      <w:r w:rsidR="003E14E0" w:rsidRPr="006F7E8B">
        <w:t>issipation</w:t>
      </w:r>
    </w:p>
    <w:p w:rsidR="003E14E0" w:rsidRPr="006F7E8B" w:rsidRDefault="008A71CD" w:rsidP="00EF45FD">
      <w:pPr>
        <w:pStyle w:val="Bullet1"/>
        <w:ind w:left="714" w:hanging="357"/>
      </w:pPr>
      <w:r>
        <w:t>c</w:t>
      </w:r>
      <w:r w:rsidR="003E14E0" w:rsidRPr="006F7E8B">
        <w:t>ommon carp</w:t>
      </w:r>
      <w:r w:rsidR="003E14E0">
        <w:t xml:space="preserve"> 96 h LC50</w:t>
      </w:r>
    </w:p>
    <w:p w:rsidR="003E14E0" w:rsidRDefault="008A71CD" w:rsidP="00EF45FD">
      <w:pPr>
        <w:pStyle w:val="Bullet1"/>
        <w:ind w:left="714" w:hanging="357"/>
      </w:pPr>
      <w:r>
        <w:t>d</w:t>
      </w:r>
      <w:r w:rsidR="003E14E0" w:rsidRPr="006F7E8B">
        <w:t>aphnia magna</w:t>
      </w:r>
      <w:r w:rsidR="003E14E0">
        <w:t xml:space="preserve"> 21 day NOEC</w:t>
      </w:r>
    </w:p>
    <w:p w:rsidR="003E14E0" w:rsidRDefault="003E14E0" w:rsidP="00EF45FD">
      <w:pPr>
        <w:pStyle w:val="NormalText"/>
      </w:pPr>
      <w:r w:rsidRPr="006F7E8B">
        <w:t xml:space="preserve">The model allows the concentration of pesticide in the ‘edge of field’ runoff water to be calculated for a worst case scenario. The model considers rainfall and run-off water, topography of the land (slope), degradation of the pesticide, mobility of the pesticide, and buffer zones. Consideration is also given to the heterogeneity of fields, interception and retention of the pesticide by crops following foliar applications and transport of the pesticide by suspended sedimentary particles. The proportion of the applied pesticide that is contained in the ‘edge of field’ runoff water is calculated according to </w:t>
      </w:r>
      <w:r w:rsidRPr="006F7E8B">
        <w:rPr>
          <w:b/>
        </w:rPr>
        <w:t xml:space="preserve">Equation 1 </w:t>
      </w:r>
      <w:r w:rsidRPr="006F7E8B">
        <w:t>(Table 8).</w:t>
      </w:r>
      <w:r w:rsidRPr="006F7E8B">
        <w:rPr>
          <w:b/>
        </w:rPr>
        <w:t xml:space="preserve"> </w:t>
      </w:r>
      <w:r w:rsidRPr="006F7E8B">
        <w:t>The concentration of pesticide in the worst case “edge of field” run-off water is calculated by considering the volume of run-off water and the amount of pesticide contained in the runoff water on a per-hectare basis. The model assumes that the volume of runoff water from a 1 ha field is 200,000 litres.</w:t>
      </w:r>
    </w:p>
    <w:p w:rsidR="003E14E0" w:rsidRPr="006F7E8B" w:rsidRDefault="003E14E0" w:rsidP="00EF45FD">
      <w:pPr>
        <w:pStyle w:val="NormalText"/>
      </w:pPr>
      <w:r w:rsidRPr="006F7E8B">
        <w:t>The risk to aquatic organisms is determined by comparing the toxicity endpoints for the most sensitive aquatic organisms with the predicted concentration of pesticide in the ‘edge of field’ runoff water. A tiered approach is used to assess the risk to aquatic organisms from run-off. Initially, the ‘edge of field’ concentration is calculated by considering application specific factors in Tier 1. If risk is shown to aquatic organisms then pesticide specific factors are taken into account in tier 2 (Equation 3). If risks are identified in tier 2 then consideration is given to the field size of the crop and to the dilution of the ‘edge of field’ runoff water in a standard water body (tier 3).</w:t>
      </w:r>
    </w:p>
    <w:p w:rsidR="003E14E0" w:rsidRDefault="003E14E0" w:rsidP="00EF45FD">
      <w:pPr>
        <w:pStyle w:val="NormalText"/>
      </w:pPr>
      <w:r w:rsidRPr="006F7E8B">
        <w:lastRenderedPageBreak/>
        <w:t xml:space="preserve">The equations used for runoff calculations are presented in </w:t>
      </w:r>
      <w:r w:rsidR="004C688B">
        <w:fldChar w:fldCharType="begin"/>
      </w:r>
      <w:r w:rsidR="004C688B">
        <w:instrText xml:space="preserve"> REF _Ref522027303 \h </w:instrText>
      </w:r>
      <w:r w:rsidR="004C688B">
        <w:fldChar w:fldCharType="separate"/>
      </w:r>
      <w:r w:rsidR="00225D67" w:rsidRPr="00FC3094">
        <w:t xml:space="preserve">Table </w:t>
      </w:r>
      <w:r w:rsidR="00225D67">
        <w:rPr>
          <w:noProof/>
        </w:rPr>
        <w:t>2</w:t>
      </w:r>
      <w:r w:rsidR="004C688B">
        <w:fldChar w:fldCharType="end"/>
      </w:r>
      <w:r w:rsidR="004C688B">
        <w:t xml:space="preserve"> </w:t>
      </w:r>
      <w:r w:rsidRPr="006F7E8B">
        <w:t xml:space="preserve">whilst the values for the parameters in </w:t>
      </w:r>
      <w:r w:rsidRPr="006F7E8B">
        <w:rPr>
          <w:b/>
          <w:szCs w:val="22"/>
        </w:rPr>
        <w:t xml:space="preserve">Equation 1 </w:t>
      </w:r>
      <w:r w:rsidRPr="006F7E8B">
        <w:t xml:space="preserve">are presented in </w:t>
      </w:r>
      <w:r w:rsidR="004C688B">
        <w:fldChar w:fldCharType="begin"/>
      </w:r>
      <w:r w:rsidR="004C688B">
        <w:instrText xml:space="preserve"> REF _Ref522027317 \h </w:instrText>
      </w:r>
      <w:r w:rsidR="004C688B">
        <w:fldChar w:fldCharType="separate"/>
      </w:r>
      <w:r w:rsidR="00225D67" w:rsidRPr="00FC3094">
        <w:t xml:space="preserve">Table </w:t>
      </w:r>
      <w:r w:rsidR="00225D67">
        <w:rPr>
          <w:noProof/>
        </w:rPr>
        <w:t>3</w:t>
      </w:r>
      <w:r w:rsidR="004C688B">
        <w:fldChar w:fldCharType="end"/>
      </w:r>
      <w:r w:rsidRPr="006F7E8B">
        <w:t>.</w:t>
      </w:r>
    </w:p>
    <w:p w:rsidR="003E14E0" w:rsidRPr="00FC3094" w:rsidRDefault="003E14E0" w:rsidP="003E14E0">
      <w:pPr>
        <w:pStyle w:val="Caption"/>
      </w:pPr>
      <w:bookmarkStart w:id="144" w:name="_Ref522027303"/>
      <w:r w:rsidRPr="00FC3094">
        <w:t xml:space="preserve">Table </w:t>
      </w:r>
      <w:r w:rsidR="00EA08EB">
        <w:rPr>
          <w:noProof/>
        </w:rPr>
        <w:fldChar w:fldCharType="begin"/>
      </w:r>
      <w:r w:rsidR="00EA08EB">
        <w:rPr>
          <w:noProof/>
        </w:rPr>
        <w:instrText xml:space="preserve"> SEQ Table \* ARABIC </w:instrText>
      </w:r>
      <w:r w:rsidR="00EA08EB">
        <w:rPr>
          <w:noProof/>
        </w:rPr>
        <w:fldChar w:fldCharType="separate"/>
      </w:r>
      <w:r w:rsidR="00225D67">
        <w:rPr>
          <w:noProof/>
        </w:rPr>
        <w:t>2</w:t>
      </w:r>
      <w:r w:rsidR="00EA08EB">
        <w:rPr>
          <w:noProof/>
        </w:rPr>
        <w:fldChar w:fldCharType="end"/>
      </w:r>
      <w:bookmarkEnd w:id="144"/>
      <w:r w:rsidRPr="00FC3094">
        <w:t xml:space="preserve"> - Equations for the Calculation of Pesticide Runoff</w:t>
      </w:r>
    </w:p>
    <w:tbl>
      <w:tblPr>
        <w:tblW w:w="0" w:type="auto"/>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9628"/>
      </w:tblGrid>
      <w:tr w:rsidR="003E14E0" w:rsidRPr="00E44270" w:rsidTr="009C6DF2">
        <w:trPr>
          <w:trHeight w:val="454"/>
          <w:jc w:val="center"/>
        </w:trPr>
        <w:tc>
          <w:tcPr>
            <w:tcW w:w="9923" w:type="dxa"/>
            <w:vAlign w:val="center"/>
          </w:tcPr>
          <w:p w:rsidR="003E14E0" w:rsidRPr="00E44270" w:rsidRDefault="003E14E0" w:rsidP="009C6DF2">
            <w:pPr>
              <w:pStyle w:val="AT"/>
              <w:spacing w:after="120"/>
              <w:ind w:right="-1"/>
              <w:rPr>
                <w:rFonts w:asciiTheme="minorHAnsi" w:hAnsiTheme="minorHAnsi" w:cs="Arial"/>
                <w:b/>
                <w:szCs w:val="22"/>
              </w:rPr>
            </w:pPr>
            <w:r w:rsidRPr="00E44270">
              <w:rPr>
                <w:rFonts w:asciiTheme="minorHAnsi" w:hAnsiTheme="minorHAnsi" w:cs="Arial"/>
                <w:szCs w:val="22"/>
              </w:rPr>
              <w:t>L%runoff = (R/P) × Crsoil_surface × f1slope × f2bufferzone × f3foliar_application × heterogeneity_factor × 100 + suspended_pesticide; (</w:t>
            </w:r>
            <w:r w:rsidRPr="00E44270">
              <w:rPr>
                <w:rFonts w:asciiTheme="minorHAnsi" w:hAnsiTheme="minorHAnsi" w:cs="Arial"/>
                <w:b/>
                <w:szCs w:val="22"/>
              </w:rPr>
              <w:t>Equation 1</w:t>
            </w:r>
            <w:r w:rsidRPr="00E44270">
              <w:rPr>
                <w:rFonts w:asciiTheme="minorHAnsi" w:hAnsiTheme="minorHAnsi" w:cs="Arial"/>
                <w:szCs w:val="22"/>
              </w:rPr>
              <w:t>).</w:t>
            </w:r>
          </w:p>
        </w:tc>
      </w:tr>
      <w:tr w:rsidR="003E14E0" w:rsidRPr="00E44270" w:rsidTr="009C6DF2">
        <w:trPr>
          <w:trHeight w:val="454"/>
          <w:jc w:val="center"/>
        </w:trPr>
        <w:tc>
          <w:tcPr>
            <w:tcW w:w="9923" w:type="dxa"/>
            <w:vAlign w:val="center"/>
          </w:tcPr>
          <w:p w:rsidR="003E14E0" w:rsidRPr="00E44270" w:rsidRDefault="003E14E0" w:rsidP="009C6DF2">
            <w:pPr>
              <w:pStyle w:val="AT"/>
              <w:spacing w:after="120"/>
              <w:ind w:right="-1"/>
              <w:rPr>
                <w:rFonts w:asciiTheme="minorHAnsi" w:hAnsiTheme="minorHAnsi" w:cs="Arial"/>
                <w:b/>
                <w:szCs w:val="22"/>
              </w:rPr>
            </w:pPr>
            <w:r w:rsidRPr="00E44270">
              <w:rPr>
                <w:rFonts w:asciiTheme="minorHAnsi" w:hAnsiTheme="minorHAnsi" w:cs="Arial"/>
                <w:szCs w:val="22"/>
              </w:rPr>
              <w:t>f1slope = 0.02153 × slope + 0.001423 × slope</w:t>
            </w:r>
            <w:r w:rsidRPr="00E44270">
              <w:rPr>
                <w:rFonts w:asciiTheme="minorHAnsi" w:hAnsiTheme="minorHAnsi" w:cs="Arial"/>
                <w:szCs w:val="22"/>
                <w:vertAlign w:val="superscript"/>
              </w:rPr>
              <w:t>2</w:t>
            </w:r>
            <w:r w:rsidRPr="00E44270">
              <w:rPr>
                <w:rFonts w:asciiTheme="minorHAnsi" w:hAnsiTheme="minorHAnsi" w:cs="Arial"/>
                <w:szCs w:val="22"/>
              </w:rPr>
              <w:t>;</w:t>
            </w:r>
            <w:r w:rsidRPr="00E44270">
              <w:rPr>
                <w:rFonts w:asciiTheme="minorHAnsi" w:hAnsiTheme="minorHAnsi" w:cs="Arial"/>
                <w:szCs w:val="22"/>
                <w:vertAlign w:val="subscript"/>
              </w:rPr>
              <w:t xml:space="preserve"> </w:t>
            </w:r>
            <w:r w:rsidRPr="00E44270">
              <w:rPr>
                <w:rFonts w:asciiTheme="minorHAnsi" w:hAnsiTheme="minorHAnsi" w:cs="Arial"/>
                <w:szCs w:val="22"/>
              </w:rPr>
              <w:t>where slope is expressed as % (</w:t>
            </w:r>
            <w:r w:rsidRPr="00E44270">
              <w:rPr>
                <w:rFonts w:asciiTheme="minorHAnsi" w:hAnsiTheme="minorHAnsi" w:cs="Arial"/>
                <w:b/>
                <w:szCs w:val="22"/>
              </w:rPr>
              <w:t>Equation 2</w:t>
            </w:r>
            <w:r w:rsidRPr="00E44270">
              <w:rPr>
                <w:rFonts w:asciiTheme="minorHAnsi" w:hAnsiTheme="minorHAnsi" w:cs="Arial"/>
                <w:szCs w:val="22"/>
              </w:rPr>
              <w:t>).</w:t>
            </w:r>
          </w:p>
        </w:tc>
      </w:tr>
      <w:tr w:rsidR="003E14E0" w:rsidRPr="00E44270" w:rsidTr="009C6DF2">
        <w:trPr>
          <w:trHeight w:val="454"/>
          <w:jc w:val="center"/>
        </w:trPr>
        <w:tc>
          <w:tcPr>
            <w:tcW w:w="9923" w:type="dxa"/>
            <w:vAlign w:val="center"/>
          </w:tcPr>
          <w:p w:rsidR="003E14E0" w:rsidRPr="00E44270" w:rsidRDefault="003E14E0" w:rsidP="009C6DF2">
            <w:pPr>
              <w:pStyle w:val="AT"/>
              <w:spacing w:after="120"/>
              <w:ind w:right="-1"/>
              <w:rPr>
                <w:rFonts w:asciiTheme="minorHAnsi" w:hAnsiTheme="minorHAnsi" w:cs="Arial"/>
                <w:b/>
                <w:szCs w:val="22"/>
              </w:rPr>
            </w:pPr>
            <w:r w:rsidRPr="00E44270">
              <w:rPr>
                <w:rFonts w:asciiTheme="minorHAnsi" w:hAnsiTheme="minorHAnsi" w:cs="Arial"/>
                <w:szCs w:val="22"/>
              </w:rPr>
              <w:t>Crsoil_surface = e</w:t>
            </w:r>
            <w:r w:rsidRPr="00E44270">
              <w:rPr>
                <w:rFonts w:asciiTheme="minorHAnsi" w:hAnsiTheme="minorHAnsi" w:cs="Arial"/>
                <w:szCs w:val="22"/>
                <w:vertAlign w:val="superscript"/>
              </w:rPr>
              <w:t>(-3 ln2/DT50)</w:t>
            </w:r>
            <w:r w:rsidRPr="00E44270">
              <w:rPr>
                <w:rFonts w:asciiTheme="minorHAnsi" w:hAnsiTheme="minorHAnsi" w:cs="Arial"/>
                <w:szCs w:val="22"/>
              </w:rPr>
              <w:t xml:space="preserve"> × (1/(1+Kd)); for three days of degradation (</w:t>
            </w:r>
            <w:r w:rsidRPr="00E44270">
              <w:rPr>
                <w:rFonts w:asciiTheme="minorHAnsi" w:hAnsiTheme="minorHAnsi" w:cs="Arial"/>
                <w:b/>
                <w:szCs w:val="22"/>
              </w:rPr>
              <w:t>Equation 3</w:t>
            </w:r>
            <w:r w:rsidRPr="00E44270">
              <w:rPr>
                <w:rFonts w:asciiTheme="minorHAnsi" w:hAnsiTheme="minorHAnsi" w:cs="Arial"/>
                <w:szCs w:val="22"/>
              </w:rPr>
              <w:t>).</w:t>
            </w:r>
          </w:p>
        </w:tc>
      </w:tr>
      <w:tr w:rsidR="003E14E0" w:rsidRPr="00E44270" w:rsidTr="009C6DF2">
        <w:trPr>
          <w:trHeight w:val="454"/>
          <w:jc w:val="center"/>
        </w:trPr>
        <w:tc>
          <w:tcPr>
            <w:tcW w:w="9923" w:type="dxa"/>
            <w:vAlign w:val="center"/>
          </w:tcPr>
          <w:p w:rsidR="003E14E0" w:rsidRPr="00E44270" w:rsidRDefault="003E14E0" w:rsidP="009C6DF2">
            <w:pPr>
              <w:spacing w:before="120"/>
              <w:ind w:right="-1"/>
              <w:jc w:val="both"/>
              <w:rPr>
                <w:rFonts w:asciiTheme="minorHAnsi" w:hAnsiTheme="minorHAnsi" w:cs="Arial"/>
                <w:b/>
                <w:sz w:val="22"/>
                <w:szCs w:val="22"/>
              </w:rPr>
            </w:pPr>
            <w:r w:rsidRPr="00E44270">
              <w:rPr>
                <w:rFonts w:asciiTheme="minorHAnsi" w:hAnsiTheme="minorHAnsi" w:cs="Arial"/>
                <w:sz w:val="22"/>
                <w:szCs w:val="22"/>
              </w:rPr>
              <w:t>f3foliar_application = (1 - F</w:t>
            </w:r>
            <w:r w:rsidRPr="00E44270">
              <w:rPr>
                <w:rFonts w:asciiTheme="minorHAnsi" w:hAnsiTheme="minorHAnsi" w:cs="Arial"/>
                <w:sz w:val="22"/>
                <w:szCs w:val="22"/>
                <w:vertAlign w:val="subscript"/>
              </w:rPr>
              <w:t>ret</w:t>
            </w:r>
            <w:r w:rsidRPr="00E44270">
              <w:rPr>
                <w:rFonts w:asciiTheme="minorHAnsi" w:hAnsiTheme="minorHAnsi" w:cs="Arial"/>
                <w:sz w:val="22"/>
                <w:szCs w:val="22"/>
              </w:rPr>
              <w:t>); (</w:t>
            </w:r>
            <w:r w:rsidRPr="00E44270">
              <w:rPr>
                <w:rFonts w:asciiTheme="minorHAnsi" w:hAnsiTheme="minorHAnsi" w:cs="Arial"/>
                <w:b/>
                <w:sz w:val="22"/>
                <w:szCs w:val="22"/>
              </w:rPr>
              <w:t>Equation 4</w:t>
            </w:r>
            <w:r w:rsidRPr="00E44270">
              <w:rPr>
                <w:rFonts w:asciiTheme="minorHAnsi" w:hAnsiTheme="minorHAnsi" w:cs="Arial"/>
                <w:sz w:val="22"/>
                <w:szCs w:val="22"/>
              </w:rPr>
              <w:t>) where F</w:t>
            </w:r>
            <w:r w:rsidRPr="00E44270">
              <w:rPr>
                <w:rFonts w:asciiTheme="minorHAnsi" w:hAnsiTheme="minorHAnsi" w:cs="Arial"/>
                <w:sz w:val="22"/>
                <w:szCs w:val="22"/>
                <w:vertAlign w:val="subscript"/>
              </w:rPr>
              <w:t>ret</w:t>
            </w:r>
            <w:r w:rsidRPr="00E44270">
              <w:rPr>
                <w:rFonts w:asciiTheme="minorHAnsi" w:hAnsiTheme="minorHAnsi" w:cs="Arial"/>
                <w:sz w:val="22"/>
                <w:szCs w:val="22"/>
              </w:rPr>
              <w:t xml:space="preserve"> is fraction of pesticide retained by crop and is assumed to be 50% of the fraction intercepted by the crop (F</w:t>
            </w:r>
            <w:r w:rsidRPr="00E44270">
              <w:rPr>
                <w:rFonts w:asciiTheme="minorHAnsi" w:hAnsiTheme="minorHAnsi" w:cs="Arial"/>
                <w:sz w:val="22"/>
                <w:szCs w:val="22"/>
                <w:vertAlign w:val="subscript"/>
              </w:rPr>
              <w:t>int</w:t>
            </w:r>
            <w:r w:rsidRPr="00E44270">
              <w:rPr>
                <w:rFonts w:asciiTheme="minorHAnsi" w:hAnsiTheme="minorHAnsi" w:cs="Arial"/>
                <w:sz w:val="22"/>
                <w:szCs w:val="22"/>
              </w:rPr>
              <w:t>).</w:t>
            </w:r>
          </w:p>
        </w:tc>
      </w:tr>
    </w:tbl>
    <w:p w:rsidR="003E14E0" w:rsidRPr="00FC3094" w:rsidRDefault="003E14E0" w:rsidP="003E14E0">
      <w:pPr>
        <w:pStyle w:val="Caption"/>
      </w:pPr>
      <w:bookmarkStart w:id="145" w:name="_Ref522027317"/>
      <w:r w:rsidRPr="00FC3094">
        <w:t xml:space="preserve">Table </w:t>
      </w:r>
      <w:r w:rsidR="00EA08EB">
        <w:rPr>
          <w:noProof/>
        </w:rPr>
        <w:fldChar w:fldCharType="begin"/>
      </w:r>
      <w:r w:rsidR="00EA08EB">
        <w:rPr>
          <w:noProof/>
        </w:rPr>
        <w:instrText xml:space="preserve"> SEQ Table \* ARABIC </w:instrText>
      </w:r>
      <w:r w:rsidR="00EA08EB">
        <w:rPr>
          <w:noProof/>
        </w:rPr>
        <w:fldChar w:fldCharType="separate"/>
      </w:r>
      <w:r w:rsidR="00225D67">
        <w:rPr>
          <w:noProof/>
        </w:rPr>
        <w:t>3</w:t>
      </w:r>
      <w:r w:rsidR="00EA08EB">
        <w:rPr>
          <w:noProof/>
        </w:rPr>
        <w:fldChar w:fldCharType="end"/>
      </w:r>
      <w:bookmarkEnd w:id="145"/>
      <w:r w:rsidRPr="00FC3094">
        <w:t xml:space="preserve"> - Values for the Parameters in Equation 1</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0"/>
        <w:gridCol w:w="4313"/>
      </w:tblGrid>
      <w:tr w:rsidR="003E14E0" w:rsidRPr="00FC3094" w:rsidTr="00B06AAB">
        <w:trPr>
          <w:trHeight w:val="397"/>
          <w:jc w:val="center"/>
        </w:trPr>
        <w:tc>
          <w:tcPr>
            <w:tcW w:w="5610" w:type="dxa"/>
            <w:vAlign w:val="center"/>
          </w:tcPr>
          <w:p w:rsidR="003E14E0" w:rsidRPr="00FC3094" w:rsidRDefault="003E14E0" w:rsidP="009C6DF2">
            <w:pPr>
              <w:keepNext/>
              <w:ind w:right="-1"/>
              <w:rPr>
                <w:rFonts w:cs="Arial"/>
                <w:b/>
                <w:i/>
                <w:szCs w:val="20"/>
              </w:rPr>
            </w:pPr>
            <w:r w:rsidRPr="00FC3094">
              <w:rPr>
                <w:rFonts w:cs="Arial"/>
                <w:b/>
                <w:i/>
                <w:szCs w:val="20"/>
              </w:rPr>
              <w:t>Parameter</w:t>
            </w:r>
          </w:p>
        </w:tc>
        <w:tc>
          <w:tcPr>
            <w:tcW w:w="4313" w:type="dxa"/>
            <w:vAlign w:val="center"/>
          </w:tcPr>
          <w:p w:rsidR="003E14E0" w:rsidRPr="00FC3094" w:rsidRDefault="003E14E0" w:rsidP="009C6DF2">
            <w:pPr>
              <w:keepNext/>
              <w:ind w:right="-1"/>
              <w:rPr>
                <w:rFonts w:cs="Arial"/>
                <w:b/>
                <w:i/>
                <w:szCs w:val="20"/>
              </w:rPr>
            </w:pPr>
            <w:r w:rsidRPr="00FC3094">
              <w:rPr>
                <w:rFonts w:cs="Arial"/>
                <w:b/>
                <w:i/>
                <w:szCs w:val="20"/>
              </w:rPr>
              <w:t>Value</w:t>
            </w:r>
          </w:p>
        </w:tc>
      </w:tr>
      <w:tr w:rsidR="003E14E0" w:rsidRPr="00FC3094" w:rsidTr="00B06AAB">
        <w:trPr>
          <w:trHeight w:val="397"/>
          <w:jc w:val="center"/>
        </w:trPr>
        <w:tc>
          <w:tcPr>
            <w:tcW w:w="5610" w:type="dxa"/>
            <w:vAlign w:val="center"/>
          </w:tcPr>
          <w:p w:rsidR="003E14E0" w:rsidRPr="00FC3094" w:rsidRDefault="003E14E0" w:rsidP="009C6DF2">
            <w:pPr>
              <w:keepNext/>
              <w:ind w:right="-1"/>
              <w:rPr>
                <w:rFonts w:cs="Arial"/>
                <w:szCs w:val="20"/>
              </w:rPr>
            </w:pPr>
            <w:r w:rsidRPr="00FC3094">
              <w:rPr>
                <w:rFonts w:cs="Arial"/>
                <w:szCs w:val="20"/>
              </w:rPr>
              <w:t>R (The daily quantity of runoff water)</w:t>
            </w:r>
          </w:p>
        </w:tc>
        <w:tc>
          <w:tcPr>
            <w:tcW w:w="4313" w:type="dxa"/>
            <w:vAlign w:val="center"/>
          </w:tcPr>
          <w:p w:rsidR="003E14E0" w:rsidRPr="00FC3094" w:rsidRDefault="003E14E0" w:rsidP="009C6DF2">
            <w:pPr>
              <w:keepNext/>
              <w:ind w:right="-1"/>
              <w:rPr>
                <w:rFonts w:cs="Arial"/>
                <w:szCs w:val="20"/>
              </w:rPr>
            </w:pPr>
            <w:r w:rsidRPr="00FC3094">
              <w:rPr>
                <w:rFonts w:cs="Arial"/>
                <w:szCs w:val="20"/>
              </w:rPr>
              <w:t>20 mm (default value)</w:t>
            </w:r>
          </w:p>
        </w:tc>
      </w:tr>
      <w:tr w:rsidR="003E14E0" w:rsidRPr="00FC3094" w:rsidTr="00B06AAB">
        <w:trPr>
          <w:trHeight w:val="397"/>
          <w:jc w:val="center"/>
        </w:trPr>
        <w:tc>
          <w:tcPr>
            <w:tcW w:w="5610" w:type="dxa"/>
            <w:vAlign w:val="center"/>
          </w:tcPr>
          <w:p w:rsidR="003E14E0" w:rsidRPr="00FC3094" w:rsidRDefault="003E14E0" w:rsidP="009C6DF2">
            <w:pPr>
              <w:keepNext/>
              <w:ind w:right="-1"/>
              <w:rPr>
                <w:rFonts w:cs="Arial"/>
                <w:szCs w:val="20"/>
              </w:rPr>
            </w:pPr>
            <w:r w:rsidRPr="00FC3094">
              <w:rPr>
                <w:rFonts w:cs="Arial"/>
                <w:szCs w:val="20"/>
              </w:rPr>
              <w:t>P (The daily precipitation)</w:t>
            </w:r>
          </w:p>
        </w:tc>
        <w:tc>
          <w:tcPr>
            <w:tcW w:w="4313" w:type="dxa"/>
            <w:vAlign w:val="center"/>
          </w:tcPr>
          <w:p w:rsidR="003E14E0" w:rsidRPr="00FC3094" w:rsidRDefault="003E14E0" w:rsidP="009C6DF2">
            <w:pPr>
              <w:keepNext/>
              <w:ind w:right="-1"/>
              <w:rPr>
                <w:rFonts w:cs="Arial"/>
                <w:szCs w:val="20"/>
              </w:rPr>
            </w:pPr>
            <w:r w:rsidRPr="00FC3094">
              <w:rPr>
                <w:rFonts w:cs="Arial"/>
                <w:szCs w:val="20"/>
              </w:rPr>
              <w:t>100 mm (default value)</w:t>
            </w:r>
          </w:p>
        </w:tc>
      </w:tr>
      <w:tr w:rsidR="003E14E0" w:rsidRPr="00FC3094" w:rsidTr="00B06AAB">
        <w:trPr>
          <w:trHeight w:val="397"/>
          <w:jc w:val="center"/>
        </w:trPr>
        <w:tc>
          <w:tcPr>
            <w:tcW w:w="5610" w:type="dxa"/>
            <w:vMerge w:val="restart"/>
            <w:vAlign w:val="center"/>
          </w:tcPr>
          <w:p w:rsidR="003E14E0" w:rsidRPr="00FC3094" w:rsidRDefault="003E14E0" w:rsidP="009C6DF2">
            <w:pPr>
              <w:keepNext/>
              <w:ind w:right="-1"/>
              <w:rPr>
                <w:rFonts w:cs="Arial"/>
                <w:szCs w:val="20"/>
              </w:rPr>
            </w:pPr>
            <w:r w:rsidRPr="00FC3094">
              <w:rPr>
                <w:rFonts w:cs="Arial"/>
                <w:szCs w:val="20"/>
              </w:rPr>
              <w:t>Crsoil_surface (Concentration reduction factor based on the environmental fate of the pesticide in soil)</w:t>
            </w:r>
          </w:p>
        </w:tc>
        <w:tc>
          <w:tcPr>
            <w:tcW w:w="4313" w:type="dxa"/>
            <w:vAlign w:val="center"/>
          </w:tcPr>
          <w:p w:rsidR="003E14E0" w:rsidRPr="00FC3094" w:rsidRDefault="003E14E0" w:rsidP="009C6DF2">
            <w:pPr>
              <w:keepNext/>
              <w:spacing w:line="360" w:lineRule="auto"/>
              <w:ind w:right="-1"/>
              <w:rPr>
                <w:rFonts w:cs="Arial"/>
                <w:szCs w:val="20"/>
              </w:rPr>
            </w:pPr>
            <w:r w:rsidRPr="00FC3094">
              <w:rPr>
                <w:rFonts w:cs="Arial"/>
                <w:szCs w:val="20"/>
              </w:rPr>
              <w:t>For Tier 1, Crsoil_surface = 1</w:t>
            </w:r>
          </w:p>
        </w:tc>
      </w:tr>
      <w:tr w:rsidR="003E14E0" w:rsidRPr="00FC3094" w:rsidTr="00B06AAB">
        <w:trPr>
          <w:trHeight w:val="397"/>
          <w:jc w:val="center"/>
        </w:trPr>
        <w:tc>
          <w:tcPr>
            <w:tcW w:w="5610" w:type="dxa"/>
            <w:vMerge/>
            <w:vAlign w:val="center"/>
          </w:tcPr>
          <w:p w:rsidR="003E14E0" w:rsidRPr="00FC3094" w:rsidRDefault="003E14E0" w:rsidP="009C6DF2">
            <w:pPr>
              <w:keepNext/>
              <w:ind w:right="-1"/>
              <w:rPr>
                <w:rFonts w:cs="Arial"/>
                <w:szCs w:val="20"/>
              </w:rPr>
            </w:pPr>
          </w:p>
        </w:tc>
        <w:tc>
          <w:tcPr>
            <w:tcW w:w="4313" w:type="dxa"/>
            <w:vAlign w:val="center"/>
          </w:tcPr>
          <w:p w:rsidR="003E14E0" w:rsidRPr="00FC3094" w:rsidRDefault="003E14E0" w:rsidP="009C6DF2">
            <w:pPr>
              <w:keepNext/>
              <w:spacing w:line="360" w:lineRule="auto"/>
              <w:ind w:right="-1"/>
              <w:rPr>
                <w:rFonts w:cs="Arial"/>
                <w:szCs w:val="20"/>
              </w:rPr>
            </w:pPr>
            <w:r w:rsidRPr="00FC3094">
              <w:rPr>
                <w:rFonts w:cs="Arial"/>
                <w:szCs w:val="20"/>
              </w:rPr>
              <w:t>Calculated value for Tier 2 &amp; Tier 3 (Equation  3)</w:t>
            </w:r>
          </w:p>
        </w:tc>
      </w:tr>
      <w:tr w:rsidR="003E14E0" w:rsidRPr="00FC3094" w:rsidTr="00B06AAB">
        <w:trPr>
          <w:trHeight w:val="397"/>
          <w:jc w:val="center"/>
        </w:trPr>
        <w:tc>
          <w:tcPr>
            <w:tcW w:w="5610" w:type="dxa"/>
            <w:vAlign w:val="center"/>
          </w:tcPr>
          <w:p w:rsidR="003E14E0" w:rsidRPr="00FC3094" w:rsidRDefault="003E14E0" w:rsidP="009C6DF2">
            <w:pPr>
              <w:keepNext/>
              <w:ind w:right="-1"/>
              <w:rPr>
                <w:rFonts w:cs="Arial"/>
                <w:szCs w:val="20"/>
              </w:rPr>
            </w:pPr>
            <w:r w:rsidRPr="00FC3094">
              <w:rPr>
                <w:rFonts w:cs="Arial"/>
                <w:szCs w:val="20"/>
              </w:rPr>
              <w:t>f1slope for steep slopes &gt; 12.5% - &lt; 20% (&gt;7° - &lt;11°)</w:t>
            </w:r>
          </w:p>
        </w:tc>
        <w:tc>
          <w:tcPr>
            <w:tcW w:w="4313" w:type="dxa"/>
            <w:vAlign w:val="center"/>
          </w:tcPr>
          <w:p w:rsidR="003E14E0" w:rsidRPr="00FC3094" w:rsidRDefault="003E14E0" w:rsidP="009C6DF2">
            <w:pPr>
              <w:keepNext/>
              <w:ind w:right="-1"/>
              <w:rPr>
                <w:rFonts w:cs="Arial"/>
                <w:szCs w:val="20"/>
              </w:rPr>
            </w:pPr>
            <w:r w:rsidRPr="00FC3094">
              <w:rPr>
                <w:rFonts w:cs="Arial"/>
                <w:szCs w:val="20"/>
              </w:rPr>
              <w:t>1</w:t>
            </w:r>
          </w:p>
        </w:tc>
      </w:tr>
      <w:tr w:rsidR="003E14E0" w:rsidRPr="00FC3094" w:rsidTr="00B06AAB">
        <w:trPr>
          <w:trHeight w:val="397"/>
          <w:jc w:val="center"/>
        </w:trPr>
        <w:tc>
          <w:tcPr>
            <w:tcW w:w="5610" w:type="dxa"/>
            <w:vAlign w:val="center"/>
          </w:tcPr>
          <w:p w:rsidR="003E14E0" w:rsidRPr="00FC3094" w:rsidRDefault="003E14E0" w:rsidP="009C6DF2">
            <w:pPr>
              <w:keepNext/>
              <w:ind w:right="-1"/>
              <w:rPr>
                <w:rFonts w:cs="Arial"/>
                <w:szCs w:val="20"/>
              </w:rPr>
            </w:pPr>
            <w:r w:rsidRPr="00FC3094">
              <w:rPr>
                <w:rFonts w:cs="Arial"/>
                <w:szCs w:val="20"/>
              </w:rPr>
              <w:t>f1slope for ordinary slopes &gt; 4% - ≤ 12.5% (&gt; 2° - ≤ 7°)</w:t>
            </w:r>
          </w:p>
        </w:tc>
        <w:tc>
          <w:tcPr>
            <w:tcW w:w="4313" w:type="dxa"/>
            <w:vAlign w:val="center"/>
          </w:tcPr>
          <w:p w:rsidR="003E14E0" w:rsidRPr="00FC3094" w:rsidRDefault="003E14E0" w:rsidP="009C6DF2">
            <w:pPr>
              <w:keepNext/>
              <w:ind w:right="-1"/>
              <w:rPr>
                <w:rFonts w:cs="Arial"/>
                <w:szCs w:val="20"/>
              </w:rPr>
            </w:pPr>
            <w:r w:rsidRPr="00FC3094">
              <w:rPr>
                <w:rFonts w:cs="Arial"/>
                <w:szCs w:val="20"/>
              </w:rPr>
              <w:t>0.5 (default value)</w:t>
            </w:r>
          </w:p>
        </w:tc>
      </w:tr>
      <w:tr w:rsidR="003E14E0" w:rsidRPr="00FC3094" w:rsidTr="00B06AAB">
        <w:trPr>
          <w:trHeight w:val="397"/>
          <w:jc w:val="center"/>
        </w:trPr>
        <w:tc>
          <w:tcPr>
            <w:tcW w:w="5610" w:type="dxa"/>
            <w:vAlign w:val="center"/>
          </w:tcPr>
          <w:p w:rsidR="003E14E0" w:rsidRPr="00FC3094" w:rsidRDefault="003E14E0" w:rsidP="009C6DF2">
            <w:pPr>
              <w:keepNext/>
              <w:ind w:right="-1"/>
              <w:rPr>
                <w:rFonts w:cs="Arial"/>
                <w:szCs w:val="20"/>
              </w:rPr>
            </w:pPr>
            <w:r w:rsidRPr="00FC3094">
              <w:rPr>
                <w:rFonts w:cs="Arial"/>
                <w:szCs w:val="20"/>
              </w:rPr>
              <w:t>f1slope for gentle slopes ≤ 4% (≤ 2°)</w:t>
            </w:r>
          </w:p>
        </w:tc>
        <w:tc>
          <w:tcPr>
            <w:tcW w:w="4313" w:type="dxa"/>
            <w:vAlign w:val="center"/>
          </w:tcPr>
          <w:p w:rsidR="003E14E0" w:rsidRPr="00FC3094" w:rsidRDefault="003E14E0" w:rsidP="009C6DF2">
            <w:pPr>
              <w:keepNext/>
              <w:ind w:right="-1"/>
              <w:rPr>
                <w:rFonts w:cs="Arial"/>
                <w:szCs w:val="20"/>
              </w:rPr>
            </w:pPr>
            <w:r w:rsidRPr="00FC3094">
              <w:rPr>
                <w:rFonts w:cs="Arial"/>
                <w:szCs w:val="20"/>
              </w:rPr>
              <w:t>0.1</w:t>
            </w:r>
          </w:p>
        </w:tc>
      </w:tr>
      <w:tr w:rsidR="003E14E0" w:rsidRPr="00FC3094" w:rsidTr="00B06AAB">
        <w:trPr>
          <w:trHeight w:val="397"/>
          <w:jc w:val="center"/>
        </w:trPr>
        <w:tc>
          <w:tcPr>
            <w:tcW w:w="5610" w:type="dxa"/>
            <w:vAlign w:val="center"/>
          </w:tcPr>
          <w:p w:rsidR="003E14E0" w:rsidRPr="00FC3094" w:rsidRDefault="003E14E0" w:rsidP="009C6DF2">
            <w:pPr>
              <w:keepNext/>
              <w:ind w:right="-1"/>
              <w:rPr>
                <w:rFonts w:cs="Arial"/>
                <w:szCs w:val="20"/>
              </w:rPr>
            </w:pPr>
            <w:r w:rsidRPr="00FC3094">
              <w:rPr>
                <w:rFonts w:cs="Arial"/>
                <w:szCs w:val="20"/>
              </w:rPr>
              <w:t>f2bufferzone (Represents the reduction of pesticide in runoff water due to buffer zones)</w:t>
            </w:r>
          </w:p>
        </w:tc>
        <w:tc>
          <w:tcPr>
            <w:tcW w:w="4313" w:type="dxa"/>
            <w:vAlign w:val="center"/>
          </w:tcPr>
          <w:p w:rsidR="003E14E0" w:rsidRPr="00FC3094" w:rsidRDefault="003E14E0" w:rsidP="009C6DF2">
            <w:pPr>
              <w:keepNext/>
              <w:ind w:right="-1"/>
              <w:rPr>
                <w:rFonts w:cs="Arial"/>
                <w:szCs w:val="20"/>
              </w:rPr>
            </w:pPr>
            <w:r w:rsidRPr="00FC3094">
              <w:rPr>
                <w:rFonts w:cs="Arial"/>
                <w:szCs w:val="20"/>
              </w:rPr>
              <w:t>1 (default value)</w:t>
            </w:r>
          </w:p>
        </w:tc>
      </w:tr>
      <w:tr w:rsidR="003E14E0" w:rsidRPr="00FC3094" w:rsidTr="00B06AAB">
        <w:trPr>
          <w:trHeight w:val="397"/>
          <w:jc w:val="center"/>
        </w:trPr>
        <w:tc>
          <w:tcPr>
            <w:tcW w:w="5610" w:type="dxa"/>
            <w:vAlign w:val="center"/>
          </w:tcPr>
          <w:p w:rsidR="003E14E0" w:rsidRPr="00FC3094" w:rsidRDefault="003E14E0" w:rsidP="009C6DF2">
            <w:pPr>
              <w:keepNext/>
              <w:ind w:right="-1"/>
              <w:rPr>
                <w:rFonts w:cs="Arial"/>
                <w:szCs w:val="20"/>
              </w:rPr>
            </w:pPr>
            <w:r w:rsidRPr="00FC3094">
              <w:rPr>
                <w:rFonts w:cs="Arial"/>
                <w:szCs w:val="20"/>
              </w:rPr>
              <w:t>f3foliar_application (The amount of foliar applied pesticide available for runoff.)</w:t>
            </w:r>
          </w:p>
        </w:tc>
        <w:tc>
          <w:tcPr>
            <w:tcW w:w="4313" w:type="dxa"/>
            <w:vAlign w:val="center"/>
          </w:tcPr>
          <w:p w:rsidR="003E14E0" w:rsidRPr="00FC3094" w:rsidRDefault="003E14E0" w:rsidP="009C6DF2">
            <w:pPr>
              <w:keepNext/>
              <w:ind w:right="-1"/>
              <w:rPr>
                <w:rFonts w:cs="Arial"/>
                <w:szCs w:val="20"/>
              </w:rPr>
            </w:pPr>
            <w:r w:rsidRPr="00FC3094">
              <w:rPr>
                <w:rFonts w:cs="Arial"/>
                <w:szCs w:val="20"/>
              </w:rPr>
              <w:t>Calculated (Equation 4)</w:t>
            </w:r>
          </w:p>
        </w:tc>
      </w:tr>
      <w:tr w:rsidR="003E14E0" w:rsidRPr="00FC3094" w:rsidTr="00B06AAB">
        <w:trPr>
          <w:trHeight w:val="397"/>
          <w:jc w:val="center"/>
        </w:trPr>
        <w:tc>
          <w:tcPr>
            <w:tcW w:w="5610" w:type="dxa"/>
            <w:vAlign w:val="center"/>
          </w:tcPr>
          <w:p w:rsidR="003E14E0" w:rsidRPr="00FC3094" w:rsidRDefault="003E14E0" w:rsidP="009C6DF2">
            <w:pPr>
              <w:keepNext/>
              <w:ind w:right="-1"/>
              <w:rPr>
                <w:rFonts w:cs="Arial"/>
                <w:szCs w:val="20"/>
              </w:rPr>
            </w:pPr>
            <w:r w:rsidRPr="00FC3094">
              <w:rPr>
                <w:rFonts w:cs="Arial"/>
                <w:szCs w:val="20"/>
              </w:rPr>
              <w:t>f3foliar_application (When pesticide is applied to bare soil or weeds no foliar interception occurs; F</w:t>
            </w:r>
            <w:r w:rsidRPr="00FC3094">
              <w:rPr>
                <w:rFonts w:cs="Arial"/>
                <w:szCs w:val="20"/>
                <w:vertAlign w:val="subscript"/>
              </w:rPr>
              <w:t>int</w:t>
            </w:r>
            <w:r w:rsidRPr="00FC3094">
              <w:rPr>
                <w:rFonts w:cs="Arial"/>
                <w:szCs w:val="20"/>
              </w:rPr>
              <w:t xml:space="preserve"> = 0)</w:t>
            </w:r>
          </w:p>
        </w:tc>
        <w:tc>
          <w:tcPr>
            <w:tcW w:w="4313" w:type="dxa"/>
            <w:vAlign w:val="center"/>
          </w:tcPr>
          <w:p w:rsidR="003E14E0" w:rsidRPr="00FC3094" w:rsidRDefault="003E14E0" w:rsidP="009C6DF2">
            <w:pPr>
              <w:keepNext/>
              <w:ind w:right="-1"/>
              <w:rPr>
                <w:rFonts w:cs="Arial"/>
                <w:szCs w:val="20"/>
              </w:rPr>
            </w:pPr>
            <w:r w:rsidRPr="00FC3094">
              <w:rPr>
                <w:rFonts w:cs="Arial"/>
                <w:szCs w:val="20"/>
              </w:rPr>
              <w:t>1</w:t>
            </w:r>
          </w:p>
        </w:tc>
      </w:tr>
      <w:tr w:rsidR="003E14E0" w:rsidRPr="00FC3094" w:rsidTr="00B06AAB">
        <w:trPr>
          <w:trHeight w:val="397"/>
          <w:jc w:val="center"/>
        </w:trPr>
        <w:tc>
          <w:tcPr>
            <w:tcW w:w="5610" w:type="dxa"/>
            <w:vAlign w:val="center"/>
          </w:tcPr>
          <w:p w:rsidR="003E14E0" w:rsidRPr="00FC3094" w:rsidRDefault="003E14E0" w:rsidP="009C6DF2">
            <w:pPr>
              <w:keepNext/>
              <w:ind w:right="-1"/>
              <w:rPr>
                <w:rFonts w:cs="Arial"/>
                <w:szCs w:val="20"/>
              </w:rPr>
            </w:pPr>
            <w:r w:rsidRPr="00FC3094">
              <w:rPr>
                <w:rFonts w:cs="Arial"/>
                <w:szCs w:val="20"/>
              </w:rPr>
              <w:t>Heterogeneity factor</w:t>
            </w:r>
          </w:p>
        </w:tc>
        <w:tc>
          <w:tcPr>
            <w:tcW w:w="4313" w:type="dxa"/>
            <w:vAlign w:val="center"/>
          </w:tcPr>
          <w:p w:rsidR="003E14E0" w:rsidRPr="00FC3094" w:rsidRDefault="003E14E0" w:rsidP="009C6DF2">
            <w:pPr>
              <w:keepNext/>
              <w:ind w:right="-1"/>
              <w:rPr>
                <w:rFonts w:cs="Arial"/>
                <w:szCs w:val="20"/>
              </w:rPr>
            </w:pPr>
            <w:r w:rsidRPr="00FC3094">
              <w:rPr>
                <w:rFonts w:cs="Arial"/>
                <w:szCs w:val="20"/>
              </w:rPr>
              <w:t>0.5 (default value)</w:t>
            </w:r>
          </w:p>
        </w:tc>
      </w:tr>
      <w:tr w:rsidR="003E14E0" w:rsidRPr="00FC3094" w:rsidTr="00B06AAB">
        <w:trPr>
          <w:trHeight w:val="397"/>
          <w:jc w:val="center"/>
        </w:trPr>
        <w:tc>
          <w:tcPr>
            <w:tcW w:w="5610" w:type="dxa"/>
            <w:vAlign w:val="center"/>
          </w:tcPr>
          <w:p w:rsidR="003E14E0" w:rsidRPr="00FC3094" w:rsidRDefault="003E14E0" w:rsidP="009C6DF2">
            <w:pPr>
              <w:keepNext/>
              <w:ind w:right="-1"/>
              <w:rPr>
                <w:rFonts w:cs="Arial"/>
                <w:szCs w:val="20"/>
              </w:rPr>
            </w:pPr>
            <w:r w:rsidRPr="00FC3094">
              <w:rPr>
                <w:rFonts w:cs="Arial"/>
                <w:szCs w:val="20"/>
              </w:rPr>
              <w:t>Suspended pesticide</w:t>
            </w:r>
          </w:p>
        </w:tc>
        <w:tc>
          <w:tcPr>
            <w:tcW w:w="4313" w:type="dxa"/>
            <w:vAlign w:val="center"/>
          </w:tcPr>
          <w:p w:rsidR="003E14E0" w:rsidRPr="00FC3094" w:rsidRDefault="003E14E0" w:rsidP="009C6DF2">
            <w:pPr>
              <w:keepNext/>
              <w:ind w:right="-1"/>
              <w:rPr>
                <w:rFonts w:cs="Arial"/>
                <w:szCs w:val="20"/>
              </w:rPr>
            </w:pPr>
            <w:r w:rsidRPr="00FC3094">
              <w:rPr>
                <w:rFonts w:cs="Arial"/>
                <w:szCs w:val="20"/>
              </w:rPr>
              <w:t>0 (default value)</w:t>
            </w:r>
          </w:p>
        </w:tc>
      </w:tr>
      <w:tr w:rsidR="003E14E0" w:rsidRPr="00FC3094" w:rsidTr="00B06AAB">
        <w:trPr>
          <w:trHeight w:val="397"/>
          <w:jc w:val="center"/>
        </w:trPr>
        <w:tc>
          <w:tcPr>
            <w:tcW w:w="5610" w:type="dxa"/>
            <w:vAlign w:val="center"/>
          </w:tcPr>
          <w:p w:rsidR="003E14E0" w:rsidRPr="00FC3094" w:rsidRDefault="003E14E0" w:rsidP="009C6DF2">
            <w:pPr>
              <w:keepNext/>
              <w:ind w:right="-1"/>
              <w:rPr>
                <w:rFonts w:cs="Arial"/>
                <w:szCs w:val="20"/>
              </w:rPr>
            </w:pPr>
            <w:r w:rsidRPr="00FC3094">
              <w:rPr>
                <w:rFonts w:cs="Arial"/>
                <w:szCs w:val="20"/>
              </w:rPr>
              <w:t>Volume of water in the edge of field runoff</w:t>
            </w:r>
          </w:p>
        </w:tc>
        <w:tc>
          <w:tcPr>
            <w:tcW w:w="4313" w:type="dxa"/>
            <w:vAlign w:val="center"/>
          </w:tcPr>
          <w:p w:rsidR="003E14E0" w:rsidRPr="00FC3094" w:rsidRDefault="003E14E0" w:rsidP="009C6DF2">
            <w:pPr>
              <w:keepNext/>
              <w:ind w:right="-1"/>
              <w:rPr>
                <w:rFonts w:cs="Arial"/>
                <w:szCs w:val="20"/>
              </w:rPr>
            </w:pPr>
            <w:r w:rsidRPr="00FC3094">
              <w:rPr>
                <w:rFonts w:cs="Arial"/>
                <w:szCs w:val="20"/>
              </w:rPr>
              <w:t xml:space="preserve">200,000 L/ha </w:t>
            </w:r>
          </w:p>
        </w:tc>
      </w:tr>
      <w:tr w:rsidR="003E14E0" w:rsidRPr="00732768" w:rsidTr="00B06AAB">
        <w:trPr>
          <w:trHeight w:val="397"/>
          <w:jc w:val="center"/>
        </w:trPr>
        <w:tc>
          <w:tcPr>
            <w:tcW w:w="5610" w:type="dxa"/>
            <w:vAlign w:val="center"/>
          </w:tcPr>
          <w:p w:rsidR="003E14E0" w:rsidRPr="00FC3094" w:rsidRDefault="003E14E0" w:rsidP="009C6DF2">
            <w:pPr>
              <w:keepNext/>
              <w:ind w:right="-1"/>
              <w:rPr>
                <w:rFonts w:cs="Arial"/>
                <w:szCs w:val="20"/>
              </w:rPr>
            </w:pPr>
            <w:r w:rsidRPr="00FC3094">
              <w:rPr>
                <w:rFonts w:cs="Arial"/>
                <w:szCs w:val="20"/>
              </w:rPr>
              <w:t>Volume of water in a standard water body for Tier 3 calculations on a 1 ha field</w:t>
            </w:r>
          </w:p>
        </w:tc>
        <w:tc>
          <w:tcPr>
            <w:tcW w:w="4313" w:type="dxa"/>
            <w:vAlign w:val="center"/>
          </w:tcPr>
          <w:p w:rsidR="003E14E0" w:rsidRPr="00FC3094" w:rsidRDefault="003E14E0" w:rsidP="009C6DF2">
            <w:pPr>
              <w:keepNext/>
              <w:ind w:right="-1"/>
              <w:rPr>
                <w:rFonts w:cs="Arial"/>
                <w:szCs w:val="20"/>
              </w:rPr>
            </w:pPr>
            <w:r w:rsidRPr="00FC3094">
              <w:rPr>
                <w:rFonts w:cs="Arial"/>
                <w:szCs w:val="20"/>
              </w:rPr>
              <w:t>1500 m</w:t>
            </w:r>
            <w:r w:rsidRPr="00FC3094">
              <w:rPr>
                <w:rFonts w:cs="Arial"/>
                <w:szCs w:val="20"/>
                <w:vertAlign w:val="superscript"/>
              </w:rPr>
              <w:t>3</w:t>
            </w:r>
            <w:r w:rsidRPr="00FC3094">
              <w:rPr>
                <w:rFonts w:cs="Arial"/>
                <w:szCs w:val="20"/>
              </w:rPr>
              <w:t xml:space="preserve"> (Tier 3)</w:t>
            </w:r>
          </w:p>
        </w:tc>
      </w:tr>
    </w:tbl>
    <w:p w:rsidR="003E14E0" w:rsidRPr="00732768" w:rsidRDefault="003E14E0" w:rsidP="003E14E0">
      <w:pPr>
        <w:rPr>
          <w:rFonts w:cs="Arial"/>
          <w:highlight w:val="yellow"/>
        </w:rPr>
      </w:pPr>
    </w:p>
    <w:p w:rsidR="007E5F4F" w:rsidRDefault="007E5F4F" w:rsidP="003E14E0">
      <w:pPr>
        <w:pStyle w:val="Heading3"/>
        <w:ind w:left="900" w:hanging="900"/>
        <w:sectPr w:rsidR="007E5F4F" w:rsidSect="001A19FE">
          <w:headerReference w:type="default" r:id="rId58"/>
          <w:endnotePr>
            <w:numFmt w:val="decimal"/>
          </w:endnotePr>
          <w:pgSz w:w="11906" w:h="16838" w:code="9"/>
          <w:pgMar w:top="2552" w:right="1134" w:bottom="1134" w:left="1134" w:header="1758" w:footer="680" w:gutter="0"/>
          <w:cols w:space="708"/>
          <w:docGrid w:linePitch="360"/>
        </w:sectPr>
      </w:pPr>
      <w:bookmarkStart w:id="146" w:name="_Toc516737143"/>
      <w:bookmarkStart w:id="147" w:name="_Toc516740376"/>
    </w:p>
    <w:p w:rsidR="003E14E0" w:rsidRPr="00A65B9C" w:rsidRDefault="00A8423E" w:rsidP="003E14E0">
      <w:pPr>
        <w:pStyle w:val="Heading3"/>
        <w:ind w:left="900" w:hanging="900"/>
      </w:pPr>
      <w:bookmarkStart w:id="148" w:name="_Toc526432217"/>
      <w:r>
        <w:lastRenderedPageBreak/>
        <w:t>Tier 1 r</w:t>
      </w:r>
      <w:r w:rsidR="003E14E0" w:rsidRPr="00A65B9C">
        <w:t xml:space="preserve">unoff </w:t>
      </w:r>
      <w:r>
        <w:t>a</w:t>
      </w:r>
      <w:r w:rsidR="003E14E0" w:rsidRPr="00A65B9C">
        <w:t>ssessment</w:t>
      </w:r>
      <w:bookmarkEnd w:id="146"/>
      <w:bookmarkEnd w:id="147"/>
      <w:bookmarkEnd w:id="148"/>
    </w:p>
    <w:p w:rsidR="003E14E0" w:rsidRPr="009C6DF2" w:rsidRDefault="003E14E0" w:rsidP="009C6DF2">
      <w:pPr>
        <w:pStyle w:val="NumberedHeading2"/>
        <w:tabs>
          <w:tab w:val="clear" w:pos="576"/>
          <w:tab w:val="clear" w:pos="851"/>
        </w:tabs>
        <w:ind w:left="0" w:right="-1" w:firstLine="0"/>
        <w:jc w:val="both"/>
        <w:outlineLvl w:val="9"/>
        <w:rPr>
          <w:rFonts w:asciiTheme="minorHAnsi" w:hAnsiTheme="minorHAnsi"/>
          <w:b w:val="0"/>
          <w:bCs w:val="0"/>
          <w:iCs w:val="0"/>
          <w:color w:val="auto"/>
          <w:kern w:val="20"/>
          <w:sz w:val="22"/>
          <w:szCs w:val="24"/>
          <w:lang w:eastAsia="en-US"/>
        </w:rPr>
      </w:pPr>
      <w:r w:rsidRPr="009C6DF2">
        <w:rPr>
          <w:rFonts w:asciiTheme="minorHAnsi" w:hAnsiTheme="minorHAnsi"/>
          <w:b w:val="0"/>
          <w:bCs w:val="0"/>
          <w:iCs w:val="0"/>
          <w:color w:val="auto"/>
          <w:kern w:val="20"/>
          <w:sz w:val="22"/>
          <w:szCs w:val="24"/>
          <w:lang w:eastAsia="en-US"/>
        </w:rPr>
        <w:t>The runoff concentration and associated risk quotients are determined for a ‘worst case’ scenario</w:t>
      </w:r>
      <w:r w:rsidR="004C688B">
        <w:rPr>
          <w:rFonts w:asciiTheme="minorHAnsi" w:hAnsiTheme="minorHAnsi"/>
          <w:b w:val="0"/>
          <w:bCs w:val="0"/>
          <w:iCs w:val="0"/>
          <w:color w:val="auto"/>
          <w:kern w:val="20"/>
          <w:sz w:val="22"/>
          <w:szCs w:val="24"/>
          <w:lang w:eastAsia="en-US"/>
        </w:rPr>
        <w:t xml:space="preserve"> (</w:t>
      </w:r>
      <w:r w:rsidR="004C688B">
        <w:rPr>
          <w:rFonts w:asciiTheme="minorHAnsi" w:hAnsiTheme="minorHAnsi"/>
          <w:b w:val="0"/>
          <w:bCs w:val="0"/>
          <w:iCs w:val="0"/>
          <w:color w:val="auto"/>
          <w:kern w:val="20"/>
          <w:sz w:val="22"/>
          <w:szCs w:val="24"/>
          <w:lang w:eastAsia="en-US"/>
        </w:rPr>
        <w:fldChar w:fldCharType="begin"/>
      </w:r>
      <w:r w:rsidR="004C688B">
        <w:rPr>
          <w:rFonts w:asciiTheme="minorHAnsi" w:hAnsiTheme="minorHAnsi"/>
          <w:b w:val="0"/>
          <w:bCs w:val="0"/>
          <w:iCs w:val="0"/>
          <w:color w:val="auto"/>
          <w:kern w:val="20"/>
          <w:sz w:val="22"/>
          <w:szCs w:val="24"/>
          <w:lang w:eastAsia="en-US"/>
        </w:rPr>
        <w:instrText xml:space="preserve"> REF _Ref522027333 \h  \* MERGEFORMAT </w:instrText>
      </w:r>
      <w:r w:rsidR="004C688B">
        <w:rPr>
          <w:rFonts w:asciiTheme="minorHAnsi" w:hAnsiTheme="minorHAnsi"/>
          <w:b w:val="0"/>
          <w:bCs w:val="0"/>
          <w:iCs w:val="0"/>
          <w:color w:val="auto"/>
          <w:kern w:val="20"/>
          <w:sz w:val="22"/>
          <w:szCs w:val="24"/>
          <w:lang w:eastAsia="en-US"/>
        </w:rPr>
      </w:r>
      <w:r w:rsidR="004C688B">
        <w:rPr>
          <w:rFonts w:asciiTheme="minorHAnsi" w:hAnsiTheme="minorHAnsi"/>
          <w:b w:val="0"/>
          <w:bCs w:val="0"/>
          <w:iCs w:val="0"/>
          <w:color w:val="auto"/>
          <w:kern w:val="20"/>
          <w:sz w:val="22"/>
          <w:szCs w:val="24"/>
          <w:lang w:eastAsia="en-US"/>
        </w:rPr>
        <w:fldChar w:fldCharType="separate"/>
      </w:r>
      <w:r w:rsidR="00225D67" w:rsidRPr="00225D67">
        <w:rPr>
          <w:rFonts w:asciiTheme="minorHAnsi" w:hAnsiTheme="minorHAnsi"/>
          <w:b w:val="0"/>
          <w:bCs w:val="0"/>
          <w:iCs w:val="0"/>
          <w:color w:val="auto"/>
          <w:kern w:val="20"/>
          <w:sz w:val="22"/>
          <w:szCs w:val="24"/>
          <w:lang w:eastAsia="en-US"/>
        </w:rPr>
        <w:t>Table 4</w:t>
      </w:r>
      <w:r w:rsidR="004C688B">
        <w:rPr>
          <w:rFonts w:asciiTheme="minorHAnsi" w:hAnsiTheme="minorHAnsi"/>
          <w:b w:val="0"/>
          <w:bCs w:val="0"/>
          <w:iCs w:val="0"/>
          <w:color w:val="auto"/>
          <w:kern w:val="20"/>
          <w:sz w:val="22"/>
          <w:szCs w:val="24"/>
          <w:lang w:eastAsia="en-US"/>
        </w:rPr>
        <w:fldChar w:fldCharType="end"/>
      </w:r>
      <w:r w:rsidR="004C688B">
        <w:rPr>
          <w:rFonts w:asciiTheme="minorHAnsi" w:hAnsiTheme="minorHAnsi"/>
          <w:b w:val="0"/>
          <w:bCs w:val="0"/>
          <w:iCs w:val="0"/>
          <w:color w:val="auto"/>
          <w:kern w:val="20"/>
          <w:sz w:val="22"/>
          <w:szCs w:val="24"/>
          <w:lang w:eastAsia="en-US"/>
        </w:rPr>
        <w:t>)</w:t>
      </w:r>
      <w:r w:rsidRPr="009C6DF2">
        <w:rPr>
          <w:rFonts w:asciiTheme="minorHAnsi" w:hAnsiTheme="minorHAnsi"/>
          <w:b w:val="0"/>
          <w:bCs w:val="0"/>
          <w:iCs w:val="0"/>
          <w:color w:val="auto"/>
          <w:kern w:val="20"/>
          <w:sz w:val="22"/>
          <w:szCs w:val="24"/>
          <w:lang w:eastAsia="en-US"/>
        </w:rPr>
        <w:t>. Calculations are made based on factors that may be applicable to the potential of the ac migrating to the soil. Factors to be considered are presented in Table 6. Foliar interception may be considered depending on the application method and growth period. This will remove residues of the product from the foliage and carry it into the soil. Therefore the foliar interception value (fint) will be determined. The default value of 1 is used for Crsoil_surface at Tier I level.</w:t>
      </w:r>
    </w:p>
    <w:p w:rsidR="003E14E0" w:rsidRPr="00FC3094" w:rsidRDefault="003E14E0" w:rsidP="003E14E0">
      <w:pPr>
        <w:pStyle w:val="Caption"/>
      </w:pPr>
      <w:bookmarkStart w:id="149" w:name="_Ref522027333"/>
      <w:r w:rsidRPr="00FC3094">
        <w:t xml:space="preserve">Table </w:t>
      </w:r>
      <w:r w:rsidR="00EA08EB">
        <w:rPr>
          <w:noProof/>
        </w:rPr>
        <w:fldChar w:fldCharType="begin"/>
      </w:r>
      <w:r w:rsidR="00EA08EB">
        <w:rPr>
          <w:noProof/>
        </w:rPr>
        <w:instrText xml:space="preserve"> SEQ Table \* ARABIC </w:instrText>
      </w:r>
      <w:r w:rsidR="00EA08EB">
        <w:rPr>
          <w:noProof/>
        </w:rPr>
        <w:fldChar w:fldCharType="separate"/>
      </w:r>
      <w:r w:rsidR="00225D67">
        <w:rPr>
          <w:noProof/>
        </w:rPr>
        <w:t>4</w:t>
      </w:r>
      <w:r w:rsidR="00EA08EB">
        <w:rPr>
          <w:noProof/>
        </w:rPr>
        <w:fldChar w:fldCharType="end"/>
      </w:r>
      <w:bookmarkEnd w:id="149"/>
      <w:r w:rsidRPr="00FC3094">
        <w:t xml:space="preserve"> - Tier 1 Runoff Calculations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6"/>
        <w:gridCol w:w="4794"/>
      </w:tblGrid>
      <w:tr w:rsidR="003E14E0" w:rsidRPr="00FC3094" w:rsidTr="00B06AAB">
        <w:trPr>
          <w:trHeight w:val="397"/>
        </w:trPr>
        <w:tc>
          <w:tcPr>
            <w:tcW w:w="4960" w:type="dxa"/>
            <w:vAlign w:val="center"/>
          </w:tcPr>
          <w:p w:rsidR="003E14E0" w:rsidRPr="00FC3094" w:rsidRDefault="003E14E0" w:rsidP="009C6DF2">
            <w:pPr>
              <w:ind w:right="-1"/>
              <w:rPr>
                <w:rFonts w:cs="Arial"/>
                <w:b/>
                <w:i/>
                <w:szCs w:val="20"/>
              </w:rPr>
            </w:pPr>
            <w:r w:rsidRPr="00FC3094">
              <w:rPr>
                <w:rFonts w:cs="Arial"/>
                <w:b/>
                <w:i/>
                <w:szCs w:val="20"/>
              </w:rPr>
              <w:t>Parameter</w:t>
            </w:r>
          </w:p>
        </w:tc>
        <w:tc>
          <w:tcPr>
            <w:tcW w:w="5068" w:type="dxa"/>
            <w:vAlign w:val="center"/>
          </w:tcPr>
          <w:p w:rsidR="003E14E0" w:rsidRPr="00FC3094" w:rsidRDefault="003E14E0" w:rsidP="009C6DF2">
            <w:pPr>
              <w:ind w:right="-1"/>
              <w:rPr>
                <w:rFonts w:cs="Arial"/>
                <w:b/>
                <w:i/>
                <w:szCs w:val="20"/>
              </w:rPr>
            </w:pPr>
            <w:r w:rsidRPr="00FC3094">
              <w:rPr>
                <w:rFonts w:cs="Arial"/>
                <w:b/>
                <w:i/>
                <w:szCs w:val="20"/>
              </w:rPr>
              <w:t xml:space="preserve">Value </w:t>
            </w:r>
          </w:p>
        </w:tc>
      </w:tr>
      <w:tr w:rsidR="003E14E0" w:rsidRPr="00FC3094" w:rsidTr="00B06AAB">
        <w:trPr>
          <w:trHeight w:val="397"/>
        </w:trPr>
        <w:tc>
          <w:tcPr>
            <w:tcW w:w="4960" w:type="dxa"/>
            <w:vAlign w:val="center"/>
          </w:tcPr>
          <w:p w:rsidR="003E14E0" w:rsidRPr="00FC3094" w:rsidRDefault="003E14E0" w:rsidP="009C6DF2">
            <w:pPr>
              <w:ind w:right="-1"/>
              <w:rPr>
                <w:rFonts w:cs="Arial"/>
                <w:szCs w:val="20"/>
              </w:rPr>
            </w:pPr>
            <w:r w:rsidRPr="00FC3094">
              <w:rPr>
                <w:rFonts w:cs="Arial"/>
                <w:szCs w:val="20"/>
              </w:rPr>
              <w:t>L%runoff (Percent of applied ac in runoff water)</w:t>
            </w:r>
          </w:p>
        </w:tc>
        <w:tc>
          <w:tcPr>
            <w:tcW w:w="5068" w:type="dxa"/>
            <w:vAlign w:val="center"/>
          </w:tcPr>
          <w:p w:rsidR="003E14E0" w:rsidRPr="00FC3094" w:rsidRDefault="003E14E0" w:rsidP="009C6DF2">
            <w:pPr>
              <w:ind w:right="-1"/>
              <w:rPr>
                <w:rFonts w:cs="Arial"/>
                <w:szCs w:val="20"/>
              </w:rPr>
            </w:pPr>
            <w:r w:rsidRPr="00FC3094">
              <w:rPr>
                <w:rFonts w:cs="Arial"/>
                <w:szCs w:val="20"/>
              </w:rPr>
              <w:t>4.25%</w:t>
            </w:r>
          </w:p>
        </w:tc>
      </w:tr>
      <w:tr w:rsidR="003E14E0" w:rsidRPr="00FC3094" w:rsidTr="00B06AAB">
        <w:trPr>
          <w:trHeight w:val="397"/>
        </w:trPr>
        <w:tc>
          <w:tcPr>
            <w:tcW w:w="4960" w:type="dxa"/>
            <w:vAlign w:val="center"/>
          </w:tcPr>
          <w:p w:rsidR="003E14E0" w:rsidRPr="00FC3094" w:rsidRDefault="003E14E0" w:rsidP="009C6DF2">
            <w:pPr>
              <w:ind w:right="-1"/>
              <w:rPr>
                <w:rFonts w:cs="Arial"/>
                <w:szCs w:val="20"/>
              </w:rPr>
            </w:pPr>
            <w:r w:rsidRPr="00FC3094">
              <w:rPr>
                <w:rFonts w:cs="Arial"/>
                <w:szCs w:val="20"/>
              </w:rPr>
              <w:t>Volume of pesticide contaminated runoff water (per hectare)</w:t>
            </w:r>
          </w:p>
        </w:tc>
        <w:tc>
          <w:tcPr>
            <w:tcW w:w="5068" w:type="dxa"/>
            <w:vAlign w:val="center"/>
          </w:tcPr>
          <w:p w:rsidR="003E14E0" w:rsidRPr="00FC3094" w:rsidRDefault="003E14E0" w:rsidP="009C6DF2">
            <w:pPr>
              <w:ind w:right="-1"/>
              <w:rPr>
                <w:rFonts w:cs="Arial"/>
                <w:szCs w:val="20"/>
              </w:rPr>
            </w:pPr>
            <w:r w:rsidRPr="00FC3094">
              <w:rPr>
                <w:rFonts w:cs="Arial"/>
                <w:szCs w:val="20"/>
              </w:rPr>
              <w:t>200,000 L</w:t>
            </w:r>
          </w:p>
        </w:tc>
      </w:tr>
      <w:tr w:rsidR="003E14E0" w:rsidRPr="00FC3094" w:rsidTr="00B06AAB">
        <w:trPr>
          <w:trHeight w:val="397"/>
        </w:trPr>
        <w:tc>
          <w:tcPr>
            <w:tcW w:w="4960" w:type="dxa"/>
            <w:vAlign w:val="center"/>
          </w:tcPr>
          <w:p w:rsidR="003E14E0" w:rsidRPr="00FC3094" w:rsidRDefault="003E14E0" w:rsidP="009C6DF2">
            <w:pPr>
              <w:ind w:right="-1"/>
              <w:rPr>
                <w:rFonts w:cs="Arial"/>
                <w:szCs w:val="20"/>
              </w:rPr>
            </w:pPr>
            <w:r w:rsidRPr="00FC3094">
              <w:rPr>
                <w:rFonts w:cs="Arial"/>
                <w:szCs w:val="20"/>
              </w:rPr>
              <w:t xml:space="preserve">Edge of field concentration </w:t>
            </w:r>
          </w:p>
        </w:tc>
        <w:tc>
          <w:tcPr>
            <w:tcW w:w="5068" w:type="dxa"/>
            <w:vAlign w:val="center"/>
          </w:tcPr>
          <w:p w:rsidR="003E14E0" w:rsidRPr="00FC3094" w:rsidRDefault="003E14E0" w:rsidP="009C6DF2">
            <w:pPr>
              <w:ind w:right="-1"/>
              <w:rPr>
                <w:rFonts w:cs="Arial"/>
                <w:szCs w:val="20"/>
              </w:rPr>
            </w:pPr>
            <w:r w:rsidRPr="00FC3094">
              <w:rPr>
                <w:rFonts w:cs="Arial"/>
                <w:szCs w:val="20"/>
              </w:rPr>
              <w:t xml:space="preserve">ac µg ac/L  (single application) </w:t>
            </w:r>
          </w:p>
          <w:p w:rsidR="003E14E0" w:rsidRPr="00FC3094" w:rsidRDefault="003E14E0" w:rsidP="009C6DF2">
            <w:pPr>
              <w:ind w:right="-1"/>
              <w:rPr>
                <w:rFonts w:cs="Arial"/>
                <w:szCs w:val="20"/>
              </w:rPr>
            </w:pPr>
            <w:r w:rsidRPr="00FC3094">
              <w:rPr>
                <w:rFonts w:cs="Arial"/>
                <w:szCs w:val="20"/>
              </w:rPr>
              <w:t>ac µg ac/L  (multiple applications)</w:t>
            </w:r>
          </w:p>
        </w:tc>
      </w:tr>
      <w:tr w:rsidR="003E14E0" w:rsidRPr="00FC3094" w:rsidTr="00B06AAB">
        <w:trPr>
          <w:trHeight w:val="397"/>
        </w:trPr>
        <w:tc>
          <w:tcPr>
            <w:tcW w:w="4960" w:type="dxa"/>
            <w:shd w:val="clear" w:color="auto" w:fill="auto"/>
            <w:vAlign w:val="center"/>
          </w:tcPr>
          <w:p w:rsidR="003E14E0" w:rsidRPr="00FC3094" w:rsidRDefault="003E14E0" w:rsidP="009C6DF2">
            <w:pPr>
              <w:ind w:right="-1"/>
              <w:rPr>
                <w:rFonts w:cs="Arial"/>
                <w:szCs w:val="20"/>
              </w:rPr>
            </w:pPr>
            <w:r w:rsidRPr="00FC3094">
              <w:rPr>
                <w:rFonts w:cs="Arial"/>
                <w:szCs w:val="20"/>
              </w:rPr>
              <w:t>Risk to Common carp (acute)</w:t>
            </w:r>
          </w:p>
          <w:p w:rsidR="003E14E0" w:rsidRPr="00FC3094" w:rsidRDefault="003E14E0" w:rsidP="009C6DF2">
            <w:pPr>
              <w:ind w:right="-1"/>
              <w:rPr>
                <w:rFonts w:cs="Arial"/>
                <w:szCs w:val="20"/>
              </w:rPr>
            </w:pPr>
            <w:r w:rsidRPr="00FC3094">
              <w:rPr>
                <w:rFonts w:cs="Arial"/>
                <w:szCs w:val="20"/>
              </w:rPr>
              <w:t>RQ = 25.50 µg/L ÷ 22.9 µg/L = 1.114</w:t>
            </w:r>
          </w:p>
          <w:p w:rsidR="003E14E0" w:rsidRPr="00FC3094" w:rsidRDefault="003E14E0" w:rsidP="009C6DF2">
            <w:pPr>
              <w:ind w:right="-1"/>
              <w:rPr>
                <w:rFonts w:cs="Arial"/>
                <w:szCs w:val="20"/>
              </w:rPr>
            </w:pPr>
          </w:p>
          <w:p w:rsidR="003E14E0" w:rsidRPr="00FC3094" w:rsidRDefault="003E14E0" w:rsidP="009C6DF2">
            <w:pPr>
              <w:ind w:right="-1"/>
              <w:rPr>
                <w:rFonts w:cs="Arial"/>
                <w:szCs w:val="20"/>
              </w:rPr>
            </w:pPr>
            <w:r w:rsidRPr="00FC3094">
              <w:rPr>
                <w:rFonts w:cs="Arial"/>
                <w:szCs w:val="20"/>
              </w:rPr>
              <w:t>RQ=edge of field concentration (single application)/LC50 Carp</w:t>
            </w:r>
          </w:p>
        </w:tc>
        <w:tc>
          <w:tcPr>
            <w:tcW w:w="5068" w:type="dxa"/>
            <w:shd w:val="clear" w:color="auto" w:fill="auto"/>
            <w:vAlign w:val="center"/>
          </w:tcPr>
          <w:p w:rsidR="003E14E0" w:rsidRPr="00FC3094" w:rsidRDefault="003E14E0" w:rsidP="009C6DF2">
            <w:pPr>
              <w:ind w:right="-1"/>
              <w:rPr>
                <w:rFonts w:cs="Arial"/>
                <w:szCs w:val="20"/>
              </w:rPr>
            </w:pPr>
            <w:r w:rsidRPr="00FC3094">
              <w:rPr>
                <w:rFonts w:cs="Arial"/>
                <w:szCs w:val="20"/>
              </w:rPr>
              <w:t>RQ &gt;&gt; 0.1</w:t>
            </w:r>
          </w:p>
        </w:tc>
      </w:tr>
      <w:tr w:rsidR="003E14E0" w:rsidRPr="00FC3094" w:rsidTr="00B06AAB">
        <w:trPr>
          <w:trHeight w:val="397"/>
        </w:trPr>
        <w:tc>
          <w:tcPr>
            <w:tcW w:w="4960" w:type="dxa"/>
            <w:shd w:val="clear" w:color="auto" w:fill="auto"/>
            <w:vAlign w:val="center"/>
          </w:tcPr>
          <w:p w:rsidR="003E14E0" w:rsidRPr="00FC3094" w:rsidRDefault="003E14E0" w:rsidP="009C6DF2">
            <w:pPr>
              <w:ind w:right="-1"/>
              <w:rPr>
                <w:rFonts w:cs="Arial"/>
                <w:szCs w:val="20"/>
              </w:rPr>
            </w:pPr>
            <w:r w:rsidRPr="00FC3094">
              <w:rPr>
                <w:rFonts w:cs="Arial"/>
                <w:szCs w:val="20"/>
              </w:rPr>
              <w:t>Risk to Daphnia magna (chronic)</w:t>
            </w:r>
          </w:p>
          <w:p w:rsidR="003E14E0" w:rsidRPr="00FC3094" w:rsidRDefault="003E14E0" w:rsidP="009C6DF2">
            <w:pPr>
              <w:ind w:right="-1"/>
              <w:rPr>
                <w:rFonts w:cs="Arial"/>
                <w:szCs w:val="20"/>
              </w:rPr>
            </w:pPr>
            <w:r w:rsidRPr="00FC3094">
              <w:rPr>
                <w:rFonts w:cs="Arial"/>
                <w:szCs w:val="20"/>
              </w:rPr>
              <w:t>RQ = 62.7 µg/L ÷ 19.7 µg/L = 3.18</w:t>
            </w:r>
          </w:p>
          <w:p w:rsidR="003E14E0" w:rsidRPr="00FC3094" w:rsidRDefault="003E14E0" w:rsidP="009C6DF2">
            <w:pPr>
              <w:ind w:right="-1"/>
              <w:rPr>
                <w:rFonts w:cs="Arial"/>
                <w:szCs w:val="20"/>
              </w:rPr>
            </w:pPr>
          </w:p>
          <w:p w:rsidR="003E14E0" w:rsidRPr="00FC3094" w:rsidRDefault="003E14E0" w:rsidP="009C6DF2">
            <w:pPr>
              <w:ind w:right="-1"/>
              <w:rPr>
                <w:rFonts w:cs="Arial"/>
                <w:szCs w:val="20"/>
              </w:rPr>
            </w:pPr>
            <w:r w:rsidRPr="00FC3094">
              <w:rPr>
                <w:rFonts w:cs="Arial"/>
                <w:szCs w:val="20"/>
              </w:rPr>
              <w:t>RQ=Edge of field calculation (multiple applications)/ 21 day NOEC Daphnia magna/</w:t>
            </w:r>
          </w:p>
        </w:tc>
        <w:tc>
          <w:tcPr>
            <w:tcW w:w="5068" w:type="dxa"/>
            <w:shd w:val="clear" w:color="auto" w:fill="auto"/>
            <w:vAlign w:val="center"/>
          </w:tcPr>
          <w:p w:rsidR="003E14E0" w:rsidRPr="00FC3094" w:rsidRDefault="003E14E0" w:rsidP="009C6DF2">
            <w:pPr>
              <w:ind w:right="-1"/>
              <w:rPr>
                <w:rFonts w:cs="Arial"/>
                <w:szCs w:val="20"/>
              </w:rPr>
            </w:pPr>
            <w:r w:rsidRPr="00FC3094">
              <w:rPr>
                <w:rFonts w:cs="Arial"/>
                <w:szCs w:val="20"/>
              </w:rPr>
              <w:t>RQ &gt;&gt; 1</w:t>
            </w:r>
          </w:p>
        </w:tc>
      </w:tr>
    </w:tbl>
    <w:p w:rsidR="003E14E0" w:rsidRPr="009C6DF2" w:rsidRDefault="003E14E0" w:rsidP="003E14E0">
      <w:pPr>
        <w:pStyle w:val="NumberedHeading2"/>
        <w:tabs>
          <w:tab w:val="clear" w:pos="576"/>
          <w:tab w:val="clear" w:pos="851"/>
        </w:tabs>
        <w:ind w:left="0" w:right="-1" w:firstLine="0"/>
        <w:jc w:val="both"/>
        <w:outlineLvl w:val="9"/>
        <w:rPr>
          <w:rFonts w:asciiTheme="minorHAnsi" w:hAnsiTheme="minorHAnsi"/>
          <w:b w:val="0"/>
          <w:bCs w:val="0"/>
          <w:iCs w:val="0"/>
          <w:color w:val="auto"/>
          <w:kern w:val="20"/>
          <w:sz w:val="22"/>
          <w:szCs w:val="24"/>
          <w:lang w:eastAsia="en-US"/>
        </w:rPr>
      </w:pPr>
      <w:r w:rsidRPr="009C6DF2">
        <w:rPr>
          <w:rFonts w:asciiTheme="minorHAnsi" w:hAnsiTheme="minorHAnsi"/>
          <w:b w:val="0"/>
          <w:bCs w:val="0"/>
          <w:iCs w:val="0"/>
          <w:color w:val="auto"/>
          <w:kern w:val="20"/>
          <w:sz w:val="22"/>
          <w:szCs w:val="24"/>
          <w:lang w:eastAsia="en-US"/>
        </w:rPr>
        <w:t xml:space="preserve">The tier 1 calculations predict an edge of field concentration of the active component. The acute and chronic risks are determined. If RQ&gt;&gt;0.1 (acute) or RQ&gt;&gt;1 (chronic) then tier 2 assessment is required. </w:t>
      </w:r>
    </w:p>
    <w:p w:rsidR="003E14E0" w:rsidRPr="003E14E0" w:rsidRDefault="00A8423E" w:rsidP="003E14E0">
      <w:pPr>
        <w:pStyle w:val="Heading3"/>
        <w:ind w:left="900" w:hanging="900"/>
      </w:pPr>
      <w:bookmarkStart w:id="150" w:name="_Toc516737144"/>
      <w:bookmarkStart w:id="151" w:name="_Toc516740377"/>
      <w:bookmarkStart w:id="152" w:name="_Toc526432218"/>
      <w:r>
        <w:t>Tier 2 r</w:t>
      </w:r>
      <w:r w:rsidR="003E14E0" w:rsidRPr="003E14E0">
        <w:t xml:space="preserve">unoff </w:t>
      </w:r>
      <w:r>
        <w:t>a</w:t>
      </w:r>
      <w:r w:rsidR="003E14E0" w:rsidRPr="003E14E0">
        <w:t>ssessment</w:t>
      </w:r>
      <w:bookmarkEnd w:id="150"/>
      <w:bookmarkEnd w:id="151"/>
      <w:bookmarkEnd w:id="152"/>
      <w:r w:rsidR="003E14E0" w:rsidRPr="003E14E0">
        <w:t xml:space="preserve"> </w:t>
      </w:r>
    </w:p>
    <w:p w:rsidR="003E14E0" w:rsidRPr="009C6DF2" w:rsidRDefault="003E14E0" w:rsidP="009C6DF2">
      <w:pPr>
        <w:pStyle w:val="NormalText"/>
      </w:pPr>
      <w:r w:rsidRPr="00FC3094">
        <w:t xml:space="preserve">Runoff concentrations and associated risk quotients are determined for </w:t>
      </w:r>
      <w:r>
        <w:t>tier</w:t>
      </w:r>
      <w:r w:rsidRPr="00FC3094">
        <w:t xml:space="preserve"> 2 assessments. The tier 2 assessment takes into account pesticide specific factors (Equation 3) including the half life of the ac in soil (DT</w:t>
      </w:r>
      <w:r w:rsidRPr="009C6DF2">
        <w:t>50</w:t>
      </w:r>
      <w:r w:rsidRPr="00FC3094">
        <w:t xml:space="preserve">) and the mobility of the pesticide in soil </w:t>
      </w:r>
      <w:r w:rsidR="00F62C7E">
        <w:t xml:space="preserve">(Koc). </w:t>
      </w:r>
    </w:p>
    <w:p w:rsidR="003E14E0" w:rsidRPr="009A4CFC" w:rsidRDefault="003E14E0" w:rsidP="003E14E0">
      <w:pPr>
        <w:pStyle w:val="Caption"/>
      </w:pPr>
      <w:r w:rsidRPr="009A4CFC">
        <w:lastRenderedPageBreak/>
        <w:t xml:space="preserve">Table </w:t>
      </w:r>
      <w:r w:rsidR="00EA08EB">
        <w:rPr>
          <w:noProof/>
        </w:rPr>
        <w:fldChar w:fldCharType="begin"/>
      </w:r>
      <w:r w:rsidR="00EA08EB">
        <w:rPr>
          <w:noProof/>
        </w:rPr>
        <w:instrText xml:space="preserve"> SEQ Table \* ARABIC </w:instrText>
      </w:r>
      <w:r w:rsidR="00EA08EB">
        <w:rPr>
          <w:noProof/>
        </w:rPr>
        <w:fldChar w:fldCharType="separate"/>
      </w:r>
      <w:r w:rsidR="00225D67">
        <w:rPr>
          <w:noProof/>
        </w:rPr>
        <w:t>5</w:t>
      </w:r>
      <w:r w:rsidR="00EA08EB">
        <w:rPr>
          <w:noProof/>
        </w:rPr>
        <w:fldChar w:fldCharType="end"/>
      </w:r>
      <w:r w:rsidRPr="009A4CFC">
        <w:t xml:space="preserve"> - Tier 2 Runoff Calculations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3"/>
        <w:gridCol w:w="4797"/>
      </w:tblGrid>
      <w:tr w:rsidR="003E14E0" w:rsidRPr="009A4CFC" w:rsidTr="00B06AAB">
        <w:trPr>
          <w:trHeight w:val="397"/>
        </w:trPr>
        <w:tc>
          <w:tcPr>
            <w:tcW w:w="4960" w:type="dxa"/>
            <w:vAlign w:val="center"/>
          </w:tcPr>
          <w:p w:rsidR="003E14E0" w:rsidRPr="009A4CFC" w:rsidRDefault="003E14E0" w:rsidP="009C6DF2">
            <w:pPr>
              <w:keepNext/>
              <w:ind w:right="-1"/>
              <w:rPr>
                <w:rFonts w:cs="Arial"/>
                <w:b/>
                <w:i/>
                <w:szCs w:val="20"/>
              </w:rPr>
            </w:pPr>
            <w:r w:rsidRPr="009A4CFC">
              <w:rPr>
                <w:rFonts w:cs="Arial"/>
                <w:b/>
                <w:i/>
                <w:szCs w:val="20"/>
              </w:rPr>
              <w:t>Parameter</w:t>
            </w:r>
          </w:p>
        </w:tc>
        <w:tc>
          <w:tcPr>
            <w:tcW w:w="5068" w:type="dxa"/>
            <w:vAlign w:val="center"/>
          </w:tcPr>
          <w:p w:rsidR="003E14E0" w:rsidRPr="009A4CFC" w:rsidRDefault="003E14E0" w:rsidP="009C6DF2">
            <w:pPr>
              <w:keepNext/>
              <w:ind w:right="-1"/>
              <w:rPr>
                <w:rFonts w:cs="Arial"/>
                <w:b/>
                <w:i/>
                <w:szCs w:val="20"/>
              </w:rPr>
            </w:pPr>
            <w:r w:rsidRPr="009A4CFC">
              <w:rPr>
                <w:rFonts w:cs="Arial"/>
                <w:b/>
                <w:i/>
                <w:szCs w:val="20"/>
              </w:rPr>
              <w:t xml:space="preserve">Value </w:t>
            </w:r>
          </w:p>
        </w:tc>
      </w:tr>
      <w:tr w:rsidR="003E14E0" w:rsidRPr="009A4CFC" w:rsidTr="00B06AAB">
        <w:trPr>
          <w:trHeight w:val="397"/>
        </w:trPr>
        <w:tc>
          <w:tcPr>
            <w:tcW w:w="4960" w:type="dxa"/>
            <w:vAlign w:val="center"/>
          </w:tcPr>
          <w:p w:rsidR="003E14E0" w:rsidRPr="009A4CFC" w:rsidRDefault="003E14E0" w:rsidP="009C6DF2">
            <w:pPr>
              <w:keepNext/>
              <w:ind w:right="-1"/>
              <w:rPr>
                <w:rFonts w:cs="Arial"/>
                <w:szCs w:val="20"/>
              </w:rPr>
            </w:pPr>
            <w:r w:rsidRPr="009A4CFC">
              <w:rPr>
                <w:rFonts w:cs="Arial"/>
                <w:szCs w:val="20"/>
              </w:rPr>
              <w:t>DT50 soil</w:t>
            </w:r>
          </w:p>
        </w:tc>
        <w:tc>
          <w:tcPr>
            <w:tcW w:w="5068" w:type="dxa"/>
            <w:vAlign w:val="center"/>
          </w:tcPr>
          <w:p w:rsidR="003E14E0" w:rsidRPr="009A4CFC" w:rsidRDefault="003E14E0" w:rsidP="009C6DF2">
            <w:pPr>
              <w:keepNext/>
              <w:ind w:right="-1"/>
              <w:rPr>
                <w:rFonts w:cs="Arial"/>
                <w:szCs w:val="20"/>
              </w:rPr>
            </w:pPr>
            <w:r w:rsidRPr="009A4CFC">
              <w:rPr>
                <w:rFonts w:cs="Arial"/>
                <w:szCs w:val="20"/>
              </w:rPr>
              <w:t>d</w:t>
            </w:r>
          </w:p>
        </w:tc>
      </w:tr>
      <w:tr w:rsidR="003E14E0" w:rsidRPr="009A4CFC" w:rsidTr="00B06AAB">
        <w:trPr>
          <w:trHeight w:val="397"/>
        </w:trPr>
        <w:tc>
          <w:tcPr>
            <w:tcW w:w="4960" w:type="dxa"/>
            <w:vAlign w:val="center"/>
          </w:tcPr>
          <w:p w:rsidR="003E14E0" w:rsidRPr="009A4CFC" w:rsidRDefault="003E14E0" w:rsidP="009C6DF2">
            <w:pPr>
              <w:keepNext/>
              <w:ind w:right="-1"/>
              <w:rPr>
                <w:rFonts w:cs="Arial"/>
                <w:szCs w:val="20"/>
              </w:rPr>
            </w:pPr>
            <w:r w:rsidRPr="009A4CFC">
              <w:rPr>
                <w:rFonts w:cs="Arial"/>
                <w:szCs w:val="20"/>
              </w:rPr>
              <w:t>Koc</w:t>
            </w:r>
          </w:p>
        </w:tc>
        <w:tc>
          <w:tcPr>
            <w:tcW w:w="5068" w:type="dxa"/>
            <w:vAlign w:val="center"/>
          </w:tcPr>
          <w:p w:rsidR="003E14E0" w:rsidRPr="009A4CFC" w:rsidRDefault="003E14E0" w:rsidP="009C6DF2">
            <w:pPr>
              <w:keepNext/>
              <w:ind w:right="-1"/>
              <w:rPr>
                <w:rFonts w:cs="Arial"/>
                <w:szCs w:val="20"/>
              </w:rPr>
            </w:pPr>
          </w:p>
        </w:tc>
      </w:tr>
      <w:tr w:rsidR="003E14E0" w:rsidRPr="009A4CFC" w:rsidTr="00B06AAB">
        <w:trPr>
          <w:trHeight w:val="397"/>
        </w:trPr>
        <w:tc>
          <w:tcPr>
            <w:tcW w:w="4960" w:type="dxa"/>
            <w:vAlign w:val="center"/>
          </w:tcPr>
          <w:p w:rsidR="003E14E0" w:rsidRPr="009A4CFC" w:rsidRDefault="003E14E0" w:rsidP="009C6DF2">
            <w:pPr>
              <w:keepNext/>
              <w:ind w:right="-1"/>
              <w:rPr>
                <w:rFonts w:cs="Arial"/>
                <w:szCs w:val="20"/>
              </w:rPr>
            </w:pPr>
            <w:r w:rsidRPr="009A4CFC">
              <w:rPr>
                <w:rFonts w:cs="Arial"/>
                <w:szCs w:val="20"/>
              </w:rPr>
              <w:t>L%runoff (Percent of applied ac in runoff water)</w:t>
            </w:r>
          </w:p>
        </w:tc>
        <w:tc>
          <w:tcPr>
            <w:tcW w:w="5068" w:type="dxa"/>
            <w:vAlign w:val="center"/>
          </w:tcPr>
          <w:p w:rsidR="003E14E0" w:rsidRPr="009A4CFC" w:rsidRDefault="003E14E0" w:rsidP="009C6DF2">
            <w:pPr>
              <w:keepNext/>
              <w:ind w:right="-1"/>
              <w:rPr>
                <w:rFonts w:cs="Arial"/>
                <w:szCs w:val="20"/>
              </w:rPr>
            </w:pPr>
            <w:r w:rsidRPr="009A4CFC">
              <w:rPr>
                <w:rFonts w:cs="Arial"/>
                <w:szCs w:val="20"/>
              </w:rPr>
              <w:t>%</w:t>
            </w:r>
          </w:p>
        </w:tc>
      </w:tr>
      <w:tr w:rsidR="003E14E0" w:rsidRPr="009A4CFC" w:rsidTr="00B06AAB">
        <w:trPr>
          <w:trHeight w:val="397"/>
        </w:trPr>
        <w:tc>
          <w:tcPr>
            <w:tcW w:w="4960" w:type="dxa"/>
            <w:vAlign w:val="center"/>
          </w:tcPr>
          <w:p w:rsidR="003E14E0" w:rsidRPr="009A4CFC" w:rsidRDefault="003E14E0" w:rsidP="009C6DF2">
            <w:pPr>
              <w:keepNext/>
              <w:ind w:right="-1"/>
              <w:rPr>
                <w:rFonts w:cs="Arial"/>
                <w:szCs w:val="20"/>
              </w:rPr>
            </w:pPr>
            <w:r w:rsidRPr="009A4CFC">
              <w:rPr>
                <w:rFonts w:cs="Arial"/>
                <w:szCs w:val="20"/>
              </w:rPr>
              <w:t>Volume of pesticide contaminated runoff water (per hectare)</w:t>
            </w:r>
          </w:p>
        </w:tc>
        <w:tc>
          <w:tcPr>
            <w:tcW w:w="5068" w:type="dxa"/>
            <w:vAlign w:val="center"/>
          </w:tcPr>
          <w:p w:rsidR="003E14E0" w:rsidRPr="009A4CFC" w:rsidRDefault="003E14E0" w:rsidP="009C6DF2">
            <w:pPr>
              <w:keepNext/>
              <w:ind w:right="-1"/>
              <w:rPr>
                <w:rFonts w:cs="Arial"/>
                <w:szCs w:val="20"/>
              </w:rPr>
            </w:pPr>
            <w:r w:rsidRPr="009A4CFC">
              <w:rPr>
                <w:rFonts w:cs="Arial"/>
                <w:szCs w:val="20"/>
              </w:rPr>
              <w:t>200,000 L</w:t>
            </w:r>
          </w:p>
        </w:tc>
      </w:tr>
      <w:tr w:rsidR="003E14E0" w:rsidRPr="009A4CFC" w:rsidTr="00B06AAB">
        <w:trPr>
          <w:trHeight w:val="397"/>
        </w:trPr>
        <w:tc>
          <w:tcPr>
            <w:tcW w:w="4960" w:type="dxa"/>
            <w:vAlign w:val="center"/>
          </w:tcPr>
          <w:p w:rsidR="003E14E0" w:rsidRPr="009A4CFC" w:rsidRDefault="003E14E0" w:rsidP="009C6DF2">
            <w:pPr>
              <w:keepNext/>
              <w:ind w:right="-1"/>
              <w:rPr>
                <w:rFonts w:cs="Arial"/>
                <w:szCs w:val="20"/>
              </w:rPr>
            </w:pPr>
            <w:r w:rsidRPr="009A4CFC">
              <w:rPr>
                <w:rFonts w:cs="Arial"/>
                <w:szCs w:val="20"/>
              </w:rPr>
              <w:t xml:space="preserve">Edge of field concentration </w:t>
            </w:r>
          </w:p>
        </w:tc>
        <w:tc>
          <w:tcPr>
            <w:tcW w:w="5068" w:type="dxa"/>
            <w:vAlign w:val="center"/>
          </w:tcPr>
          <w:p w:rsidR="003E14E0" w:rsidRPr="009A4CFC" w:rsidRDefault="003E14E0" w:rsidP="009C6DF2">
            <w:pPr>
              <w:keepNext/>
              <w:ind w:right="-1"/>
              <w:rPr>
                <w:rFonts w:cs="Arial"/>
                <w:szCs w:val="20"/>
              </w:rPr>
            </w:pPr>
            <w:r w:rsidRPr="009A4CFC">
              <w:rPr>
                <w:rFonts w:cs="Arial"/>
                <w:szCs w:val="20"/>
              </w:rPr>
              <w:t>xx µg amisulbrom/L for single application (xx µg amisulbrom/L for multiple applications)</w:t>
            </w:r>
          </w:p>
        </w:tc>
      </w:tr>
      <w:tr w:rsidR="003E14E0" w:rsidRPr="009A4CFC" w:rsidTr="00B06AAB">
        <w:trPr>
          <w:trHeight w:val="397"/>
        </w:trPr>
        <w:tc>
          <w:tcPr>
            <w:tcW w:w="4960" w:type="dxa"/>
            <w:shd w:val="clear" w:color="auto" w:fill="FFFFFF" w:themeFill="background1"/>
            <w:vAlign w:val="center"/>
          </w:tcPr>
          <w:p w:rsidR="003E14E0" w:rsidRPr="009A4CFC" w:rsidRDefault="003E14E0" w:rsidP="009C6DF2">
            <w:pPr>
              <w:keepNext/>
              <w:autoSpaceDE w:val="0"/>
              <w:autoSpaceDN w:val="0"/>
              <w:adjustRightInd w:val="0"/>
              <w:spacing w:line="276" w:lineRule="auto"/>
              <w:ind w:right="-1"/>
              <w:rPr>
                <w:rFonts w:cs="Arial"/>
                <w:szCs w:val="20"/>
              </w:rPr>
            </w:pPr>
            <w:r w:rsidRPr="009A4CFC">
              <w:rPr>
                <w:rFonts w:cs="Arial"/>
                <w:szCs w:val="20"/>
              </w:rPr>
              <w:t>Risk to Common carp (acute)</w:t>
            </w:r>
          </w:p>
          <w:p w:rsidR="003E14E0" w:rsidRPr="009A4CFC" w:rsidRDefault="003E14E0" w:rsidP="009C6DF2">
            <w:pPr>
              <w:keepNext/>
              <w:autoSpaceDE w:val="0"/>
              <w:autoSpaceDN w:val="0"/>
              <w:adjustRightInd w:val="0"/>
              <w:spacing w:line="276" w:lineRule="auto"/>
              <w:ind w:right="-1"/>
              <w:rPr>
                <w:rFonts w:cs="Arial"/>
                <w:szCs w:val="20"/>
              </w:rPr>
            </w:pPr>
            <w:r w:rsidRPr="009A4CFC">
              <w:rPr>
                <w:rFonts w:cs="Arial"/>
                <w:szCs w:val="20"/>
              </w:rPr>
              <w:t>RQ=tier  2 edge of field concentration (single application)/LC50 Carp</w:t>
            </w:r>
          </w:p>
        </w:tc>
        <w:tc>
          <w:tcPr>
            <w:tcW w:w="5068" w:type="dxa"/>
            <w:shd w:val="clear" w:color="auto" w:fill="FFFFFF" w:themeFill="background1"/>
            <w:vAlign w:val="center"/>
          </w:tcPr>
          <w:p w:rsidR="003E14E0" w:rsidRPr="009A4CFC" w:rsidRDefault="003E14E0" w:rsidP="009C6DF2">
            <w:pPr>
              <w:keepNext/>
              <w:ind w:right="-1"/>
              <w:rPr>
                <w:rFonts w:cs="Arial"/>
                <w:szCs w:val="20"/>
              </w:rPr>
            </w:pPr>
            <w:r w:rsidRPr="009A4CFC">
              <w:rPr>
                <w:rFonts w:cs="Arial"/>
                <w:szCs w:val="20"/>
              </w:rPr>
              <w:t>RQ &lt; 0.1</w:t>
            </w:r>
          </w:p>
        </w:tc>
      </w:tr>
      <w:tr w:rsidR="003E14E0" w:rsidRPr="00732768" w:rsidTr="00B06AAB">
        <w:trPr>
          <w:trHeight w:val="397"/>
        </w:trPr>
        <w:tc>
          <w:tcPr>
            <w:tcW w:w="4960" w:type="dxa"/>
            <w:shd w:val="clear" w:color="auto" w:fill="FFFFFF" w:themeFill="background1"/>
            <w:vAlign w:val="center"/>
          </w:tcPr>
          <w:p w:rsidR="003E14E0" w:rsidRPr="009A4CFC" w:rsidRDefault="003E14E0" w:rsidP="009C6DF2">
            <w:pPr>
              <w:keepNext/>
              <w:spacing w:line="276" w:lineRule="auto"/>
              <w:ind w:right="-1"/>
              <w:rPr>
                <w:rFonts w:cs="Arial"/>
                <w:szCs w:val="20"/>
              </w:rPr>
            </w:pPr>
            <w:r w:rsidRPr="009A4CFC">
              <w:rPr>
                <w:rFonts w:cs="Arial"/>
                <w:szCs w:val="20"/>
              </w:rPr>
              <w:t xml:space="preserve">Risk to </w:t>
            </w:r>
            <w:r w:rsidRPr="009A4CFC">
              <w:rPr>
                <w:rFonts w:cs="Arial"/>
                <w:i/>
                <w:szCs w:val="20"/>
              </w:rPr>
              <w:t>Daphnia magna</w:t>
            </w:r>
            <w:r w:rsidRPr="009A4CFC">
              <w:rPr>
                <w:rFonts w:cs="Arial"/>
                <w:szCs w:val="20"/>
              </w:rPr>
              <w:t xml:space="preserve"> (chronic)</w:t>
            </w:r>
          </w:p>
          <w:p w:rsidR="003E14E0" w:rsidRPr="009A4CFC" w:rsidRDefault="003E14E0" w:rsidP="009C6DF2">
            <w:pPr>
              <w:keepNext/>
              <w:spacing w:line="276" w:lineRule="auto"/>
              <w:ind w:right="-1"/>
              <w:rPr>
                <w:rFonts w:cs="Arial"/>
                <w:szCs w:val="20"/>
              </w:rPr>
            </w:pPr>
            <w:r w:rsidRPr="009A4CFC">
              <w:rPr>
                <w:rFonts w:cs="Arial"/>
                <w:szCs w:val="20"/>
              </w:rPr>
              <w:t>RQ=Edge of field calculation (multiple applications)/ 21 day NOEC Daphnia magna/</w:t>
            </w:r>
          </w:p>
        </w:tc>
        <w:tc>
          <w:tcPr>
            <w:tcW w:w="5068" w:type="dxa"/>
            <w:shd w:val="clear" w:color="auto" w:fill="FFFFFF" w:themeFill="background1"/>
            <w:vAlign w:val="center"/>
          </w:tcPr>
          <w:p w:rsidR="003E14E0" w:rsidRPr="009A4CFC" w:rsidRDefault="003E14E0" w:rsidP="009C6DF2">
            <w:pPr>
              <w:keepNext/>
              <w:ind w:right="-1"/>
              <w:rPr>
                <w:rFonts w:cs="Arial"/>
                <w:szCs w:val="20"/>
              </w:rPr>
            </w:pPr>
            <w:r w:rsidRPr="009A4CFC">
              <w:rPr>
                <w:rFonts w:cs="Arial"/>
                <w:szCs w:val="20"/>
              </w:rPr>
              <w:t>RQ &lt; 1</w:t>
            </w:r>
          </w:p>
        </w:tc>
      </w:tr>
    </w:tbl>
    <w:p w:rsidR="003E14E0" w:rsidRDefault="003E14E0" w:rsidP="003E14E0">
      <w:pPr>
        <w:ind w:right="-1"/>
        <w:jc w:val="both"/>
        <w:rPr>
          <w:rFonts w:cs="Arial"/>
          <w:sz w:val="18"/>
          <w:szCs w:val="18"/>
          <w:highlight w:val="yellow"/>
        </w:rPr>
      </w:pPr>
    </w:p>
    <w:p w:rsidR="003E14E0" w:rsidRDefault="003E14E0" w:rsidP="009C6DF2">
      <w:pPr>
        <w:pStyle w:val="NormalText"/>
      </w:pPr>
      <w:r w:rsidRPr="009C6DF2">
        <w:t xml:space="preserve">The tier 2 calculation predict the edge of field concentrations for single application (µg ac/L based on g ac/ha) and multiple applications (µg ac/L for x applications with x d intervals including the DT50 (soil) based on g ac/ha). If DT50 is greater than the application frequency, it will be assumed that there is a potential for the ac to accumulate in the soil. Worst case scenarios are considered (based on DT50 and Koc). Assessment is determined on whether </w:t>
      </w:r>
      <w:r w:rsidRPr="0094439D">
        <w:t xml:space="preserve">acute and chronic risks to are acceptable for worst case scenarios with RQ &lt;0.1 and RQ &lt;1 respectively. </w:t>
      </w:r>
      <w:r>
        <w:t>Tier 3 calculations are used were tier 2 risks are considered unacceptable.</w:t>
      </w:r>
    </w:p>
    <w:p w:rsidR="003E14E0" w:rsidRDefault="003E14E0" w:rsidP="003E14E0">
      <w:pPr>
        <w:spacing w:after="160" w:line="259" w:lineRule="auto"/>
        <w:rPr>
          <w:rFonts w:cs="Arial"/>
          <w:szCs w:val="22"/>
        </w:rPr>
      </w:pPr>
      <w:r>
        <w:rPr>
          <w:rFonts w:cs="Arial"/>
          <w:szCs w:val="22"/>
        </w:rPr>
        <w:br w:type="page"/>
      </w:r>
    </w:p>
    <w:p w:rsidR="003E14E0" w:rsidRPr="0094439D" w:rsidRDefault="003E14E0" w:rsidP="00C34B16">
      <w:pPr>
        <w:pStyle w:val="Heading2"/>
        <w:ind w:left="720" w:hanging="720"/>
      </w:pPr>
      <w:bookmarkStart w:id="153" w:name="_Toc516740378"/>
      <w:bookmarkStart w:id="154" w:name="_Toc526432219"/>
      <w:r w:rsidRPr="0094439D">
        <w:lastRenderedPageBreak/>
        <w:t>Sediment runoff</w:t>
      </w:r>
      <w:bookmarkEnd w:id="153"/>
      <w:bookmarkEnd w:id="154"/>
    </w:p>
    <w:p w:rsidR="003E14E0" w:rsidRPr="009C6DF2" w:rsidRDefault="003E14E0" w:rsidP="009C6DF2">
      <w:pPr>
        <w:pStyle w:val="NormalText"/>
      </w:pPr>
      <w:r w:rsidRPr="009C6DF2">
        <w:t>The water solubility of the AC and its level of adsorption to soils may lead to a significant proportion of the applied AC being removed via sediment runoff.</w:t>
      </w:r>
    </w:p>
    <w:p w:rsidR="003E14E0" w:rsidRPr="009C6DF2" w:rsidRDefault="003E14E0" w:rsidP="009C6DF2">
      <w:pPr>
        <w:pStyle w:val="NormalText"/>
      </w:pPr>
      <w:r w:rsidRPr="009C6DF2">
        <w:t>Calculations are based on worst case scenarios.  The calculations for sediment runoff assume that, in a worst case scenario, 400 kg/ha or 0.3% of top soil is eroded and is deposited into a 1 ha pond [</w:t>
      </w:r>
      <w:r w:rsidRPr="009C6DF2">
        <w:fldChar w:fldCharType="begin"/>
      </w:r>
      <w:r w:rsidRPr="009C6DF2">
        <w:instrText xml:space="preserve"> ADDIN EN.CITE &lt;EndNote&gt;&lt;Cite&gt;&lt;Author&gt;Afyuni&lt;/Author&gt;&lt;Year&gt;1997&lt;/Year&gt;&lt;RecNum&gt;40&lt;/RecNum&gt;&lt;DisplayText&gt;Afyuni et al. (1997)&lt;/DisplayText&gt;&lt;record&gt;&lt;rec-number&gt;40&lt;/rec-number&gt;&lt;foreign-keys&gt;&lt;key app="EN" db-id="wwpdpsray9dwt7etwtmx52tndf02dfpw2vz2"&gt;40&lt;/key&gt;&lt;/foreign-keys&gt;&lt;ref-type name="Journal Article"&gt;17&lt;/ref-type&gt;&lt;contributors&gt;&lt;authors&gt;&lt;author&gt;Afyuni, M.M.&lt;/author&gt;&lt;author&gt;Wagger, M.G.&lt;/author&gt;&lt;author&gt;Leidy, R.B. &lt;/author&gt;&lt;/authors&gt;&lt;/contributors&gt;&lt;titles&gt;&lt;title&gt;Run-off of Two Sulfonylurea Herbicides in Relation to Tillage System and Rainfall Intensity&lt;/title&gt;&lt;secondary-title&gt;J. Environ. Qual.,&lt;/secondary-title&gt;&lt;/titles&gt;&lt;periodical&gt;&lt;full-title&gt;J. Environ. Qual.,&lt;/full-title&gt;&lt;/periodical&gt;&lt;pages&gt;1318 - 1326&lt;/pages&gt;&lt;volume&gt;26&lt;/volume&gt;&lt;dates&gt;&lt;year&gt;1997&lt;/year&gt;&lt;/dates&gt;&lt;urls&gt;&lt;/urls&gt;&lt;/record&gt;&lt;/Cite&gt;&lt;/EndNote&gt;</w:instrText>
      </w:r>
      <w:r w:rsidRPr="009C6DF2">
        <w:fldChar w:fldCharType="separate"/>
      </w:r>
      <w:hyperlink w:anchor="_ENREF_1" w:tooltip="Afyuni, 1997 #40" w:history="1">
        <w:r w:rsidRPr="009C6DF2">
          <w:t>Afyuni et al. (1997</w:t>
        </w:r>
      </w:hyperlink>
      <w:r w:rsidRPr="009C6DF2">
        <w:t>)</w:t>
      </w:r>
      <w:r w:rsidRPr="009C6DF2">
        <w:fldChar w:fldCharType="end"/>
      </w:r>
      <w:r w:rsidRPr="009C6DF2">
        <w:t xml:space="preserve">, </w:t>
      </w:r>
      <w:r w:rsidRPr="009C6DF2">
        <w:fldChar w:fldCharType="begin"/>
      </w:r>
      <w:r w:rsidRPr="009C6DF2">
        <w:instrText xml:space="preserve"> ADDIN EN.CITE &lt;EndNote&gt;&lt;Cite&gt;&lt;Author&gt;Mensink&lt;/Author&gt;&lt;Year&gt;1996&lt;/Year&gt;&lt;RecNum&gt;41&lt;/RecNum&gt;&lt;DisplayText&gt;Mensink et al. (1996)&lt;/DisplayText&gt;&lt;record&gt;&lt;rec-number&gt;41&lt;/rec-number&gt;&lt;foreign-keys&gt;&lt;key app="EN" db-id="wwpdpsray9dwt7etwtmx52tndf02dfpw2vz2"&gt;41&lt;/key&gt;&lt;/foreign-keys&gt;&lt;ref-type name="Report"&gt;27&lt;/ref-type&gt;&lt;contributors&gt;&lt;authors&gt;&lt;author&gt;Mensink, B.J.&lt;/author&gt;&lt;author&gt;de Greef, J.&lt;/author&gt;&lt;author&gt;Linders, J.B. &lt;/author&gt;&lt;/authors&gt;&lt;/contributors&gt;&lt;titles&gt;&lt;title&gt;How to estimate concentrations of pesticides in surface water semi-quantitatively: an interim report. Report No.  679102011&amp;#xD;&lt;/title&gt;&lt;/titles&gt;&lt;dates&gt;&lt;year&gt;1996&lt;/year&gt;&lt;/dates&gt;&lt;pub-location&gt;National Institute of Public Health and Environmental Protection, Bilthoven, The Netherlands, 1996.&lt;/pub-location&gt;&lt;urls&gt;&lt;/urls&gt;&lt;/record&gt;&lt;/Cite&gt;&lt;/EndNote&gt;</w:instrText>
      </w:r>
      <w:r w:rsidRPr="009C6DF2">
        <w:fldChar w:fldCharType="separate"/>
      </w:r>
      <w:hyperlink w:anchor="_ENREF_16" w:tooltip="Mensink, 1996 #41" w:history="1">
        <w:r w:rsidRPr="009C6DF2">
          <w:t>Mensink et al. (1996</w:t>
        </w:r>
      </w:hyperlink>
      <w:r w:rsidRPr="009C6DF2">
        <w:t>)</w:t>
      </w:r>
      <w:r w:rsidRPr="009C6DF2">
        <w:fldChar w:fldCharType="end"/>
      </w:r>
      <w:r w:rsidRPr="009C6DF2">
        <w:t xml:space="preserve">]. </w:t>
      </w:r>
    </w:p>
    <w:p w:rsidR="003E14E0" w:rsidRPr="00C95109" w:rsidRDefault="003E14E0" w:rsidP="00C34B16">
      <w:pPr>
        <w:pStyle w:val="Heading2"/>
        <w:ind w:left="720" w:hanging="720"/>
      </w:pPr>
      <w:bookmarkStart w:id="155" w:name="_Toc516740379"/>
      <w:bookmarkStart w:id="156" w:name="_Toc526432220"/>
      <w:r w:rsidRPr="00C95109">
        <w:t>Sediment of a pond</w:t>
      </w:r>
      <w:bookmarkEnd w:id="155"/>
      <w:bookmarkEnd w:id="156"/>
    </w:p>
    <w:p w:rsidR="003E14E0" w:rsidRDefault="003E14E0" w:rsidP="003E14E0">
      <w:pPr>
        <w:pStyle w:val="NormalText"/>
      </w:pPr>
      <w:r>
        <w:t>The sediment loading of a pond will be determined by how</w:t>
      </w:r>
      <w:r w:rsidRPr="00CC68E0">
        <w:t xml:space="preserve"> much of the ac is adsorbed to soils based on water solubility (ie if &lt;1mg/L)</w:t>
      </w:r>
      <w:r>
        <w:t xml:space="preserve"> and level of sediment runoff</w:t>
      </w:r>
      <w:r w:rsidRPr="00CC68E0">
        <w:t>.</w:t>
      </w:r>
    </w:p>
    <w:p w:rsidR="003E14E0" w:rsidRDefault="003E14E0" w:rsidP="003E14E0">
      <w:pPr>
        <w:pStyle w:val="NormalText"/>
      </w:pPr>
      <w:r>
        <w:t>T</w:t>
      </w:r>
      <w:r w:rsidRPr="00CC68E0">
        <w:t>he amount of sediment runoff into a pond</w:t>
      </w:r>
      <w:r>
        <w:t xml:space="preserve"> is calculated based on </w:t>
      </w:r>
      <w:r w:rsidRPr="00CC68E0">
        <w:t>0.3% of top soil or 400kg/ha into a 1 ha pond</w:t>
      </w:r>
      <w:r>
        <w:t>.</w:t>
      </w:r>
    </w:p>
    <w:p w:rsidR="003E14E0" w:rsidRPr="00CC68E0" w:rsidRDefault="003E14E0" w:rsidP="003E14E0">
      <w:pPr>
        <w:pStyle w:val="NormalText"/>
      </w:pPr>
      <w:r w:rsidRPr="00CC68E0">
        <w:t xml:space="preserve">Total amount of sediment that may come from a treated area </w:t>
      </w:r>
      <w:r>
        <w:t xml:space="preserve">multiplied by the </w:t>
      </w:r>
      <w:r w:rsidRPr="00CC68E0">
        <w:t>cumulative application rate. Calculation is made of the sediment depth of the EU pond model (1cm) x bulk density (1400kg/m3) – This is to calculate the additional sediment coming from the treated area containing AC. The total ac in the whole sediment body is used to derive a concentration of the ac ug ac/kg sediment)</w:t>
      </w:r>
      <w:r w:rsidR="004C688B">
        <w:t>.</w:t>
      </w:r>
    </w:p>
    <w:p w:rsidR="003E14E0" w:rsidRPr="00CC68E0" w:rsidRDefault="003E14E0" w:rsidP="003E14E0">
      <w:pPr>
        <w:pStyle w:val="NormalText"/>
      </w:pPr>
      <w:r w:rsidRPr="00CC68E0">
        <w:t>Based on the calculation</w:t>
      </w:r>
      <w:r>
        <w:t>s</w:t>
      </w:r>
      <w:r w:rsidRPr="00CC68E0">
        <w:t xml:space="preserve">, </w:t>
      </w:r>
      <w:r>
        <w:t xml:space="preserve">the </w:t>
      </w:r>
      <w:r w:rsidRPr="00CC68E0">
        <w:t>risk to sediment dwellers</w:t>
      </w:r>
      <w:r>
        <w:t xml:space="preserve"> is assessed to be acceptable or not.</w:t>
      </w:r>
    </w:p>
    <w:p w:rsidR="003E14E0" w:rsidRPr="0096508A" w:rsidRDefault="003E14E0" w:rsidP="00C34B16">
      <w:pPr>
        <w:pStyle w:val="Heading2"/>
        <w:ind w:left="720" w:hanging="720"/>
      </w:pPr>
      <w:bookmarkStart w:id="157" w:name="_Toc516740380"/>
      <w:bookmarkStart w:id="158" w:name="_Toc526432221"/>
      <w:r w:rsidRPr="0096508A">
        <w:t>Groundwater</w:t>
      </w:r>
      <w:bookmarkEnd w:id="157"/>
      <w:bookmarkEnd w:id="158"/>
    </w:p>
    <w:p w:rsidR="003E14E0" w:rsidRPr="0096508A" w:rsidRDefault="003E14E0" w:rsidP="003E14E0">
      <w:pPr>
        <w:pStyle w:val="NormalText"/>
      </w:pPr>
      <w:r>
        <w:t>Assessment will be made on h</w:t>
      </w:r>
      <w:r w:rsidRPr="0096508A">
        <w:t>ow mobile the ac</w:t>
      </w:r>
      <w:r>
        <w:t xml:space="preserve"> is</w:t>
      </w:r>
      <w:r w:rsidRPr="0096508A">
        <w:t xml:space="preserve"> through soils (leachability) </w:t>
      </w:r>
      <w:r>
        <w:t>that may lead to contamination of groundwater</w:t>
      </w:r>
      <w:r w:rsidRPr="0096508A">
        <w:t>.</w:t>
      </w:r>
    </w:p>
    <w:p w:rsidR="003E14E0" w:rsidRPr="0096508A" w:rsidRDefault="003E14E0" w:rsidP="003E14E0">
      <w:pPr>
        <w:pStyle w:val="NormalText"/>
      </w:pPr>
      <w:r w:rsidRPr="0096508A">
        <w:t xml:space="preserve">Groundwater risk assessment will examine the potential depth to groundwater, mobility of the ac, the longevity of the ac, and potential for the ac to be transported </w:t>
      </w:r>
      <w:r>
        <w:t>and accumulate in</w:t>
      </w:r>
      <w:r w:rsidRPr="0096508A">
        <w:t xml:space="preserve"> the groundwater.</w:t>
      </w:r>
    </w:p>
    <w:p w:rsidR="003E14E0" w:rsidRPr="008E565C" w:rsidRDefault="003E14E0" w:rsidP="000440F9">
      <w:pPr>
        <w:pStyle w:val="Heading1"/>
        <w:ind w:left="720" w:hanging="720"/>
      </w:pPr>
      <w:bookmarkStart w:id="159" w:name="_Toc504046806"/>
      <w:bookmarkStart w:id="160" w:name="_Toc516737146"/>
      <w:bookmarkStart w:id="161" w:name="_Toc516740381"/>
      <w:bookmarkStart w:id="162" w:name="_Toc526432222"/>
      <w:r w:rsidRPr="008E565C">
        <w:lastRenderedPageBreak/>
        <w:t>Effects and associated risks of combination product to non-target species</w:t>
      </w:r>
      <w:bookmarkEnd w:id="159"/>
      <w:bookmarkEnd w:id="160"/>
      <w:bookmarkEnd w:id="161"/>
      <w:bookmarkEnd w:id="162"/>
      <w:r w:rsidRPr="008E565C">
        <w:t xml:space="preserve"> </w:t>
      </w:r>
    </w:p>
    <w:p w:rsidR="003E14E0" w:rsidRPr="008E565C" w:rsidRDefault="003E14E0" w:rsidP="003E14E0">
      <w:pPr>
        <w:pStyle w:val="NormalText"/>
      </w:pPr>
      <w:r w:rsidRPr="008E565C">
        <w:t xml:space="preserve">Similar to the independent active </w:t>
      </w:r>
      <w:r>
        <w:t>component</w:t>
      </w:r>
      <w:r w:rsidRPr="008E565C">
        <w:t xml:space="preserve"> consideration, the potential risk of combination products to non target species are assessed.  </w:t>
      </w:r>
    </w:p>
    <w:p w:rsidR="003E14E0" w:rsidRPr="003E14E0" w:rsidRDefault="003E14E0" w:rsidP="003E14E0">
      <w:pPr>
        <w:pStyle w:val="NormalText"/>
        <w:rPr>
          <w:rStyle w:val="ATChar"/>
          <w:rFonts w:asciiTheme="minorHAnsi" w:hAnsiTheme="minorHAnsi" w:cs="Arial"/>
          <w:lang w:eastAsia="en-US"/>
        </w:rPr>
      </w:pPr>
      <w:r w:rsidRPr="008E565C">
        <w:t xml:space="preserve">Short-term risks to non-target species are assessed following direct exposure to combined residues </w:t>
      </w:r>
      <w:r w:rsidRPr="003E14E0">
        <w:t xml:space="preserve">immediately after application. </w:t>
      </w:r>
      <w:r w:rsidRPr="003E14E0">
        <w:rPr>
          <w:rStyle w:val="ATChar"/>
          <w:rFonts w:asciiTheme="minorHAnsi" w:hAnsiTheme="minorHAnsi" w:cs="Arial"/>
          <w:lang w:eastAsia="en-US"/>
        </w:rPr>
        <w:t xml:space="preserve">Endpoints for formulation toxicity are obtained from trials provided. </w:t>
      </w:r>
    </w:p>
    <w:p w:rsidR="004C688B" w:rsidRPr="003E14E0" w:rsidRDefault="003E14E0" w:rsidP="004C688B">
      <w:pPr>
        <w:pStyle w:val="NormalText"/>
        <w:rPr>
          <w:rStyle w:val="ATChar"/>
          <w:rFonts w:asciiTheme="minorHAnsi" w:hAnsiTheme="minorHAnsi" w:cs="Arial"/>
          <w:lang w:eastAsia="en-US"/>
        </w:rPr>
      </w:pPr>
      <w:r w:rsidRPr="003E14E0">
        <w:t>In the absence of formulation toxicity data, combination toxicity is estimated assuming additive toxicity for organisms.</w:t>
      </w:r>
      <w:r w:rsidR="004C688B" w:rsidRPr="004C688B">
        <w:rPr>
          <w:rStyle w:val="ATChar"/>
          <w:rFonts w:asciiTheme="minorHAnsi" w:hAnsiTheme="minorHAnsi" w:cs="Arial"/>
          <w:lang w:eastAsia="en-US"/>
        </w:rPr>
        <w:t xml:space="preserve"> </w:t>
      </w:r>
      <w:r w:rsidR="004C688B" w:rsidRPr="003E14E0">
        <w:rPr>
          <w:rStyle w:val="ATChar"/>
          <w:rFonts w:asciiTheme="minorHAnsi" w:hAnsiTheme="minorHAnsi" w:cs="Arial"/>
          <w:lang w:eastAsia="en-US"/>
        </w:rPr>
        <w:t>Predicted formulation toxicity values can also be calculated to compare with the toxicity studies provided as to provide validation of the predicted values.</w:t>
      </w:r>
    </w:p>
    <w:p w:rsidR="003E14E0" w:rsidRPr="008E565C" w:rsidRDefault="003E14E0" w:rsidP="003E14E0">
      <w:pPr>
        <w:pStyle w:val="NormalText"/>
      </w:pPr>
      <w:r w:rsidRPr="008E565C">
        <w:t>EFSA (2013) provides rationale for checking the plausibility of the measured formulation toxicity against the calculated mixture toxicity. This is defined as the model deviation ratio (MDR) where the ratio of the calculated value divided by that of the measured value. In interpreting the MDR, if the value falls between 0.2 and 5, CA is assumed to hold for the mixture. Where the MDR is &gt;5, the mixture is considered more toxic than additive, and where the MDR is &lt;0.2, the mixture is considered less toxic than additive.</w:t>
      </w:r>
    </w:p>
    <w:p w:rsidR="003E14E0" w:rsidRDefault="003E14E0" w:rsidP="003E14E0">
      <w:pPr>
        <w:pStyle w:val="NormalText"/>
      </w:pPr>
      <w:r>
        <w:t xml:space="preserve">The impact of combination product </w:t>
      </w:r>
      <w:r w:rsidR="004C688B">
        <w:t>is</w:t>
      </w:r>
      <w:r>
        <w:t xml:space="preserve"> applied to each of the subject matter areas:</w:t>
      </w:r>
    </w:p>
    <w:p w:rsidR="003E14E0" w:rsidRPr="003E14E0" w:rsidRDefault="007E5F4F" w:rsidP="003E14E0">
      <w:pPr>
        <w:pStyle w:val="Bullet1"/>
      </w:pPr>
      <w:r>
        <w:t>t</w:t>
      </w:r>
      <w:r w:rsidR="003E14E0" w:rsidRPr="003E14E0">
        <w:t>errestrial animals</w:t>
      </w:r>
    </w:p>
    <w:p w:rsidR="003E14E0" w:rsidRPr="003E14E0" w:rsidRDefault="007E5F4F" w:rsidP="003E14E0">
      <w:pPr>
        <w:pStyle w:val="Bullet1"/>
      </w:pPr>
      <w:r>
        <w:t>a</w:t>
      </w:r>
      <w:r w:rsidR="003E14E0" w:rsidRPr="003E14E0">
        <w:t>quatic</w:t>
      </w:r>
    </w:p>
    <w:p w:rsidR="003E14E0" w:rsidRPr="003E14E0" w:rsidRDefault="007E5F4F" w:rsidP="003E14E0">
      <w:pPr>
        <w:pStyle w:val="Bullet1"/>
      </w:pPr>
      <w:r>
        <w:t>b</w:t>
      </w:r>
      <w:r w:rsidR="003E14E0" w:rsidRPr="003E14E0">
        <w:t>ees</w:t>
      </w:r>
    </w:p>
    <w:p w:rsidR="003E14E0" w:rsidRPr="003E14E0" w:rsidRDefault="007E5F4F" w:rsidP="003E14E0">
      <w:pPr>
        <w:pStyle w:val="Bullet1"/>
      </w:pPr>
      <w:r>
        <w:t>b</w:t>
      </w:r>
      <w:r w:rsidR="003E14E0" w:rsidRPr="003E14E0">
        <w:t>eneficial insects</w:t>
      </w:r>
    </w:p>
    <w:p w:rsidR="003E14E0" w:rsidRPr="003E14E0" w:rsidRDefault="007E5F4F" w:rsidP="003E14E0">
      <w:pPr>
        <w:pStyle w:val="Bullet1"/>
      </w:pPr>
      <w:r>
        <w:t>s</w:t>
      </w:r>
      <w:r w:rsidR="003E14E0" w:rsidRPr="003E14E0">
        <w:t>oil organisms</w:t>
      </w:r>
    </w:p>
    <w:p w:rsidR="003E14E0" w:rsidRPr="003E14E0" w:rsidRDefault="007E5F4F" w:rsidP="003E14E0">
      <w:pPr>
        <w:pStyle w:val="Bullet1"/>
      </w:pPr>
      <w:r>
        <w:t>n</w:t>
      </w:r>
      <w:r w:rsidR="003E14E0" w:rsidRPr="003E14E0">
        <w:t>on-target plants</w:t>
      </w:r>
      <w:r>
        <w:t>.</w:t>
      </w:r>
    </w:p>
    <w:p w:rsidR="003E14E0" w:rsidRDefault="003E14E0" w:rsidP="003E14E0">
      <w:pPr>
        <w:pStyle w:val="AT"/>
      </w:pPr>
    </w:p>
    <w:p w:rsidR="003E14E0" w:rsidRPr="00120D98" w:rsidRDefault="003E14E0" w:rsidP="000440F9">
      <w:pPr>
        <w:pStyle w:val="Heading1"/>
        <w:ind w:left="720" w:hanging="720"/>
      </w:pPr>
      <w:bookmarkStart w:id="163" w:name="_Toc504046814"/>
      <w:bookmarkStart w:id="164" w:name="_Toc516737147"/>
      <w:bookmarkStart w:id="165" w:name="_Toc516740382"/>
      <w:bookmarkStart w:id="166" w:name="_Toc526432223"/>
      <w:r w:rsidRPr="00120D98">
        <w:lastRenderedPageBreak/>
        <w:t>Overall Conclusions</w:t>
      </w:r>
      <w:bookmarkEnd w:id="163"/>
      <w:bookmarkEnd w:id="164"/>
      <w:bookmarkEnd w:id="165"/>
      <w:bookmarkEnd w:id="166"/>
    </w:p>
    <w:p w:rsidR="003E14E0" w:rsidRPr="00120D98" w:rsidRDefault="003E14E0" w:rsidP="003E14E0">
      <w:pPr>
        <w:pStyle w:val="NormalText"/>
      </w:pPr>
      <w:r w:rsidRPr="00120D98">
        <w:t>Overall conclusion statements for each of the potential environmental impacts are presented. This includes:</w:t>
      </w:r>
    </w:p>
    <w:p w:rsidR="003E14E0" w:rsidRPr="003E14E0" w:rsidRDefault="007E5F4F" w:rsidP="003E14E0">
      <w:pPr>
        <w:pStyle w:val="Bullet1"/>
      </w:pPr>
      <w:r>
        <w:t>f</w:t>
      </w:r>
      <w:r w:rsidR="003E14E0" w:rsidRPr="003E14E0">
        <w:t>ate and transport considerations</w:t>
      </w:r>
    </w:p>
    <w:p w:rsidR="003E14E0" w:rsidRPr="003E14E0" w:rsidRDefault="007E5F4F" w:rsidP="003E14E0">
      <w:pPr>
        <w:pStyle w:val="Bullet1"/>
      </w:pPr>
      <w:r>
        <w:t>t</w:t>
      </w:r>
      <w:r w:rsidR="003E14E0" w:rsidRPr="003E14E0">
        <w:t>errestrial animals</w:t>
      </w:r>
    </w:p>
    <w:p w:rsidR="003E14E0" w:rsidRPr="003E14E0" w:rsidRDefault="007E5F4F" w:rsidP="003E14E0">
      <w:pPr>
        <w:pStyle w:val="Bullet1"/>
      </w:pPr>
      <w:r>
        <w:t>a</w:t>
      </w:r>
      <w:r w:rsidR="003E14E0" w:rsidRPr="003E14E0">
        <w:t>quatic</w:t>
      </w:r>
    </w:p>
    <w:p w:rsidR="003E14E0" w:rsidRPr="003E14E0" w:rsidRDefault="007E5F4F" w:rsidP="003E14E0">
      <w:pPr>
        <w:pStyle w:val="Bullet1"/>
      </w:pPr>
      <w:r>
        <w:t>b</w:t>
      </w:r>
      <w:r w:rsidR="003E14E0" w:rsidRPr="003E14E0">
        <w:t>ees</w:t>
      </w:r>
    </w:p>
    <w:p w:rsidR="003E14E0" w:rsidRPr="003E14E0" w:rsidRDefault="007E5F4F" w:rsidP="003E14E0">
      <w:pPr>
        <w:pStyle w:val="Bullet1"/>
      </w:pPr>
      <w:r>
        <w:t>b</w:t>
      </w:r>
      <w:r w:rsidR="003E14E0" w:rsidRPr="003E14E0">
        <w:t>eneficial insects</w:t>
      </w:r>
    </w:p>
    <w:p w:rsidR="003E14E0" w:rsidRPr="003E14E0" w:rsidRDefault="007E5F4F" w:rsidP="003E14E0">
      <w:pPr>
        <w:pStyle w:val="Bullet1"/>
      </w:pPr>
      <w:r>
        <w:t>s</w:t>
      </w:r>
      <w:r w:rsidR="003E14E0" w:rsidRPr="003E14E0">
        <w:t>oil organisms</w:t>
      </w:r>
    </w:p>
    <w:p w:rsidR="003E14E0" w:rsidRPr="003E14E0" w:rsidRDefault="007E5F4F" w:rsidP="003E14E0">
      <w:pPr>
        <w:pStyle w:val="Bullet1"/>
      </w:pPr>
      <w:r>
        <w:t>n</w:t>
      </w:r>
      <w:r w:rsidR="003E14E0" w:rsidRPr="003E14E0">
        <w:t>on-target plants</w:t>
      </w:r>
      <w:r>
        <w:t>.</w:t>
      </w:r>
    </w:p>
    <w:p w:rsidR="003E14E0" w:rsidRPr="00120D98" w:rsidRDefault="003E14E0" w:rsidP="000440F9">
      <w:pPr>
        <w:pStyle w:val="Heading1"/>
        <w:ind w:left="720" w:hanging="720"/>
      </w:pPr>
      <w:bookmarkStart w:id="167" w:name="_Toc504046815"/>
      <w:bookmarkStart w:id="168" w:name="_Toc516737148"/>
      <w:bookmarkStart w:id="169" w:name="_Toc516740383"/>
      <w:bookmarkStart w:id="170" w:name="_Toc526432224"/>
      <w:r w:rsidRPr="00120D98">
        <w:lastRenderedPageBreak/>
        <w:t>Labelling recommendations</w:t>
      </w:r>
      <w:bookmarkEnd w:id="167"/>
      <w:bookmarkEnd w:id="168"/>
      <w:bookmarkEnd w:id="169"/>
      <w:bookmarkEnd w:id="170"/>
    </w:p>
    <w:p w:rsidR="003E14E0" w:rsidRPr="00120D98" w:rsidRDefault="003E14E0" w:rsidP="003E14E0">
      <w:pPr>
        <w:pStyle w:val="NormalText"/>
        <w:rPr>
          <w:sz w:val="20"/>
        </w:rPr>
      </w:pPr>
      <w:r w:rsidRPr="00120D98">
        <w:t xml:space="preserve">Recommendations for labelling will be based on the outcomes of the risk assessments, reference product labels and current labelling standards. </w:t>
      </w:r>
      <w:r w:rsidRPr="00120D98">
        <w:rPr>
          <w:sz w:val="20"/>
        </w:rPr>
        <w:t xml:space="preserve"> </w:t>
      </w:r>
    </w:p>
    <w:p w:rsidR="003E14E0" w:rsidRPr="00F62C7E" w:rsidRDefault="003E14E0" w:rsidP="000440F9">
      <w:pPr>
        <w:pStyle w:val="Heading1"/>
        <w:ind w:left="720" w:hanging="720"/>
      </w:pPr>
      <w:bookmarkStart w:id="171" w:name="_Toc504046816"/>
      <w:bookmarkStart w:id="172" w:name="_Toc516737149"/>
      <w:bookmarkStart w:id="173" w:name="_Toc516740384"/>
      <w:bookmarkStart w:id="174" w:name="_Toc526432225"/>
      <w:r w:rsidRPr="00F62C7E">
        <w:lastRenderedPageBreak/>
        <w:t>References</w:t>
      </w:r>
      <w:bookmarkEnd w:id="171"/>
      <w:bookmarkEnd w:id="172"/>
      <w:bookmarkEnd w:id="173"/>
      <w:bookmarkEnd w:id="174"/>
    </w:p>
    <w:p w:rsidR="003E14E0" w:rsidRPr="00F62C7E" w:rsidRDefault="003E14E0" w:rsidP="004C688B">
      <w:pPr>
        <w:pStyle w:val="NormalText"/>
      </w:pPr>
      <w:r w:rsidRPr="00F62C7E">
        <w:t>EFSA, 2013. Guidance on tiered risk assessment for plant protection products for aquatic organisms in edge-of-field surface waters. EFSA Journal 2013;11(7):3290</w:t>
      </w:r>
    </w:p>
    <w:p w:rsidR="003E14E0" w:rsidRPr="00F62C7E" w:rsidRDefault="003E14E0" w:rsidP="004C688B">
      <w:pPr>
        <w:pStyle w:val="NormalText"/>
        <w:rPr>
          <w:rStyle w:val="Hyperlink"/>
        </w:rPr>
      </w:pPr>
      <w:r w:rsidRPr="00F62C7E">
        <w:t xml:space="preserve">SCEW, 2009. Environmental Risk Assessment Guidance Manual for agricultural and veterinary chemicals. (Formerly) Standing Council on Environment and Water, February 2009. (available from: </w:t>
      </w:r>
      <w:hyperlink r:id="rId59" w:history="1">
        <w:r w:rsidRPr="00F62C7E">
          <w:rPr>
            <w:rStyle w:val="Hyperlink"/>
          </w:rPr>
          <w:t>http://www.scew.gov.au/sites/www.scew.gov.au/files/resources/bffdc9e9-7004-4de9-b94f-b758140dbc8c/files/cmgt-nchem-eragm-agricultural-and-veterinary-chemicals-200902.pdf</w:t>
        </w:r>
      </w:hyperlink>
    </w:p>
    <w:p w:rsidR="0091620B" w:rsidRPr="00F62C7E" w:rsidRDefault="0091620B" w:rsidP="003E14E0">
      <w:pPr>
        <w:rPr>
          <w:rStyle w:val="Hyperlink"/>
        </w:rPr>
      </w:pPr>
    </w:p>
    <w:p w:rsidR="0091620B" w:rsidRPr="00F62C7E" w:rsidRDefault="0091620B" w:rsidP="0091620B">
      <w:pPr>
        <w:rPr>
          <w:b/>
          <w:bCs/>
          <w:color w:val="1F497D"/>
        </w:rPr>
      </w:pPr>
      <w:r w:rsidRPr="00F62C7E">
        <w:rPr>
          <w:b/>
          <w:bCs/>
          <w:color w:val="1F497D"/>
        </w:rPr>
        <w:t>Aquatic organisms</w:t>
      </w:r>
    </w:p>
    <w:p w:rsidR="0091620B" w:rsidRPr="00F62C7E" w:rsidRDefault="0086416E" w:rsidP="0091620B">
      <w:pPr>
        <w:rPr>
          <w:color w:val="1F497D"/>
        </w:rPr>
      </w:pPr>
      <w:hyperlink r:id="rId60" w:history="1">
        <w:r w:rsidR="0091620B" w:rsidRPr="00F62C7E">
          <w:rPr>
            <w:rStyle w:val="Hyperlink"/>
          </w:rPr>
          <w:t>https://ec.europa.eu/food/sites/food/files/plant/docs/pesticides_ppp_app-proc_guide_ecotox_aquatic.pdf</w:t>
        </w:r>
      </w:hyperlink>
      <w:r w:rsidR="0091620B" w:rsidRPr="00F62C7E">
        <w:rPr>
          <w:color w:val="1F497D"/>
        </w:rPr>
        <w:t xml:space="preserve"> </w:t>
      </w:r>
    </w:p>
    <w:p w:rsidR="0091620B" w:rsidRPr="00F62C7E" w:rsidRDefault="0086416E" w:rsidP="0091620B">
      <w:pPr>
        <w:rPr>
          <w:color w:val="1F497D"/>
        </w:rPr>
      </w:pPr>
      <w:hyperlink r:id="rId61" w:history="1">
        <w:r w:rsidR="0091620B" w:rsidRPr="00F62C7E">
          <w:rPr>
            <w:rStyle w:val="Hyperlink"/>
          </w:rPr>
          <w:t>https://www.efsa.europa.eu/en/efsajournal/pub/3290</w:t>
        </w:r>
      </w:hyperlink>
      <w:r w:rsidR="0091620B" w:rsidRPr="00F62C7E">
        <w:rPr>
          <w:color w:val="1F497D"/>
        </w:rPr>
        <w:t xml:space="preserve"> </w:t>
      </w:r>
    </w:p>
    <w:p w:rsidR="0091620B" w:rsidRPr="00F62C7E" w:rsidRDefault="0086416E" w:rsidP="0091620B">
      <w:pPr>
        <w:rPr>
          <w:color w:val="1F497D"/>
        </w:rPr>
      </w:pPr>
      <w:hyperlink r:id="rId62" w:history="1">
        <w:r w:rsidR="0091620B" w:rsidRPr="00F62C7E">
          <w:rPr>
            <w:rStyle w:val="Hyperlink"/>
          </w:rPr>
          <w:t>http://archives.eppo.int/EPPOStandards/era.htm</w:t>
        </w:r>
      </w:hyperlink>
      <w:r w:rsidR="0091620B" w:rsidRPr="00F62C7E">
        <w:rPr>
          <w:color w:val="1F497D"/>
        </w:rPr>
        <w:t xml:space="preserve"> </w:t>
      </w:r>
    </w:p>
    <w:p w:rsidR="0091620B" w:rsidRPr="00F62C7E" w:rsidRDefault="0091620B" w:rsidP="0091620B">
      <w:pPr>
        <w:rPr>
          <w:color w:val="1F497D"/>
        </w:rPr>
      </w:pPr>
    </w:p>
    <w:p w:rsidR="0091620B" w:rsidRPr="00F62C7E" w:rsidRDefault="0091620B" w:rsidP="0091620B">
      <w:pPr>
        <w:rPr>
          <w:b/>
          <w:bCs/>
          <w:color w:val="1F497D"/>
        </w:rPr>
      </w:pPr>
      <w:r w:rsidRPr="00F62C7E">
        <w:rPr>
          <w:b/>
          <w:bCs/>
          <w:color w:val="1F497D"/>
        </w:rPr>
        <w:t>Crop-specific</w:t>
      </w:r>
    </w:p>
    <w:p w:rsidR="0091620B" w:rsidRPr="00F62C7E" w:rsidRDefault="0086416E" w:rsidP="0091620B">
      <w:pPr>
        <w:rPr>
          <w:color w:val="1F497D"/>
        </w:rPr>
      </w:pPr>
      <w:hyperlink r:id="rId63" w:history="1">
        <w:r w:rsidR="0091620B" w:rsidRPr="00F62C7E">
          <w:rPr>
            <w:rStyle w:val="Hyperlink"/>
          </w:rPr>
          <w:t>https://ec.europa.eu/food/sites/food/files/plant/docs/pesticides_ppp_app-proc_guide_crop_rice.pdf</w:t>
        </w:r>
      </w:hyperlink>
      <w:r w:rsidR="0091620B" w:rsidRPr="00F62C7E">
        <w:rPr>
          <w:color w:val="1F497D"/>
        </w:rPr>
        <w:t xml:space="preserve"> </w:t>
      </w:r>
    </w:p>
    <w:p w:rsidR="0091620B" w:rsidRPr="00F62C7E" w:rsidRDefault="0086416E" w:rsidP="0091620B">
      <w:pPr>
        <w:rPr>
          <w:color w:val="1F497D"/>
        </w:rPr>
      </w:pPr>
      <w:hyperlink r:id="rId64" w:history="1">
        <w:r w:rsidR="0091620B" w:rsidRPr="00F62C7E">
          <w:rPr>
            <w:rStyle w:val="Hyperlink"/>
          </w:rPr>
          <w:t>https://ec.europa.eu/food/sites/food/files/plant/docs/pesticides_ppp_app-proc_guide_fate_efsa_protected-crops.pdf</w:t>
        </w:r>
      </w:hyperlink>
      <w:r w:rsidR="0091620B" w:rsidRPr="00F62C7E">
        <w:rPr>
          <w:color w:val="1F497D"/>
        </w:rPr>
        <w:t xml:space="preserve"> </w:t>
      </w:r>
    </w:p>
    <w:p w:rsidR="0091620B" w:rsidRPr="00F62C7E" w:rsidRDefault="0091620B" w:rsidP="0091620B">
      <w:pPr>
        <w:rPr>
          <w:color w:val="1F497D"/>
        </w:rPr>
      </w:pPr>
    </w:p>
    <w:p w:rsidR="0091620B" w:rsidRPr="00F62C7E" w:rsidRDefault="0091620B" w:rsidP="0091620B">
      <w:pPr>
        <w:rPr>
          <w:b/>
          <w:bCs/>
          <w:color w:val="1F497D"/>
        </w:rPr>
      </w:pPr>
      <w:r w:rsidRPr="00F62C7E">
        <w:rPr>
          <w:b/>
          <w:bCs/>
          <w:color w:val="1F497D"/>
        </w:rPr>
        <w:t>Product-type specific</w:t>
      </w:r>
    </w:p>
    <w:p w:rsidR="0091620B" w:rsidRPr="00F62C7E" w:rsidRDefault="0086416E" w:rsidP="0091620B">
      <w:pPr>
        <w:rPr>
          <w:color w:val="1F497D"/>
        </w:rPr>
      </w:pPr>
      <w:hyperlink r:id="rId65" w:history="1">
        <w:r w:rsidR="0091620B" w:rsidRPr="00F62C7E">
          <w:rPr>
            <w:rStyle w:val="Hyperlink"/>
          </w:rPr>
          <w:t>https://ec.europa.eu/food/sites/food/files/plant/docs/pesticides_ppp_app-proc_guide_doss_semiochemicals-201605.pdf</w:t>
        </w:r>
      </w:hyperlink>
      <w:r w:rsidR="0091620B" w:rsidRPr="00F62C7E">
        <w:rPr>
          <w:color w:val="1F497D"/>
        </w:rPr>
        <w:t xml:space="preserve"> </w:t>
      </w:r>
    </w:p>
    <w:p w:rsidR="0091620B" w:rsidRPr="00F62C7E" w:rsidRDefault="0086416E" w:rsidP="0091620B">
      <w:pPr>
        <w:rPr>
          <w:color w:val="1F497D"/>
        </w:rPr>
      </w:pPr>
      <w:hyperlink r:id="rId66" w:history="1">
        <w:r w:rsidR="0091620B" w:rsidRPr="00F62C7E">
          <w:rPr>
            <w:rStyle w:val="Hyperlink"/>
          </w:rPr>
          <w:t>https://ec.europa.eu/food/sites/food/files/plant/docs/pesticides_ppp_app-proc_guide_doss_botanicals-rev-8.pdf</w:t>
        </w:r>
      </w:hyperlink>
      <w:r w:rsidR="0091620B" w:rsidRPr="00F62C7E">
        <w:rPr>
          <w:color w:val="1F497D"/>
        </w:rPr>
        <w:t xml:space="preserve"> </w:t>
      </w:r>
    </w:p>
    <w:p w:rsidR="0091620B" w:rsidRPr="00F62C7E" w:rsidRDefault="0086416E" w:rsidP="0091620B">
      <w:pPr>
        <w:rPr>
          <w:color w:val="1F497D"/>
        </w:rPr>
      </w:pPr>
      <w:hyperlink r:id="rId67" w:history="1">
        <w:r w:rsidR="0091620B" w:rsidRPr="00F62C7E">
          <w:rPr>
            <w:rStyle w:val="Hyperlink"/>
          </w:rPr>
          <w:t>https://echa.europa.eu/guidance-documents/guidance-on-biocides-legislation/emission-scenario-documents</w:t>
        </w:r>
      </w:hyperlink>
      <w:r w:rsidR="0091620B" w:rsidRPr="00F62C7E">
        <w:rPr>
          <w:color w:val="1F497D"/>
        </w:rPr>
        <w:t xml:space="preserve"> </w:t>
      </w:r>
    </w:p>
    <w:p w:rsidR="0091620B" w:rsidRPr="00F62C7E" w:rsidRDefault="0086416E" w:rsidP="0091620B">
      <w:pPr>
        <w:rPr>
          <w:color w:val="1F497D"/>
        </w:rPr>
      </w:pPr>
      <w:hyperlink r:id="rId68" w:history="1">
        <w:r w:rsidR="0091620B" w:rsidRPr="00F62C7E">
          <w:rPr>
            <w:rStyle w:val="Hyperlink"/>
          </w:rPr>
          <w:t>https://echa.europa.eu/documents/10162/23036412/bpr_guidance_ir_part_vol_iv_part_a_en.pdf/e5ffe222-c4ae-40c7-8306-83645e52aca2</w:t>
        </w:r>
      </w:hyperlink>
      <w:r w:rsidR="0091620B" w:rsidRPr="00F62C7E">
        <w:rPr>
          <w:color w:val="1F497D"/>
        </w:rPr>
        <w:t xml:space="preserve"> </w:t>
      </w:r>
    </w:p>
    <w:p w:rsidR="0091620B" w:rsidRPr="00F62C7E" w:rsidRDefault="0086416E" w:rsidP="0091620B">
      <w:pPr>
        <w:rPr>
          <w:color w:val="1F497D"/>
        </w:rPr>
      </w:pPr>
      <w:hyperlink r:id="rId69" w:history="1">
        <w:r w:rsidR="0091620B" w:rsidRPr="00F62C7E">
          <w:rPr>
            <w:rStyle w:val="Hyperlink"/>
          </w:rPr>
          <w:t>https://echa.europa.eu/documents/10162/23036412/bpr_guidance_ra_vol_iv_part_b-c_en.pdf/e2622aea-0b93-493f-85a3-f9cb42be16ae</w:t>
        </w:r>
      </w:hyperlink>
      <w:r w:rsidR="0091620B" w:rsidRPr="00F62C7E">
        <w:rPr>
          <w:color w:val="1F497D"/>
        </w:rPr>
        <w:t xml:space="preserve"> </w:t>
      </w:r>
    </w:p>
    <w:p w:rsidR="0091620B" w:rsidRPr="00F62C7E" w:rsidRDefault="0086416E" w:rsidP="0091620B">
      <w:pPr>
        <w:rPr>
          <w:color w:val="1F497D"/>
        </w:rPr>
      </w:pPr>
      <w:hyperlink r:id="rId70" w:history="1">
        <w:r w:rsidR="0091620B" w:rsidRPr="00F62C7E">
          <w:rPr>
            <w:rStyle w:val="Hyperlink"/>
          </w:rPr>
          <w:t>http://onlinelibrary.wiley.com/doi/10.2903/j.efsa.2010.1879/pdf</w:t>
        </w:r>
      </w:hyperlink>
      <w:r w:rsidR="0091620B" w:rsidRPr="00F62C7E">
        <w:rPr>
          <w:color w:val="1F497D"/>
        </w:rPr>
        <w:t xml:space="preserve"> </w:t>
      </w:r>
    </w:p>
    <w:p w:rsidR="0091620B" w:rsidRPr="00F62C7E" w:rsidRDefault="0091620B" w:rsidP="0091620B">
      <w:pPr>
        <w:rPr>
          <w:color w:val="1F497D"/>
        </w:rPr>
      </w:pPr>
    </w:p>
    <w:p w:rsidR="0091620B" w:rsidRPr="00F62C7E" w:rsidRDefault="0091620B" w:rsidP="0091620B">
      <w:pPr>
        <w:rPr>
          <w:b/>
          <w:bCs/>
          <w:color w:val="1F497D"/>
        </w:rPr>
      </w:pPr>
      <w:r w:rsidRPr="00F62C7E">
        <w:rPr>
          <w:b/>
          <w:bCs/>
          <w:color w:val="1F497D"/>
        </w:rPr>
        <w:t>Veterinary products</w:t>
      </w:r>
    </w:p>
    <w:p w:rsidR="0091620B" w:rsidRPr="00F62C7E" w:rsidRDefault="0086416E" w:rsidP="0091620B">
      <w:pPr>
        <w:rPr>
          <w:b/>
          <w:bCs/>
          <w:color w:val="1F497D"/>
        </w:rPr>
      </w:pPr>
      <w:hyperlink r:id="rId71" w:history="1">
        <w:r w:rsidR="0091620B" w:rsidRPr="00F62C7E">
          <w:rPr>
            <w:rStyle w:val="Hyperlink"/>
          </w:rPr>
          <w:t>http://www.vichsec.org/guidelines/pharmaceuticals/pharma-safety/environmental-safety.html</w:t>
        </w:r>
      </w:hyperlink>
      <w:r w:rsidR="0091620B" w:rsidRPr="00F62C7E">
        <w:rPr>
          <w:b/>
          <w:bCs/>
          <w:color w:val="1F497D"/>
        </w:rPr>
        <w:t xml:space="preserve"> </w:t>
      </w:r>
    </w:p>
    <w:p w:rsidR="0091620B" w:rsidRPr="00F62C7E" w:rsidRDefault="0086416E" w:rsidP="0091620B">
      <w:pPr>
        <w:rPr>
          <w:color w:val="1F497D"/>
        </w:rPr>
      </w:pPr>
      <w:hyperlink r:id="rId72" w:history="1">
        <w:r w:rsidR="0091620B" w:rsidRPr="00F62C7E">
          <w:rPr>
            <w:rStyle w:val="Hyperlink"/>
          </w:rPr>
          <w:t>https://www.efsa.europa.eu/en/efsajournal/pub/842</w:t>
        </w:r>
      </w:hyperlink>
      <w:r w:rsidR="0091620B" w:rsidRPr="00F62C7E">
        <w:rPr>
          <w:color w:val="1F497D"/>
        </w:rPr>
        <w:t xml:space="preserve"> </w:t>
      </w:r>
    </w:p>
    <w:p w:rsidR="0091620B" w:rsidRPr="00F62C7E" w:rsidRDefault="0086416E" w:rsidP="0091620B">
      <w:pPr>
        <w:rPr>
          <w:color w:val="1F497D"/>
        </w:rPr>
      </w:pPr>
      <w:hyperlink r:id="rId73" w:history="1">
        <w:r w:rsidR="0091620B" w:rsidRPr="00F62C7E">
          <w:rPr>
            <w:rStyle w:val="Hyperlink"/>
          </w:rPr>
          <w:t>http://www.ema.europa.eu/ema/index.jsp?curl=pages/regulation/general/general_content_001511.jsp&amp;mid</w:t>
        </w:r>
      </w:hyperlink>
      <w:r w:rsidR="0091620B" w:rsidRPr="00F62C7E">
        <w:rPr>
          <w:color w:val="1F497D"/>
        </w:rPr>
        <w:t xml:space="preserve">= </w:t>
      </w:r>
    </w:p>
    <w:p w:rsidR="0091620B" w:rsidRPr="00F62C7E" w:rsidRDefault="0086416E" w:rsidP="0091620B">
      <w:pPr>
        <w:rPr>
          <w:color w:val="1F497D"/>
        </w:rPr>
      </w:pPr>
      <w:hyperlink r:id="rId74" w:history="1">
        <w:r w:rsidR="0091620B" w:rsidRPr="00F62C7E">
          <w:rPr>
            <w:rStyle w:val="Hyperlink"/>
          </w:rPr>
          <w:t>http://www.ema.europa.eu/ema/index.jsp?curl=pages/regulation/general/general_content_001634.jsp&amp;mid=WC0b01ac058002ddc5</w:t>
        </w:r>
      </w:hyperlink>
      <w:r w:rsidR="0091620B" w:rsidRPr="00F62C7E">
        <w:rPr>
          <w:color w:val="1F497D"/>
        </w:rPr>
        <w:t xml:space="preserve"> </w:t>
      </w:r>
    </w:p>
    <w:p w:rsidR="0091620B" w:rsidRPr="00F62C7E" w:rsidRDefault="0086416E" w:rsidP="0091620B">
      <w:pPr>
        <w:rPr>
          <w:color w:val="1F497D"/>
        </w:rPr>
      </w:pPr>
      <w:hyperlink r:id="rId75" w:history="1">
        <w:r w:rsidR="0091620B" w:rsidRPr="00F62C7E">
          <w:rPr>
            <w:rStyle w:val="Hyperlink"/>
          </w:rPr>
          <w:t>http://www.ema.europa.eu/ema/index.jsp?curl=pages/regulation/general/general_content_001506.jsp&amp;mid=WC0b01ac058002dd37</w:t>
        </w:r>
      </w:hyperlink>
      <w:r w:rsidR="0091620B" w:rsidRPr="00F62C7E">
        <w:rPr>
          <w:color w:val="1F497D"/>
        </w:rPr>
        <w:t xml:space="preserve"> </w:t>
      </w:r>
    </w:p>
    <w:p w:rsidR="0091620B" w:rsidRPr="00F62C7E" w:rsidRDefault="0086416E" w:rsidP="0091620B">
      <w:pPr>
        <w:rPr>
          <w:color w:val="1F497D"/>
        </w:rPr>
      </w:pPr>
      <w:hyperlink r:id="rId76" w:history="1">
        <w:r w:rsidR="0091620B" w:rsidRPr="00F62C7E">
          <w:rPr>
            <w:rStyle w:val="Hyperlink"/>
          </w:rPr>
          <w:t>http://www.ema.europa.eu/ema/index.jsp?curl=pages/regulation/general/general_content_001507.jsp&amp;mid=WC0b01ac058002dd37</w:t>
        </w:r>
      </w:hyperlink>
      <w:r w:rsidR="0091620B" w:rsidRPr="00F62C7E">
        <w:rPr>
          <w:color w:val="1F497D"/>
        </w:rPr>
        <w:t xml:space="preserve"> </w:t>
      </w:r>
    </w:p>
    <w:p w:rsidR="0091620B" w:rsidRPr="00F62C7E" w:rsidRDefault="0086416E" w:rsidP="0091620B">
      <w:pPr>
        <w:rPr>
          <w:color w:val="1F497D"/>
        </w:rPr>
      </w:pPr>
      <w:hyperlink r:id="rId77" w:history="1">
        <w:r w:rsidR="0091620B" w:rsidRPr="00F62C7E">
          <w:rPr>
            <w:rStyle w:val="Hyperlink"/>
          </w:rPr>
          <w:t>http://www.ema.europa.eu/ema/index.jsp?curl=pages/regulation/general/general_content_001508.jsp&amp;mid=WC0b01ac058002dd37</w:t>
        </w:r>
      </w:hyperlink>
      <w:r w:rsidR="0091620B" w:rsidRPr="00F62C7E">
        <w:rPr>
          <w:color w:val="1F497D"/>
        </w:rPr>
        <w:t xml:space="preserve"> </w:t>
      </w:r>
    </w:p>
    <w:p w:rsidR="0091620B" w:rsidRPr="00F62C7E" w:rsidRDefault="0086416E" w:rsidP="0091620B">
      <w:pPr>
        <w:rPr>
          <w:color w:val="1F497D"/>
        </w:rPr>
      </w:pPr>
      <w:hyperlink r:id="rId78" w:history="1">
        <w:r w:rsidR="0091620B" w:rsidRPr="00F62C7E">
          <w:rPr>
            <w:rStyle w:val="Hyperlink"/>
          </w:rPr>
          <w:t>http://www.ema.europa.eu/ema/index.jsp?curl=pages/regulation/general/general_content_001503.jsp&amp;mid=WC0b01ac058002dd37</w:t>
        </w:r>
      </w:hyperlink>
      <w:r w:rsidR="0091620B" w:rsidRPr="00F62C7E">
        <w:rPr>
          <w:color w:val="1F497D"/>
        </w:rPr>
        <w:t xml:space="preserve"> </w:t>
      </w:r>
    </w:p>
    <w:p w:rsidR="0091620B" w:rsidRPr="00F62C7E" w:rsidRDefault="0091620B" w:rsidP="0091620B">
      <w:pPr>
        <w:rPr>
          <w:color w:val="1F497D"/>
        </w:rPr>
      </w:pPr>
    </w:p>
    <w:p w:rsidR="0091620B" w:rsidRPr="00F62C7E" w:rsidRDefault="0091620B" w:rsidP="0091620B">
      <w:pPr>
        <w:rPr>
          <w:b/>
          <w:bCs/>
          <w:color w:val="1F497D"/>
        </w:rPr>
      </w:pPr>
      <w:r w:rsidRPr="00F62C7E">
        <w:rPr>
          <w:b/>
          <w:bCs/>
          <w:color w:val="1F497D"/>
        </w:rPr>
        <w:t>General</w:t>
      </w:r>
    </w:p>
    <w:p w:rsidR="0091620B" w:rsidRPr="00F62C7E" w:rsidRDefault="0086416E" w:rsidP="0091620B">
      <w:pPr>
        <w:rPr>
          <w:color w:val="1F497D"/>
        </w:rPr>
      </w:pPr>
      <w:hyperlink r:id="rId79" w:history="1">
        <w:r w:rsidR="0091620B" w:rsidRPr="00F62C7E">
          <w:rPr>
            <w:rStyle w:val="Hyperlink"/>
          </w:rPr>
          <w:t>https://www.efsa.europa.eu/en/efsajournal/pub/4970</w:t>
        </w:r>
      </w:hyperlink>
      <w:r w:rsidR="0091620B" w:rsidRPr="00F62C7E">
        <w:rPr>
          <w:color w:val="1F497D"/>
        </w:rPr>
        <w:t xml:space="preserve"> </w:t>
      </w:r>
    </w:p>
    <w:p w:rsidR="003E14E0" w:rsidRDefault="0086416E" w:rsidP="0091620B">
      <w:hyperlink r:id="rId80" w:history="1">
        <w:r w:rsidR="0091620B" w:rsidRPr="00F62C7E">
          <w:rPr>
            <w:rStyle w:val="Hyperlink"/>
          </w:rPr>
          <w:t>https://www.efsa.europa.eu/en/efsajournal/pub/4971</w:t>
        </w:r>
      </w:hyperlink>
      <w:r w:rsidR="0091620B" w:rsidRPr="00F62C7E">
        <w:rPr>
          <w:color w:val="1F497D"/>
        </w:rPr>
        <w:t xml:space="preserve"> </w:t>
      </w:r>
    </w:p>
    <w:p w:rsidR="00525550" w:rsidRPr="00EB7D32" w:rsidRDefault="00525550" w:rsidP="00525550">
      <w:pPr>
        <w:pStyle w:val="Heading1"/>
      </w:pPr>
      <w:bookmarkStart w:id="175" w:name="_Toc516740385"/>
      <w:bookmarkStart w:id="176" w:name="_Toc522192304"/>
      <w:bookmarkStart w:id="177" w:name="_Toc526432226"/>
      <w:r w:rsidRPr="00EB7D32">
        <w:lastRenderedPageBreak/>
        <w:t>Abbreviations</w:t>
      </w:r>
      <w:bookmarkEnd w:id="175"/>
      <w:bookmarkEnd w:id="176"/>
      <w:bookmarkEnd w:id="177"/>
    </w:p>
    <w:p w:rsidR="00A8423E" w:rsidRPr="00A8423E" w:rsidRDefault="00A8423E" w:rsidP="00B32B9D">
      <w:pPr>
        <w:pStyle w:val="APVMATableText"/>
        <w:tabs>
          <w:tab w:val="left" w:pos="1951"/>
        </w:tabs>
        <w:ind w:left="113"/>
        <w:rPr>
          <w:rFonts w:asciiTheme="minorHAnsi" w:hAnsiTheme="minorHAnsi" w:cstheme="minorHAnsi"/>
          <w:szCs w:val="22"/>
        </w:rPr>
      </w:pPr>
      <w:r w:rsidRPr="00A8423E">
        <w:rPr>
          <w:rFonts w:asciiTheme="minorHAnsi" w:hAnsiTheme="minorHAnsi" w:cstheme="minorHAnsi"/>
          <w:szCs w:val="22"/>
        </w:rPr>
        <w:t>ADI</w:t>
      </w:r>
      <w:r w:rsidRPr="00A8423E">
        <w:rPr>
          <w:rFonts w:asciiTheme="minorHAnsi" w:hAnsiTheme="minorHAnsi" w:cstheme="minorHAnsi"/>
          <w:szCs w:val="22"/>
        </w:rPr>
        <w:tab/>
        <w:t>Acceptable daily intake</w:t>
      </w:r>
    </w:p>
    <w:p w:rsidR="00A8423E" w:rsidRPr="00A8423E" w:rsidRDefault="00A8423E" w:rsidP="00B32B9D">
      <w:pPr>
        <w:pStyle w:val="APVMATableText"/>
        <w:tabs>
          <w:tab w:val="left" w:pos="1951"/>
        </w:tabs>
        <w:ind w:left="113"/>
        <w:rPr>
          <w:rFonts w:asciiTheme="minorHAnsi" w:hAnsiTheme="minorHAnsi" w:cstheme="minorHAnsi"/>
          <w:szCs w:val="22"/>
        </w:rPr>
      </w:pPr>
      <w:r w:rsidRPr="00A8423E">
        <w:rPr>
          <w:rFonts w:asciiTheme="minorHAnsi" w:hAnsiTheme="minorHAnsi" w:cstheme="minorHAnsi"/>
          <w:szCs w:val="22"/>
        </w:rPr>
        <w:t>ADWG</w:t>
      </w:r>
      <w:r w:rsidRPr="00A8423E">
        <w:rPr>
          <w:rFonts w:asciiTheme="minorHAnsi" w:hAnsiTheme="minorHAnsi" w:cstheme="minorHAnsi"/>
          <w:szCs w:val="22"/>
        </w:rPr>
        <w:tab/>
        <w:t>Australian Drinking Water Guidelines</w:t>
      </w:r>
    </w:p>
    <w:p w:rsidR="00A8423E" w:rsidRPr="00A8423E" w:rsidRDefault="00A8423E" w:rsidP="00B32B9D">
      <w:pPr>
        <w:pStyle w:val="APVMATableText"/>
        <w:tabs>
          <w:tab w:val="left" w:pos="1951"/>
        </w:tabs>
        <w:ind w:left="113"/>
        <w:rPr>
          <w:rFonts w:asciiTheme="minorHAnsi" w:hAnsiTheme="minorHAnsi" w:cstheme="minorHAnsi"/>
          <w:szCs w:val="22"/>
        </w:rPr>
      </w:pPr>
      <w:r w:rsidRPr="00A8423E">
        <w:rPr>
          <w:rFonts w:asciiTheme="minorHAnsi" w:hAnsiTheme="minorHAnsi" w:cstheme="minorHAnsi"/>
          <w:szCs w:val="22"/>
        </w:rPr>
        <w:t>AERP</w:t>
      </w:r>
      <w:r w:rsidRPr="00A8423E">
        <w:rPr>
          <w:rFonts w:asciiTheme="minorHAnsi" w:hAnsiTheme="minorHAnsi" w:cstheme="minorHAnsi"/>
          <w:szCs w:val="22"/>
        </w:rPr>
        <w:tab/>
        <w:t>Adverse Experience Reporting Program</w:t>
      </w:r>
    </w:p>
    <w:p w:rsidR="00A8423E" w:rsidRPr="00A8423E" w:rsidRDefault="00A8423E" w:rsidP="00B32B9D">
      <w:pPr>
        <w:pStyle w:val="APVMATableText"/>
        <w:tabs>
          <w:tab w:val="left" w:pos="1951"/>
        </w:tabs>
        <w:ind w:left="113"/>
        <w:rPr>
          <w:rFonts w:asciiTheme="minorHAnsi" w:hAnsiTheme="minorHAnsi" w:cstheme="minorHAnsi"/>
          <w:szCs w:val="22"/>
        </w:rPr>
      </w:pPr>
      <w:r w:rsidRPr="00A8423E">
        <w:rPr>
          <w:rFonts w:asciiTheme="minorHAnsi" w:hAnsiTheme="minorHAnsi" w:cstheme="minorHAnsi"/>
          <w:szCs w:val="22"/>
        </w:rPr>
        <w:t>ALARA</w:t>
      </w:r>
      <w:r w:rsidRPr="00A8423E">
        <w:rPr>
          <w:rFonts w:asciiTheme="minorHAnsi" w:hAnsiTheme="minorHAnsi" w:cstheme="minorHAnsi"/>
          <w:szCs w:val="22"/>
        </w:rPr>
        <w:tab/>
        <w:t>As low as reasonably achievable</w:t>
      </w:r>
    </w:p>
    <w:p w:rsidR="00A8423E" w:rsidRPr="00A8423E" w:rsidRDefault="00A8423E" w:rsidP="00B32B9D">
      <w:pPr>
        <w:pStyle w:val="APVMATableText"/>
        <w:tabs>
          <w:tab w:val="left" w:pos="1951"/>
        </w:tabs>
        <w:ind w:left="113"/>
        <w:rPr>
          <w:rFonts w:asciiTheme="minorHAnsi" w:hAnsiTheme="minorHAnsi" w:cstheme="minorHAnsi"/>
          <w:szCs w:val="22"/>
        </w:rPr>
      </w:pPr>
      <w:r w:rsidRPr="00A8423E">
        <w:rPr>
          <w:rFonts w:asciiTheme="minorHAnsi" w:hAnsiTheme="minorHAnsi" w:cstheme="minorHAnsi"/>
          <w:szCs w:val="22"/>
        </w:rPr>
        <w:t>APVMA</w:t>
      </w:r>
      <w:r w:rsidRPr="00A8423E">
        <w:rPr>
          <w:rFonts w:asciiTheme="minorHAnsi" w:hAnsiTheme="minorHAnsi" w:cstheme="minorHAnsi"/>
          <w:szCs w:val="22"/>
        </w:rPr>
        <w:tab/>
        <w:t>Australian Pesticides and Veterinary Medicines Authority</w:t>
      </w:r>
    </w:p>
    <w:p w:rsidR="00A8423E" w:rsidRPr="00A8423E" w:rsidRDefault="00A8423E" w:rsidP="00B32B9D">
      <w:pPr>
        <w:pStyle w:val="APVMATableText"/>
        <w:tabs>
          <w:tab w:val="left" w:pos="1951"/>
        </w:tabs>
        <w:ind w:left="113"/>
        <w:rPr>
          <w:rFonts w:asciiTheme="minorHAnsi" w:hAnsiTheme="minorHAnsi" w:cstheme="minorHAnsi"/>
          <w:szCs w:val="22"/>
        </w:rPr>
      </w:pPr>
      <w:r w:rsidRPr="00A8423E">
        <w:rPr>
          <w:rFonts w:asciiTheme="minorHAnsi" w:hAnsiTheme="minorHAnsi" w:cstheme="minorHAnsi"/>
          <w:szCs w:val="22"/>
        </w:rPr>
        <w:t>DAWR</w:t>
      </w:r>
      <w:r w:rsidRPr="00A8423E">
        <w:rPr>
          <w:rFonts w:asciiTheme="minorHAnsi" w:hAnsiTheme="minorHAnsi" w:cstheme="minorHAnsi"/>
          <w:szCs w:val="22"/>
        </w:rPr>
        <w:tab/>
        <w:t>Department of Agriculture and Water Resources</w:t>
      </w:r>
    </w:p>
    <w:p w:rsidR="00A8423E" w:rsidRPr="00A8423E" w:rsidRDefault="00A8423E" w:rsidP="00B32B9D">
      <w:pPr>
        <w:pStyle w:val="APVMATableText"/>
        <w:tabs>
          <w:tab w:val="left" w:pos="1951"/>
        </w:tabs>
        <w:ind w:left="113"/>
        <w:rPr>
          <w:rFonts w:asciiTheme="minorHAnsi" w:hAnsiTheme="minorHAnsi" w:cstheme="minorHAnsi"/>
          <w:szCs w:val="22"/>
        </w:rPr>
      </w:pPr>
      <w:r w:rsidRPr="00A8423E">
        <w:rPr>
          <w:rFonts w:asciiTheme="minorHAnsi" w:hAnsiTheme="minorHAnsi" w:cstheme="minorHAnsi"/>
          <w:szCs w:val="22"/>
        </w:rPr>
        <w:t>DDD</w:t>
      </w:r>
      <w:r w:rsidRPr="00A8423E">
        <w:rPr>
          <w:rFonts w:asciiTheme="minorHAnsi" w:hAnsiTheme="minorHAnsi" w:cstheme="minorHAnsi"/>
          <w:szCs w:val="22"/>
        </w:rPr>
        <w:tab/>
        <w:t xml:space="preserve">Daily dietary dose </w:t>
      </w:r>
    </w:p>
    <w:p w:rsidR="00A8423E" w:rsidRPr="00A8423E" w:rsidRDefault="00A8423E" w:rsidP="00B32B9D">
      <w:pPr>
        <w:pStyle w:val="APVMATableText"/>
        <w:tabs>
          <w:tab w:val="left" w:pos="1951"/>
        </w:tabs>
        <w:ind w:left="113"/>
        <w:rPr>
          <w:rFonts w:asciiTheme="minorHAnsi" w:hAnsiTheme="minorHAnsi" w:cstheme="minorHAnsi"/>
          <w:szCs w:val="22"/>
        </w:rPr>
      </w:pPr>
      <w:r w:rsidRPr="00A8423E">
        <w:rPr>
          <w:rFonts w:asciiTheme="minorHAnsi" w:hAnsiTheme="minorHAnsi" w:cstheme="minorHAnsi"/>
          <w:szCs w:val="22"/>
        </w:rPr>
        <w:t>DDSD</w:t>
      </w:r>
      <w:r w:rsidRPr="00A8423E">
        <w:rPr>
          <w:rFonts w:asciiTheme="minorHAnsi" w:hAnsiTheme="minorHAnsi" w:cstheme="minorHAnsi"/>
          <w:szCs w:val="22"/>
        </w:rPr>
        <w:tab/>
        <w:t xml:space="preserve">Daily dry soil dose </w:t>
      </w:r>
    </w:p>
    <w:p w:rsidR="00A8423E" w:rsidRPr="00A8423E" w:rsidRDefault="00A8423E" w:rsidP="00B32B9D">
      <w:pPr>
        <w:pStyle w:val="APVMATableText"/>
        <w:tabs>
          <w:tab w:val="left" w:pos="1951"/>
        </w:tabs>
        <w:ind w:left="113"/>
        <w:rPr>
          <w:rFonts w:asciiTheme="minorHAnsi" w:hAnsiTheme="minorHAnsi" w:cstheme="minorHAnsi"/>
          <w:szCs w:val="22"/>
        </w:rPr>
      </w:pPr>
      <w:r w:rsidRPr="00A8423E">
        <w:rPr>
          <w:rFonts w:asciiTheme="minorHAnsi" w:hAnsiTheme="minorHAnsi" w:cstheme="minorHAnsi"/>
          <w:szCs w:val="22"/>
        </w:rPr>
        <w:t>DEE</w:t>
      </w:r>
      <w:r w:rsidRPr="00A8423E">
        <w:rPr>
          <w:rFonts w:asciiTheme="minorHAnsi" w:hAnsiTheme="minorHAnsi" w:cstheme="minorHAnsi"/>
          <w:szCs w:val="22"/>
        </w:rPr>
        <w:tab/>
        <w:t>Department of the Environment and Energy</w:t>
      </w:r>
    </w:p>
    <w:p w:rsidR="00A8423E" w:rsidRPr="00A8423E" w:rsidRDefault="00A8423E" w:rsidP="00B32B9D">
      <w:pPr>
        <w:pStyle w:val="APVMATableText"/>
        <w:tabs>
          <w:tab w:val="left" w:pos="1951"/>
        </w:tabs>
        <w:ind w:left="113"/>
        <w:rPr>
          <w:rFonts w:asciiTheme="minorHAnsi" w:hAnsiTheme="minorHAnsi" w:cstheme="minorHAnsi"/>
          <w:szCs w:val="22"/>
        </w:rPr>
      </w:pPr>
      <w:r w:rsidRPr="00A8423E">
        <w:rPr>
          <w:rFonts w:asciiTheme="minorHAnsi" w:hAnsiTheme="minorHAnsi" w:cstheme="minorHAnsi"/>
          <w:szCs w:val="22"/>
        </w:rPr>
        <w:t>DEFRA</w:t>
      </w:r>
      <w:r w:rsidRPr="00A8423E">
        <w:rPr>
          <w:rFonts w:asciiTheme="minorHAnsi" w:hAnsiTheme="minorHAnsi" w:cstheme="minorHAnsi"/>
          <w:szCs w:val="22"/>
        </w:rPr>
        <w:tab/>
        <w:t>UK Department of Environment, Food and Rural Affairs</w:t>
      </w:r>
    </w:p>
    <w:p w:rsidR="00A8423E" w:rsidRPr="00A8423E" w:rsidRDefault="00A8423E" w:rsidP="00B32B9D">
      <w:pPr>
        <w:pStyle w:val="APVMATableText"/>
        <w:tabs>
          <w:tab w:val="left" w:pos="1951"/>
        </w:tabs>
        <w:ind w:left="113"/>
        <w:rPr>
          <w:rFonts w:asciiTheme="minorHAnsi" w:hAnsiTheme="minorHAnsi" w:cstheme="minorHAnsi"/>
          <w:szCs w:val="22"/>
        </w:rPr>
      </w:pPr>
      <w:r w:rsidRPr="00A8423E">
        <w:rPr>
          <w:rFonts w:asciiTheme="minorHAnsi" w:hAnsiTheme="minorHAnsi" w:cstheme="minorHAnsi"/>
          <w:szCs w:val="22"/>
        </w:rPr>
        <w:t>DGD</w:t>
      </w:r>
      <w:r w:rsidRPr="00A8423E">
        <w:rPr>
          <w:rFonts w:asciiTheme="minorHAnsi" w:hAnsiTheme="minorHAnsi" w:cstheme="minorHAnsi"/>
          <w:szCs w:val="22"/>
        </w:rPr>
        <w:tab/>
        <w:t xml:space="preserve">Daily granule dose </w:t>
      </w:r>
    </w:p>
    <w:p w:rsidR="00A8423E" w:rsidRPr="00A8423E" w:rsidRDefault="00A8423E" w:rsidP="00B32B9D">
      <w:pPr>
        <w:pStyle w:val="APVMATableText"/>
        <w:tabs>
          <w:tab w:val="left" w:pos="1951"/>
        </w:tabs>
        <w:ind w:left="113"/>
        <w:rPr>
          <w:rFonts w:asciiTheme="minorHAnsi" w:hAnsiTheme="minorHAnsi" w:cstheme="minorHAnsi"/>
          <w:szCs w:val="22"/>
        </w:rPr>
      </w:pPr>
      <w:r w:rsidRPr="00A8423E">
        <w:rPr>
          <w:rFonts w:asciiTheme="minorHAnsi" w:hAnsiTheme="minorHAnsi" w:cstheme="minorHAnsi"/>
          <w:szCs w:val="22"/>
        </w:rPr>
        <w:t>EFSA</w:t>
      </w:r>
      <w:r w:rsidRPr="00A8423E">
        <w:rPr>
          <w:rFonts w:asciiTheme="minorHAnsi" w:hAnsiTheme="minorHAnsi" w:cstheme="minorHAnsi"/>
          <w:szCs w:val="22"/>
        </w:rPr>
        <w:tab/>
        <w:t>European Food Safety Authority</w:t>
      </w:r>
    </w:p>
    <w:p w:rsidR="00A8423E" w:rsidRPr="00A8423E" w:rsidRDefault="00A8423E" w:rsidP="00B32B9D">
      <w:pPr>
        <w:pStyle w:val="APVMATableText"/>
        <w:tabs>
          <w:tab w:val="left" w:pos="1951"/>
        </w:tabs>
        <w:ind w:left="113"/>
        <w:rPr>
          <w:rFonts w:asciiTheme="minorHAnsi" w:hAnsiTheme="minorHAnsi" w:cstheme="minorHAnsi"/>
          <w:szCs w:val="22"/>
        </w:rPr>
      </w:pPr>
      <w:r w:rsidRPr="00A8423E">
        <w:rPr>
          <w:rFonts w:asciiTheme="minorHAnsi" w:hAnsiTheme="minorHAnsi" w:cstheme="minorHAnsi"/>
          <w:szCs w:val="22"/>
        </w:rPr>
        <w:t>EPA</w:t>
      </w:r>
      <w:r w:rsidRPr="00A8423E">
        <w:rPr>
          <w:rFonts w:asciiTheme="minorHAnsi" w:hAnsiTheme="minorHAnsi" w:cstheme="minorHAnsi"/>
          <w:szCs w:val="22"/>
        </w:rPr>
        <w:tab/>
        <w:t>Environment Protection Agency</w:t>
      </w:r>
    </w:p>
    <w:p w:rsidR="00A8423E" w:rsidRPr="00A8423E" w:rsidRDefault="00A8423E" w:rsidP="00B32B9D">
      <w:pPr>
        <w:pStyle w:val="APVMATableText"/>
        <w:tabs>
          <w:tab w:val="left" w:pos="1951"/>
        </w:tabs>
        <w:ind w:left="113"/>
        <w:rPr>
          <w:rFonts w:asciiTheme="minorHAnsi" w:hAnsiTheme="minorHAnsi" w:cstheme="minorHAnsi"/>
          <w:szCs w:val="22"/>
        </w:rPr>
      </w:pPr>
      <w:r w:rsidRPr="00A8423E">
        <w:rPr>
          <w:rFonts w:asciiTheme="minorHAnsi" w:hAnsiTheme="minorHAnsi" w:cstheme="minorHAnsi"/>
          <w:szCs w:val="22"/>
        </w:rPr>
        <w:t>EPHC</w:t>
      </w:r>
      <w:r w:rsidRPr="00A8423E">
        <w:rPr>
          <w:rFonts w:asciiTheme="minorHAnsi" w:hAnsiTheme="minorHAnsi" w:cstheme="minorHAnsi"/>
          <w:szCs w:val="22"/>
        </w:rPr>
        <w:tab/>
        <w:t>Environment Protection and Heritage Council</w:t>
      </w:r>
    </w:p>
    <w:p w:rsidR="00A8423E" w:rsidRPr="00A8423E" w:rsidRDefault="00A8423E" w:rsidP="00B32B9D">
      <w:pPr>
        <w:pStyle w:val="APVMATableText"/>
        <w:tabs>
          <w:tab w:val="left" w:pos="1951"/>
        </w:tabs>
        <w:ind w:left="113"/>
        <w:rPr>
          <w:rFonts w:asciiTheme="minorHAnsi" w:hAnsiTheme="minorHAnsi" w:cstheme="minorHAnsi"/>
          <w:szCs w:val="22"/>
        </w:rPr>
      </w:pPr>
      <w:r w:rsidRPr="00A8423E">
        <w:rPr>
          <w:rFonts w:asciiTheme="minorHAnsi" w:hAnsiTheme="minorHAnsi" w:cstheme="minorHAnsi"/>
          <w:szCs w:val="22"/>
        </w:rPr>
        <w:t>EPPO</w:t>
      </w:r>
      <w:r w:rsidRPr="00A8423E">
        <w:rPr>
          <w:rFonts w:asciiTheme="minorHAnsi" w:hAnsiTheme="minorHAnsi" w:cstheme="minorHAnsi"/>
          <w:szCs w:val="22"/>
        </w:rPr>
        <w:tab/>
        <w:t>European and Mediterranean Plant Protection Organization</w:t>
      </w:r>
    </w:p>
    <w:p w:rsidR="00A8423E" w:rsidRPr="00A8423E" w:rsidRDefault="00A8423E" w:rsidP="00B32B9D">
      <w:pPr>
        <w:pStyle w:val="APVMATableText"/>
        <w:tabs>
          <w:tab w:val="left" w:pos="1951"/>
        </w:tabs>
        <w:ind w:left="113"/>
        <w:rPr>
          <w:rFonts w:asciiTheme="minorHAnsi" w:hAnsiTheme="minorHAnsi" w:cstheme="minorHAnsi"/>
          <w:szCs w:val="22"/>
        </w:rPr>
      </w:pPr>
      <w:r w:rsidRPr="00A8423E">
        <w:rPr>
          <w:rFonts w:asciiTheme="minorHAnsi" w:hAnsiTheme="minorHAnsi" w:cstheme="minorHAnsi"/>
          <w:szCs w:val="22"/>
        </w:rPr>
        <w:t>EUBEES</w:t>
      </w:r>
      <w:r w:rsidRPr="00A8423E">
        <w:rPr>
          <w:rFonts w:asciiTheme="minorHAnsi" w:hAnsiTheme="minorHAnsi" w:cstheme="minorHAnsi"/>
          <w:szCs w:val="22"/>
        </w:rPr>
        <w:tab/>
        <w:t>European Union Biocides Environmental Exposure Scenario working group</w:t>
      </w:r>
    </w:p>
    <w:p w:rsidR="00A8423E" w:rsidRPr="00A8423E" w:rsidRDefault="00A8423E" w:rsidP="00B32B9D">
      <w:pPr>
        <w:pStyle w:val="APVMATableText"/>
        <w:tabs>
          <w:tab w:val="left" w:pos="1951"/>
        </w:tabs>
        <w:ind w:left="113"/>
        <w:rPr>
          <w:rFonts w:asciiTheme="minorHAnsi" w:hAnsiTheme="minorHAnsi" w:cstheme="minorHAnsi"/>
          <w:szCs w:val="22"/>
        </w:rPr>
      </w:pPr>
      <w:r w:rsidRPr="00A8423E">
        <w:rPr>
          <w:rFonts w:asciiTheme="minorHAnsi" w:hAnsiTheme="minorHAnsi" w:cstheme="minorHAnsi"/>
          <w:szCs w:val="22"/>
        </w:rPr>
        <w:t>FAISD</w:t>
      </w:r>
      <w:r w:rsidRPr="00A8423E">
        <w:rPr>
          <w:rFonts w:asciiTheme="minorHAnsi" w:hAnsiTheme="minorHAnsi" w:cstheme="minorHAnsi"/>
          <w:szCs w:val="22"/>
        </w:rPr>
        <w:tab/>
        <w:t>First aid instructions and safety directions</w:t>
      </w:r>
    </w:p>
    <w:p w:rsidR="00A8423E" w:rsidRPr="00A8423E" w:rsidRDefault="00A8423E" w:rsidP="00B32B9D">
      <w:pPr>
        <w:pStyle w:val="APVMATableText"/>
        <w:tabs>
          <w:tab w:val="left" w:pos="1951"/>
        </w:tabs>
        <w:ind w:left="113"/>
        <w:rPr>
          <w:rFonts w:asciiTheme="minorHAnsi" w:hAnsiTheme="minorHAnsi" w:cstheme="minorHAnsi"/>
          <w:szCs w:val="22"/>
        </w:rPr>
      </w:pPr>
      <w:r w:rsidRPr="00A8423E">
        <w:rPr>
          <w:rFonts w:asciiTheme="minorHAnsi" w:hAnsiTheme="minorHAnsi" w:cstheme="minorHAnsi"/>
          <w:szCs w:val="22"/>
        </w:rPr>
        <w:t>FAO</w:t>
      </w:r>
      <w:r w:rsidRPr="00A8423E">
        <w:rPr>
          <w:rFonts w:asciiTheme="minorHAnsi" w:hAnsiTheme="minorHAnsi" w:cstheme="minorHAnsi"/>
          <w:szCs w:val="22"/>
        </w:rPr>
        <w:tab/>
        <w:t>Food and Agriculture Organisation</w:t>
      </w:r>
    </w:p>
    <w:p w:rsidR="00A8423E" w:rsidRPr="00A8423E" w:rsidRDefault="00A8423E" w:rsidP="00B32B9D">
      <w:pPr>
        <w:pStyle w:val="APVMATableText"/>
        <w:tabs>
          <w:tab w:val="left" w:pos="1951"/>
        </w:tabs>
        <w:ind w:left="113"/>
        <w:rPr>
          <w:rFonts w:asciiTheme="minorHAnsi" w:hAnsiTheme="minorHAnsi" w:cstheme="minorHAnsi"/>
          <w:szCs w:val="22"/>
        </w:rPr>
      </w:pPr>
      <w:r w:rsidRPr="00A8423E">
        <w:rPr>
          <w:rFonts w:asciiTheme="minorHAnsi" w:hAnsiTheme="minorHAnsi" w:cstheme="minorHAnsi"/>
          <w:szCs w:val="22"/>
        </w:rPr>
        <w:t>FIR</w:t>
      </w:r>
      <w:r w:rsidRPr="00A8423E">
        <w:rPr>
          <w:rFonts w:asciiTheme="minorHAnsi" w:hAnsiTheme="minorHAnsi" w:cstheme="minorHAnsi"/>
          <w:szCs w:val="22"/>
        </w:rPr>
        <w:tab/>
        <w:t>Food Intake Rates</w:t>
      </w:r>
    </w:p>
    <w:p w:rsidR="00A8423E" w:rsidRPr="00A8423E" w:rsidRDefault="00A8423E" w:rsidP="00B32B9D">
      <w:pPr>
        <w:pStyle w:val="APVMATableText"/>
        <w:tabs>
          <w:tab w:val="left" w:pos="1951"/>
        </w:tabs>
        <w:ind w:left="113"/>
        <w:rPr>
          <w:rFonts w:asciiTheme="minorHAnsi" w:hAnsiTheme="minorHAnsi" w:cstheme="minorHAnsi"/>
          <w:szCs w:val="22"/>
        </w:rPr>
      </w:pPr>
      <w:r w:rsidRPr="00A8423E">
        <w:rPr>
          <w:rFonts w:asciiTheme="minorHAnsi" w:hAnsiTheme="minorHAnsi" w:cstheme="minorHAnsi"/>
          <w:szCs w:val="22"/>
        </w:rPr>
        <w:t>FSANZ</w:t>
      </w:r>
      <w:r w:rsidRPr="00A8423E">
        <w:rPr>
          <w:rFonts w:asciiTheme="minorHAnsi" w:hAnsiTheme="minorHAnsi" w:cstheme="minorHAnsi"/>
          <w:szCs w:val="22"/>
        </w:rPr>
        <w:tab/>
        <w:t>Food Standards Australia New Zealand</w:t>
      </w:r>
    </w:p>
    <w:p w:rsidR="00A8423E" w:rsidRPr="00A8423E" w:rsidRDefault="00A8423E" w:rsidP="00B32B9D">
      <w:pPr>
        <w:pStyle w:val="APVMATableText"/>
        <w:tabs>
          <w:tab w:val="left" w:pos="1951"/>
        </w:tabs>
        <w:ind w:left="113"/>
        <w:rPr>
          <w:rFonts w:asciiTheme="minorHAnsi" w:hAnsiTheme="minorHAnsi" w:cstheme="minorHAnsi"/>
          <w:szCs w:val="22"/>
        </w:rPr>
      </w:pPr>
      <w:r w:rsidRPr="00A8423E">
        <w:rPr>
          <w:rFonts w:asciiTheme="minorHAnsi" w:hAnsiTheme="minorHAnsi" w:cstheme="minorHAnsi"/>
          <w:szCs w:val="22"/>
        </w:rPr>
        <w:t>GHS</w:t>
      </w:r>
      <w:r w:rsidRPr="00A8423E">
        <w:rPr>
          <w:rFonts w:asciiTheme="minorHAnsi" w:hAnsiTheme="minorHAnsi" w:cstheme="minorHAnsi"/>
          <w:szCs w:val="22"/>
        </w:rPr>
        <w:tab/>
        <w:t>Globally Harmonised System of Classification and Labelling of Chemicals</w:t>
      </w:r>
    </w:p>
    <w:p w:rsidR="00A8423E" w:rsidRPr="00A8423E" w:rsidRDefault="00A8423E" w:rsidP="00B32B9D">
      <w:pPr>
        <w:pStyle w:val="APVMATableText"/>
        <w:tabs>
          <w:tab w:val="left" w:pos="1951"/>
        </w:tabs>
        <w:ind w:left="113"/>
        <w:rPr>
          <w:rFonts w:asciiTheme="minorHAnsi" w:hAnsiTheme="minorHAnsi" w:cstheme="minorHAnsi"/>
          <w:szCs w:val="22"/>
        </w:rPr>
      </w:pPr>
      <w:r w:rsidRPr="00A8423E">
        <w:rPr>
          <w:rFonts w:asciiTheme="minorHAnsi" w:hAnsiTheme="minorHAnsi" w:cstheme="minorHAnsi"/>
          <w:szCs w:val="22"/>
        </w:rPr>
        <w:t>GLP</w:t>
      </w:r>
      <w:r w:rsidRPr="00A8423E">
        <w:rPr>
          <w:rFonts w:asciiTheme="minorHAnsi" w:hAnsiTheme="minorHAnsi" w:cstheme="minorHAnsi"/>
          <w:szCs w:val="22"/>
        </w:rPr>
        <w:tab/>
        <w:t>Good laboratory practice</w:t>
      </w:r>
    </w:p>
    <w:p w:rsidR="00A8423E" w:rsidRPr="00A8423E" w:rsidRDefault="00A8423E" w:rsidP="00B32B9D">
      <w:pPr>
        <w:pStyle w:val="APVMATableText"/>
        <w:tabs>
          <w:tab w:val="left" w:pos="1951"/>
        </w:tabs>
        <w:ind w:left="113"/>
        <w:rPr>
          <w:rFonts w:asciiTheme="minorHAnsi" w:hAnsiTheme="minorHAnsi" w:cstheme="minorHAnsi"/>
          <w:szCs w:val="22"/>
        </w:rPr>
      </w:pPr>
      <w:r w:rsidRPr="00A8423E">
        <w:rPr>
          <w:rFonts w:asciiTheme="minorHAnsi" w:hAnsiTheme="minorHAnsi" w:cstheme="minorHAnsi"/>
          <w:szCs w:val="22"/>
        </w:rPr>
        <w:t>GMP</w:t>
      </w:r>
      <w:r w:rsidRPr="00A8423E">
        <w:rPr>
          <w:rFonts w:asciiTheme="minorHAnsi" w:hAnsiTheme="minorHAnsi" w:cstheme="minorHAnsi"/>
          <w:szCs w:val="22"/>
        </w:rPr>
        <w:tab/>
        <w:t>Good manufacturing practices</w:t>
      </w:r>
    </w:p>
    <w:p w:rsidR="00A8423E" w:rsidRPr="00A8423E" w:rsidRDefault="00A8423E" w:rsidP="00B32B9D">
      <w:pPr>
        <w:pStyle w:val="APVMATableText"/>
        <w:tabs>
          <w:tab w:val="left" w:pos="1951"/>
        </w:tabs>
        <w:ind w:left="113"/>
        <w:rPr>
          <w:rFonts w:asciiTheme="minorHAnsi" w:hAnsiTheme="minorHAnsi" w:cstheme="minorHAnsi"/>
          <w:szCs w:val="22"/>
        </w:rPr>
      </w:pPr>
      <w:r w:rsidRPr="00A8423E">
        <w:rPr>
          <w:rFonts w:asciiTheme="minorHAnsi" w:hAnsiTheme="minorHAnsi" w:cstheme="minorHAnsi"/>
          <w:szCs w:val="22"/>
        </w:rPr>
        <w:t>HBGV</w:t>
      </w:r>
      <w:r w:rsidRPr="00A8423E">
        <w:rPr>
          <w:rFonts w:asciiTheme="minorHAnsi" w:hAnsiTheme="minorHAnsi" w:cstheme="minorHAnsi"/>
          <w:szCs w:val="22"/>
        </w:rPr>
        <w:tab/>
        <w:t xml:space="preserve">Health Based Guidance Values </w:t>
      </w:r>
    </w:p>
    <w:p w:rsidR="00A8423E" w:rsidRPr="00A8423E" w:rsidRDefault="00A8423E" w:rsidP="00B32B9D">
      <w:pPr>
        <w:pStyle w:val="APVMATableText"/>
        <w:tabs>
          <w:tab w:val="left" w:pos="1951"/>
        </w:tabs>
        <w:ind w:left="113"/>
        <w:rPr>
          <w:rFonts w:asciiTheme="minorHAnsi" w:hAnsiTheme="minorHAnsi" w:cstheme="minorHAnsi"/>
          <w:szCs w:val="22"/>
        </w:rPr>
      </w:pPr>
      <w:r w:rsidRPr="00A8423E">
        <w:rPr>
          <w:rFonts w:asciiTheme="minorHAnsi" w:hAnsiTheme="minorHAnsi" w:cstheme="minorHAnsi"/>
          <w:szCs w:val="22"/>
        </w:rPr>
        <w:t>IPM</w:t>
      </w:r>
      <w:r w:rsidRPr="00A8423E">
        <w:rPr>
          <w:rFonts w:asciiTheme="minorHAnsi" w:hAnsiTheme="minorHAnsi" w:cstheme="minorHAnsi"/>
          <w:szCs w:val="22"/>
        </w:rPr>
        <w:tab/>
        <w:t>Integrated Pest Management</w:t>
      </w:r>
    </w:p>
    <w:p w:rsidR="00A8423E" w:rsidRPr="00A8423E" w:rsidRDefault="00A8423E" w:rsidP="00B32B9D">
      <w:pPr>
        <w:pStyle w:val="APVMATableText"/>
        <w:tabs>
          <w:tab w:val="left" w:pos="1951"/>
        </w:tabs>
        <w:ind w:left="113"/>
        <w:rPr>
          <w:rFonts w:asciiTheme="minorHAnsi" w:hAnsiTheme="minorHAnsi" w:cstheme="minorHAnsi"/>
          <w:szCs w:val="22"/>
        </w:rPr>
      </w:pPr>
      <w:r w:rsidRPr="00A8423E">
        <w:rPr>
          <w:rFonts w:asciiTheme="minorHAnsi" w:hAnsiTheme="minorHAnsi" w:cstheme="minorHAnsi"/>
          <w:szCs w:val="22"/>
        </w:rPr>
        <w:t>LOC</w:t>
      </w:r>
      <w:r w:rsidRPr="00A8423E">
        <w:rPr>
          <w:rFonts w:asciiTheme="minorHAnsi" w:hAnsiTheme="minorHAnsi" w:cstheme="minorHAnsi"/>
          <w:szCs w:val="22"/>
        </w:rPr>
        <w:tab/>
        <w:t>Level of Concern</w:t>
      </w:r>
    </w:p>
    <w:p w:rsidR="00A8423E" w:rsidRPr="00A8423E" w:rsidRDefault="00A8423E" w:rsidP="00B32B9D">
      <w:pPr>
        <w:pStyle w:val="APVMATableText"/>
        <w:tabs>
          <w:tab w:val="left" w:pos="1951"/>
        </w:tabs>
        <w:ind w:left="113"/>
        <w:rPr>
          <w:rFonts w:asciiTheme="minorHAnsi" w:hAnsiTheme="minorHAnsi" w:cstheme="minorHAnsi"/>
          <w:szCs w:val="22"/>
        </w:rPr>
      </w:pPr>
      <w:r w:rsidRPr="00A8423E">
        <w:rPr>
          <w:rFonts w:asciiTheme="minorHAnsi" w:hAnsiTheme="minorHAnsi" w:cstheme="minorHAnsi"/>
          <w:szCs w:val="22"/>
        </w:rPr>
        <w:t>LOEC</w:t>
      </w:r>
      <w:r w:rsidRPr="00A8423E">
        <w:rPr>
          <w:rFonts w:asciiTheme="minorHAnsi" w:hAnsiTheme="minorHAnsi" w:cstheme="minorHAnsi"/>
          <w:szCs w:val="22"/>
        </w:rPr>
        <w:tab/>
        <w:t xml:space="preserve">Lowest observed effect concentration </w:t>
      </w:r>
    </w:p>
    <w:p w:rsidR="00A8423E" w:rsidRPr="00A8423E" w:rsidRDefault="00A8423E" w:rsidP="00B32B9D">
      <w:pPr>
        <w:pStyle w:val="APVMATableText"/>
        <w:tabs>
          <w:tab w:val="left" w:pos="1951"/>
        </w:tabs>
        <w:ind w:left="113"/>
        <w:rPr>
          <w:rFonts w:asciiTheme="minorHAnsi" w:hAnsiTheme="minorHAnsi" w:cstheme="minorHAnsi"/>
          <w:szCs w:val="22"/>
        </w:rPr>
      </w:pPr>
      <w:r w:rsidRPr="00A8423E">
        <w:rPr>
          <w:rFonts w:asciiTheme="minorHAnsi" w:hAnsiTheme="minorHAnsi" w:cstheme="minorHAnsi"/>
          <w:szCs w:val="22"/>
        </w:rPr>
        <w:t>MAF</w:t>
      </w:r>
      <w:r w:rsidRPr="00A8423E">
        <w:rPr>
          <w:rFonts w:asciiTheme="minorHAnsi" w:hAnsiTheme="minorHAnsi" w:cstheme="minorHAnsi"/>
          <w:szCs w:val="22"/>
        </w:rPr>
        <w:tab/>
        <w:t>Multiple Application Factor</w:t>
      </w:r>
    </w:p>
    <w:p w:rsidR="00A8423E" w:rsidRPr="00A8423E" w:rsidRDefault="00A8423E" w:rsidP="00B32B9D">
      <w:pPr>
        <w:pStyle w:val="APVMATableText"/>
        <w:tabs>
          <w:tab w:val="left" w:pos="1951"/>
        </w:tabs>
        <w:ind w:left="113"/>
        <w:rPr>
          <w:rFonts w:asciiTheme="minorHAnsi" w:hAnsiTheme="minorHAnsi" w:cstheme="minorHAnsi"/>
          <w:szCs w:val="22"/>
        </w:rPr>
      </w:pPr>
      <w:r w:rsidRPr="00A8423E">
        <w:rPr>
          <w:rFonts w:asciiTheme="minorHAnsi" w:hAnsiTheme="minorHAnsi" w:cstheme="minorHAnsi"/>
          <w:szCs w:val="22"/>
        </w:rPr>
        <w:t>MDR</w:t>
      </w:r>
      <w:r w:rsidRPr="00A8423E">
        <w:rPr>
          <w:rFonts w:asciiTheme="minorHAnsi" w:hAnsiTheme="minorHAnsi" w:cstheme="minorHAnsi"/>
          <w:szCs w:val="22"/>
        </w:rPr>
        <w:tab/>
        <w:t xml:space="preserve">Model deviation ratio </w:t>
      </w:r>
    </w:p>
    <w:p w:rsidR="00A8423E" w:rsidRPr="00A8423E" w:rsidRDefault="00A8423E" w:rsidP="00B32B9D">
      <w:pPr>
        <w:pStyle w:val="APVMATableText"/>
        <w:tabs>
          <w:tab w:val="left" w:pos="1951"/>
        </w:tabs>
        <w:ind w:left="113"/>
        <w:rPr>
          <w:rFonts w:asciiTheme="minorHAnsi" w:hAnsiTheme="minorHAnsi" w:cstheme="minorHAnsi"/>
          <w:szCs w:val="22"/>
        </w:rPr>
      </w:pPr>
      <w:r w:rsidRPr="00A8423E">
        <w:rPr>
          <w:rFonts w:asciiTheme="minorHAnsi" w:hAnsiTheme="minorHAnsi" w:cstheme="minorHAnsi"/>
          <w:szCs w:val="22"/>
        </w:rPr>
        <w:t>MLS</w:t>
      </w:r>
      <w:r w:rsidRPr="00A8423E">
        <w:rPr>
          <w:rFonts w:asciiTheme="minorHAnsi" w:hAnsiTheme="minorHAnsi" w:cstheme="minorHAnsi"/>
          <w:szCs w:val="22"/>
        </w:rPr>
        <w:tab/>
        <w:t>Manufacturers Licensing Scheme</w:t>
      </w:r>
    </w:p>
    <w:p w:rsidR="00A8423E" w:rsidRPr="00A8423E" w:rsidRDefault="00A8423E" w:rsidP="00B32B9D">
      <w:pPr>
        <w:pStyle w:val="APVMATableText"/>
        <w:tabs>
          <w:tab w:val="left" w:pos="1951"/>
        </w:tabs>
        <w:ind w:left="113"/>
        <w:rPr>
          <w:rFonts w:asciiTheme="minorHAnsi" w:hAnsiTheme="minorHAnsi" w:cstheme="minorHAnsi"/>
          <w:szCs w:val="22"/>
        </w:rPr>
      </w:pPr>
      <w:r w:rsidRPr="00A8423E">
        <w:rPr>
          <w:rFonts w:asciiTheme="minorHAnsi" w:hAnsiTheme="minorHAnsi" w:cstheme="minorHAnsi"/>
          <w:szCs w:val="22"/>
        </w:rPr>
        <w:t>MOE</w:t>
      </w:r>
      <w:r w:rsidRPr="00A8423E">
        <w:rPr>
          <w:rFonts w:asciiTheme="minorHAnsi" w:hAnsiTheme="minorHAnsi" w:cstheme="minorHAnsi"/>
          <w:szCs w:val="22"/>
        </w:rPr>
        <w:tab/>
        <w:t>Margin of exposure</w:t>
      </w:r>
    </w:p>
    <w:p w:rsidR="00A8423E" w:rsidRPr="00A8423E" w:rsidRDefault="00A8423E" w:rsidP="00B32B9D">
      <w:pPr>
        <w:pStyle w:val="APVMATableText"/>
        <w:tabs>
          <w:tab w:val="left" w:pos="1951"/>
        </w:tabs>
        <w:ind w:left="113"/>
        <w:rPr>
          <w:rFonts w:asciiTheme="minorHAnsi" w:hAnsiTheme="minorHAnsi" w:cstheme="minorHAnsi"/>
          <w:szCs w:val="22"/>
        </w:rPr>
      </w:pPr>
      <w:r w:rsidRPr="00A8423E">
        <w:rPr>
          <w:rFonts w:asciiTheme="minorHAnsi" w:hAnsiTheme="minorHAnsi" w:cstheme="minorHAnsi"/>
          <w:szCs w:val="22"/>
        </w:rPr>
        <w:t>MRL</w:t>
      </w:r>
      <w:r w:rsidRPr="00A8423E">
        <w:rPr>
          <w:rFonts w:asciiTheme="minorHAnsi" w:hAnsiTheme="minorHAnsi" w:cstheme="minorHAnsi"/>
          <w:szCs w:val="22"/>
        </w:rPr>
        <w:tab/>
        <w:t>Maximum residue limit</w:t>
      </w:r>
    </w:p>
    <w:p w:rsidR="00A8423E" w:rsidRPr="00A8423E" w:rsidRDefault="00A8423E" w:rsidP="00B32B9D">
      <w:pPr>
        <w:pStyle w:val="APVMATableText"/>
        <w:tabs>
          <w:tab w:val="left" w:pos="1951"/>
        </w:tabs>
        <w:ind w:left="113"/>
        <w:rPr>
          <w:rFonts w:asciiTheme="minorHAnsi" w:hAnsiTheme="minorHAnsi" w:cstheme="minorHAnsi"/>
          <w:szCs w:val="22"/>
        </w:rPr>
      </w:pPr>
      <w:r w:rsidRPr="00A8423E">
        <w:rPr>
          <w:rFonts w:asciiTheme="minorHAnsi" w:hAnsiTheme="minorHAnsi" w:cstheme="minorHAnsi"/>
          <w:szCs w:val="22"/>
        </w:rPr>
        <w:lastRenderedPageBreak/>
        <w:t>NAR</w:t>
      </w:r>
      <w:r w:rsidRPr="00A8423E">
        <w:rPr>
          <w:rFonts w:asciiTheme="minorHAnsi" w:hAnsiTheme="minorHAnsi" w:cstheme="minorHAnsi"/>
          <w:szCs w:val="22"/>
        </w:rPr>
        <w:tab/>
        <w:t xml:space="preserve">Nominal (loading) application rate </w:t>
      </w:r>
    </w:p>
    <w:p w:rsidR="00A8423E" w:rsidRPr="00A8423E" w:rsidRDefault="00A8423E" w:rsidP="00B32B9D">
      <w:pPr>
        <w:pStyle w:val="APVMATableText"/>
        <w:tabs>
          <w:tab w:val="left" w:pos="1951"/>
        </w:tabs>
        <w:ind w:left="113"/>
        <w:rPr>
          <w:rFonts w:asciiTheme="minorHAnsi" w:hAnsiTheme="minorHAnsi" w:cstheme="minorHAnsi"/>
          <w:szCs w:val="22"/>
        </w:rPr>
      </w:pPr>
      <w:r w:rsidRPr="00A8423E">
        <w:rPr>
          <w:rFonts w:asciiTheme="minorHAnsi" w:hAnsiTheme="minorHAnsi" w:cstheme="minorHAnsi"/>
          <w:szCs w:val="22"/>
        </w:rPr>
        <w:t>NOAEL</w:t>
      </w:r>
      <w:r w:rsidRPr="00A8423E">
        <w:rPr>
          <w:rFonts w:asciiTheme="minorHAnsi" w:hAnsiTheme="minorHAnsi" w:cstheme="minorHAnsi"/>
          <w:szCs w:val="22"/>
        </w:rPr>
        <w:tab/>
        <w:t>No-observed-adverse-effect level</w:t>
      </w:r>
    </w:p>
    <w:p w:rsidR="00A8423E" w:rsidRPr="00A8423E" w:rsidRDefault="00A8423E" w:rsidP="00B32B9D">
      <w:pPr>
        <w:pStyle w:val="APVMATableText"/>
        <w:tabs>
          <w:tab w:val="left" w:pos="1951"/>
        </w:tabs>
        <w:ind w:left="113"/>
        <w:rPr>
          <w:rFonts w:asciiTheme="minorHAnsi" w:hAnsiTheme="minorHAnsi" w:cstheme="minorHAnsi"/>
          <w:szCs w:val="22"/>
        </w:rPr>
      </w:pPr>
      <w:r w:rsidRPr="00A8423E">
        <w:rPr>
          <w:rFonts w:asciiTheme="minorHAnsi" w:hAnsiTheme="minorHAnsi" w:cstheme="minorHAnsi"/>
          <w:szCs w:val="22"/>
        </w:rPr>
        <w:t>NOEC</w:t>
      </w:r>
      <w:r w:rsidRPr="00A8423E">
        <w:rPr>
          <w:rFonts w:asciiTheme="minorHAnsi" w:hAnsiTheme="minorHAnsi" w:cstheme="minorHAnsi"/>
          <w:szCs w:val="22"/>
        </w:rPr>
        <w:tab/>
        <w:t>No-observed-effect concentration</w:t>
      </w:r>
    </w:p>
    <w:p w:rsidR="00A8423E" w:rsidRPr="00A8423E" w:rsidRDefault="00A8423E" w:rsidP="00B32B9D">
      <w:pPr>
        <w:pStyle w:val="APVMATableText"/>
        <w:tabs>
          <w:tab w:val="left" w:pos="1951"/>
        </w:tabs>
        <w:ind w:left="113"/>
        <w:rPr>
          <w:rFonts w:asciiTheme="minorHAnsi" w:hAnsiTheme="minorHAnsi" w:cstheme="minorHAnsi"/>
          <w:szCs w:val="22"/>
        </w:rPr>
      </w:pPr>
      <w:r w:rsidRPr="00A8423E">
        <w:rPr>
          <w:rFonts w:asciiTheme="minorHAnsi" w:hAnsiTheme="minorHAnsi" w:cstheme="minorHAnsi"/>
          <w:szCs w:val="22"/>
        </w:rPr>
        <w:t>NOEL</w:t>
      </w:r>
      <w:r w:rsidRPr="00A8423E">
        <w:rPr>
          <w:rFonts w:asciiTheme="minorHAnsi" w:hAnsiTheme="minorHAnsi" w:cstheme="minorHAnsi"/>
          <w:szCs w:val="22"/>
        </w:rPr>
        <w:tab/>
        <w:t>No-observed-adverse level</w:t>
      </w:r>
    </w:p>
    <w:p w:rsidR="00A8423E" w:rsidRPr="00A8423E" w:rsidRDefault="00A8423E" w:rsidP="00B32B9D">
      <w:pPr>
        <w:pStyle w:val="APVMATableText"/>
        <w:tabs>
          <w:tab w:val="left" w:pos="1951"/>
        </w:tabs>
        <w:ind w:left="113"/>
        <w:rPr>
          <w:rFonts w:asciiTheme="minorHAnsi" w:hAnsiTheme="minorHAnsi" w:cstheme="minorHAnsi"/>
          <w:szCs w:val="22"/>
        </w:rPr>
      </w:pPr>
      <w:r w:rsidRPr="00A8423E">
        <w:rPr>
          <w:rFonts w:asciiTheme="minorHAnsi" w:hAnsiTheme="minorHAnsi" w:cstheme="minorHAnsi"/>
          <w:szCs w:val="22"/>
        </w:rPr>
        <w:t>NRS</w:t>
      </w:r>
      <w:r w:rsidRPr="00A8423E">
        <w:rPr>
          <w:rFonts w:asciiTheme="minorHAnsi" w:hAnsiTheme="minorHAnsi" w:cstheme="minorHAnsi"/>
          <w:szCs w:val="22"/>
        </w:rPr>
        <w:tab/>
        <w:t>National Residue Survey</w:t>
      </w:r>
    </w:p>
    <w:p w:rsidR="00A8423E" w:rsidRPr="00A8423E" w:rsidRDefault="00A8423E" w:rsidP="00B32B9D">
      <w:pPr>
        <w:pStyle w:val="APVMATableText"/>
        <w:tabs>
          <w:tab w:val="left" w:pos="1951"/>
        </w:tabs>
        <w:ind w:left="113"/>
        <w:rPr>
          <w:rFonts w:asciiTheme="minorHAnsi" w:hAnsiTheme="minorHAnsi" w:cstheme="minorHAnsi"/>
          <w:szCs w:val="22"/>
        </w:rPr>
      </w:pPr>
      <w:r w:rsidRPr="00A8423E">
        <w:rPr>
          <w:rFonts w:asciiTheme="minorHAnsi" w:hAnsiTheme="minorHAnsi" w:cstheme="minorHAnsi"/>
          <w:szCs w:val="22"/>
        </w:rPr>
        <w:t>OCS</w:t>
      </w:r>
      <w:r w:rsidRPr="00A8423E">
        <w:rPr>
          <w:rFonts w:asciiTheme="minorHAnsi" w:hAnsiTheme="minorHAnsi" w:cstheme="minorHAnsi"/>
          <w:szCs w:val="22"/>
        </w:rPr>
        <w:tab/>
        <w:t>Office of Chemical Safety</w:t>
      </w:r>
    </w:p>
    <w:p w:rsidR="00A8423E" w:rsidRPr="00A8423E" w:rsidRDefault="00A8423E" w:rsidP="00B32B9D">
      <w:pPr>
        <w:pStyle w:val="APVMATableText"/>
        <w:tabs>
          <w:tab w:val="left" w:pos="1951"/>
        </w:tabs>
        <w:ind w:left="113"/>
        <w:rPr>
          <w:rFonts w:asciiTheme="minorHAnsi" w:hAnsiTheme="minorHAnsi" w:cstheme="minorHAnsi"/>
          <w:szCs w:val="22"/>
        </w:rPr>
      </w:pPr>
      <w:r w:rsidRPr="00A8423E">
        <w:rPr>
          <w:rFonts w:asciiTheme="minorHAnsi" w:hAnsiTheme="minorHAnsi" w:cstheme="minorHAnsi"/>
          <w:szCs w:val="22"/>
        </w:rPr>
        <w:t>OECD</w:t>
      </w:r>
      <w:r w:rsidRPr="00A8423E">
        <w:rPr>
          <w:rFonts w:asciiTheme="minorHAnsi" w:hAnsiTheme="minorHAnsi" w:cstheme="minorHAnsi"/>
          <w:szCs w:val="22"/>
        </w:rPr>
        <w:tab/>
        <w:t>Organisation for Economic Co-operation and Development</w:t>
      </w:r>
    </w:p>
    <w:p w:rsidR="00A8423E" w:rsidRPr="00A8423E" w:rsidRDefault="00A8423E" w:rsidP="00B32B9D">
      <w:pPr>
        <w:pStyle w:val="APVMATableText"/>
        <w:tabs>
          <w:tab w:val="left" w:pos="1951"/>
        </w:tabs>
        <w:ind w:left="113"/>
        <w:rPr>
          <w:rFonts w:asciiTheme="minorHAnsi" w:hAnsiTheme="minorHAnsi" w:cstheme="minorHAnsi"/>
          <w:szCs w:val="22"/>
        </w:rPr>
      </w:pPr>
      <w:r w:rsidRPr="00A8423E">
        <w:rPr>
          <w:rFonts w:asciiTheme="minorHAnsi" w:hAnsiTheme="minorHAnsi" w:cstheme="minorHAnsi"/>
          <w:szCs w:val="22"/>
        </w:rPr>
        <w:t>OGTR</w:t>
      </w:r>
      <w:r w:rsidRPr="00A8423E">
        <w:rPr>
          <w:rFonts w:asciiTheme="minorHAnsi" w:hAnsiTheme="minorHAnsi" w:cstheme="minorHAnsi"/>
          <w:szCs w:val="22"/>
        </w:rPr>
        <w:tab/>
        <w:t>Office of the Gene Technology Regulator</w:t>
      </w:r>
    </w:p>
    <w:p w:rsidR="00A8423E" w:rsidRPr="00A8423E" w:rsidRDefault="00A8423E" w:rsidP="00B32B9D">
      <w:pPr>
        <w:pStyle w:val="APVMATableText"/>
        <w:tabs>
          <w:tab w:val="left" w:pos="1951"/>
        </w:tabs>
        <w:ind w:left="113"/>
        <w:rPr>
          <w:rFonts w:asciiTheme="minorHAnsi" w:hAnsiTheme="minorHAnsi" w:cstheme="minorHAnsi"/>
          <w:szCs w:val="22"/>
        </w:rPr>
      </w:pPr>
      <w:r w:rsidRPr="00A8423E">
        <w:rPr>
          <w:rFonts w:asciiTheme="minorHAnsi" w:hAnsiTheme="minorHAnsi" w:cstheme="minorHAnsi"/>
          <w:szCs w:val="22"/>
        </w:rPr>
        <w:t>PAA</w:t>
      </w:r>
      <w:r w:rsidRPr="00A8423E">
        <w:rPr>
          <w:rFonts w:asciiTheme="minorHAnsi" w:hAnsiTheme="minorHAnsi" w:cstheme="minorHAnsi"/>
          <w:szCs w:val="22"/>
        </w:rPr>
        <w:tab/>
        <w:t xml:space="preserve">Pre-application Assistance </w:t>
      </w:r>
    </w:p>
    <w:p w:rsidR="00A8423E" w:rsidRPr="00A8423E" w:rsidRDefault="00A8423E" w:rsidP="00B32B9D">
      <w:pPr>
        <w:pStyle w:val="APVMATableText"/>
        <w:tabs>
          <w:tab w:val="left" w:pos="1951"/>
        </w:tabs>
        <w:ind w:left="113"/>
        <w:rPr>
          <w:rFonts w:asciiTheme="minorHAnsi" w:hAnsiTheme="minorHAnsi" w:cstheme="minorHAnsi"/>
          <w:szCs w:val="22"/>
        </w:rPr>
      </w:pPr>
      <w:r w:rsidRPr="00A8423E">
        <w:rPr>
          <w:rFonts w:asciiTheme="minorHAnsi" w:hAnsiTheme="minorHAnsi" w:cstheme="minorHAnsi"/>
          <w:szCs w:val="22"/>
        </w:rPr>
        <w:t>PBT</w:t>
      </w:r>
      <w:r w:rsidRPr="00A8423E">
        <w:rPr>
          <w:rFonts w:asciiTheme="minorHAnsi" w:hAnsiTheme="minorHAnsi" w:cstheme="minorHAnsi"/>
          <w:szCs w:val="22"/>
        </w:rPr>
        <w:tab/>
        <w:t>Persistent, bioaccumulative and toxic</w:t>
      </w:r>
    </w:p>
    <w:p w:rsidR="00A8423E" w:rsidRPr="00A8423E" w:rsidRDefault="00A8423E" w:rsidP="00B32B9D">
      <w:pPr>
        <w:pStyle w:val="APVMATableText"/>
        <w:tabs>
          <w:tab w:val="left" w:pos="1951"/>
        </w:tabs>
        <w:ind w:left="113"/>
        <w:rPr>
          <w:rFonts w:asciiTheme="minorHAnsi" w:hAnsiTheme="minorHAnsi" w:cstheme="minorHAnsi"/>
          <w:szCs w:val="22"/>
        </w:rPr>
      </w:pPr>
      <w:r w:rsidRPr="00A8423E">
        <w:rPr>
          <w:rFonts w:asciiTheme="minorHAnsi" w:hAnsiTheme="minorHAnsi" w:cstheme="minorHAnsi"/>
          <w:szCs w:val="22"/>
        </w:rPr>
        <w:t>PEC</w:t>
      </w:r>
      <w:r w:rsidRPr="00A8423E">
        <w:rPr>
          <w:rFonts w:asciiTheme="minorHAnsi" w:hAnsiTheme="minorHAnsi" w:cstheme="minorHAnsi"/>
          <w:szCs w:val="22"/>
        </w:rPr>
        <w:tab/>
        <w:t>Predicted environmental concentration</w:t>
      </w:r>
    </w:p>
    <w:p w:rsidR="00A8423E" w:rsidRPr="00A8423E" w:rsidRDefault="00A8423E" w:rsidP="00B32B9D">
      <w:pPr>
        <w:pStyle w:val="APVMATableText"/>
        <w:tabs>
          <w:tab w:val="left" w:pos="1951"/>
        </w:tabs>
        <w:ind w:left="113"/>
        <w:rPr>
          <w:rFonts w:asciiTheme="minorHAnsi" w:hAnsiTheme="minorHAnsi" w:cstheme="minorHAnsi"/>
          <w:szCs w:val="22"/>
        </w:rPr>
      </w:pPr>
      <w:r w:rsidRPr="00A8423E">
        <w:rPr>
          <w:rFonts w:asciiTheme="minorHAnsi" w:hAnsiTheme="minorHAnsi" w:cstheme="minorHAnsi"/>
          <w:szCs w:val="22"/>
        </w:rPr>
        <w:t>POP</w:t>
      </w:r>
      <w:r w:rsidRPr="00A8423E">
        <w:rPr>
          <w:rFonts w:asciiTheme="minorHAnsi" w:hAnsiTheme="minorHAnsi" w:cstheme="minorHAnsi"/>
          <w:szCs w:val="22"/>
        </w:rPr>
        <w:tab/>
        <w:t>Persistent organic pollutants</w:t>
      </w:r>
    </w:p>
    <w:p w:rsidR="00A8423E" w:rsidRPr="00A8423E" w:rsidRDefault="00A8423E" w:rsidP="00B32B9D">
      <w:pPr>
        <w:pStyle w:val="APVMATableText"/>
        <w:tabs>
          <w:tab w:val="left" w:pos="1951"/>
        </w:tabs>
        <w:ind w:left="113"/>
        <w:rPr>
          <w:rFonts w:asciiTheme="minorHAnsi" w:hAnsiTheme="minorHAnsi" w:cstheme="minorHAnsi"/>
          <w:szCs w:val="22"/>
        </w:rPr>
      </w:pPr>
      <w:r w:rsidRPr="00A8423E">
        <w:rPr>
          <w:rFonts w:asciiTheme="minorHAnsi" w:hAnsiTheme="minorHAnsi" w:cstheme="minorHAnsi"/>
          <w:szCs w:val="22"/>
        </w:rPr>
        <w:t>RAC</w:t>
      </w:r>
      <w:r w:rsidRPr="00A8423E">
        <w:rPr>
          <w:rFonts w:asciiTheme="minorHAnsi" w:hAnsiTheme="minorHAnsi" w:cstheme="minorHAnsi"/>
          <w:szCs w:val="22"/>
        </w:rPr>
        <w:tab/>
        <w:t>Regulatory acceptable concentrations</w:t>
      </w:r>
    </w:p>
    <w:p w:rsidR="00A8423E" w:rsidRPr="00A8423E" w:rsidRDefault="00A8423E" w:rsidP="00B32B9D">
      <w:pPr>
        <w:pStyle w:val="APVMATableText"/>
        <w:tabs>
          <w:tab w:val="left" w:pos="1951"/>
        </w:tabs>
        <w:ind w:left="113"/>
        <w:rPr>
          <w:rFonts w:asciiTheme="minorHAnsi" w:hAnsiTheme="minorHAnsi" w:cstheme="minorHAnsi"/>
          <w:szCs w:val="22"/>
        </w:rPr>
      </w:pPr>
      <w:r w:rsidRPr="00A8423E">
        <w:rPr>
          <w:rFonts w:asciiTheme="minorHAnsi" w:hAnsiTheme="minorHAnsi" w:cstheme="minorHAnsi"/>
          <w:szCs w:val="22"/>
        </w:rPr>
        <w:t>RAD</w:t>
      </w:r>
      <w:r w:rsidRPr="00A8423E">
        <w:rPr>
          <w:rFonts w:asciiTheme="minorHAnsi" w:hAnsiTheme="minorHAnsi" w:cstheme="minorHAnsi"/>
          <w:szCs w:val="22"/>
        </w:rPr>
        <w:tab/>
        <w:t>Regulatory acceptable dose</w:t>
      </w:r>
    </w:p>
    <w:p w:rsidR="00A8423E" w:rsidRPr="00A8423E" w:rsidRDefault="00A8423E" w:rsidP="00B32B9D">
      <w:pPr>
        <w:pStyle w:val="APVMATableText"/>
        <w:tabs>
          <w:tab w:val="left" w:pos="1951"/>
        </w:tabs>
        <w:ind w:left="113"/>
        <w:rPr>
          <w:rFonts w:asciiTheme="minorHAnsi" w:hAnsiTheme="minorHAnsi" w:cstheme="minorHAnsi"/>
          <w:szCs w:val="22"/>
        </w:rPr>
      </w:pPr>
      <w:r w:rsidRPr="00A8423E">
        <w:rPr>
          <w:rFonts w:asciiTheme="minorHAnsi" w:hAnsiTheme="minorHAnsi" w:cstheme="minorHAnsi"/>
          <w:szCs w:val="22"/>
        </w:rPr>
        <w:t>RAL</w:t>
      </w:r>
      <w:r w:rsidRPr="00A8423E">
        <w:rPr>
          <w:rFonts w:asciiTheme="minorHAnsi" w:hAnsiTheme="minorHAnsi" w:cstheme="minorHAnsi"/>
          <w:szCs w:val="22"/>
        </w:rPr>
        <w:tab/>
        <w:t>Regulatory acceptable levels</w:t>
      </w:r>
    </w:p>
    <w:p w:rsidR="00A8423E" w:rsidRPr="00A8423E" w:rsidRDefault="00A8423E" w:rsidP="00B32B9D">
      <w:pPr>
        <w:pStyle w:val="APVMATableText"/>
        <w:tabs>
          <w:tab w:val="left" w:pos="1951"/>
        </w:tabs>
        <w:ind w:left="113"/>
        <w:rPr>
          <w:rFonts w:asciiTheme="minorHAnsi" w:hAnsiTheme="minorHAnsi" w:cstheme="minorHAnsi"/>
          <w:szCs w:val="22"/>
        </w:rPr>
      </w:pPr>
      <w:r w:rsidRPr="00A8423E">
        <w:rPr>
          <w:rFonts w:asciiTheme="minorHAnsi" w:hAnsiTheme="minorHAnsi" w:cstheme="minorHAnsi"/>
          <w:szCs w:val="22"/>
        </w:rPr>
        <w:t>RAM</w:t>
      </w:r>
      <w:r w:rsidRPr="00A8423E">
        <w:rPr>
          <w:rFonts w:asciiTheme="minorHAnsi" w:hAnsiTheme="minorHAnsi" w:cstheme="minorHAnsi"/>
          <w:szCs w:val="22"/>
        </w:rPr>
        <w:tab/>
        <w:t>Risk Assessment Manual (EPHC 2009)</w:t>
      </w:r>
    </w:p>
    <w:p w:rsidR="00A8423E" w:rsidRPr="00A8423E" w:rsidRDefault="00A8423E" w:rsidP="00B32B9D">
      <w:pPr>
        <w:pStyle w:val="APVMATableText"/>
        <w:tabs>
          <w:tab w:val="left" w:pos="1951"/>
        </w:tabs>
        <w:ind w:left="113"/>
        <w:rPr>
          <w:rFonts w:asciiTheme="minorHAnsi" w:hAnsiTheme="minorHAnsi" w:cstheme="minorHAnsi"/>
          <w:szCs w:val="22"/>
        </w:rPr>
      </w:pPr>
      <w:r w:rsidRPr="00A8423E">
        <w:rPr>
          <w:rFonts w:asciiTheme="minorHAnsi" w:hAnsiTheme="minorHAnsi" w:cstheme="minorHAnsi"/>
          <w:szCs w:val="22"/>
        </w:rPr>
        <w:t>RAR</w:t>
      </w:r>
      <w:r w:rsidRPr="00A8423E">
        <w:rPr>
          <w:rFonts w:asciiTheme="minorHAnsi" w:hAnsiTheme="minorHAnsi" w:cstheme="minorHAnsi"/>
          <w:szCs w:val="22"/>
        </w:rPr>
        <w:tab/>
        <w:t xml:space="preserve">Regulatory acceptable rates </w:t>
      </w:r>
    </w:p>
    <w:p w:rsidR="00A8423E" w:rsidRPr="00A8423E" w:rsidRDefault="00A8423E" w:rsidP="007E5F4F">
      <w:pPr>
        <w:pStyle w:val="APVMATableText"/>
        <w:tabs>
          <w:tab w:val="left" w:pos="1951"/>
        </w:tabs>
        <w:ind w:left="1985" w:hanging="1872"/>
        <w:rPr>
          <w:rFonts w:asciiTheme="minorHAnsi" w:hAnsiTheme="minorHAnsi" w:cstheme="minorHAnsi"/>
          <w:szCs w:val="22"/>
        </w:rPr>
      </w:pPr>
      <w:r w:rsidRPr="00A8423E">
        <w:rPr>
          <w:rFonts w:asciiTheme="minorHAnsi" w:hAnsiTheme="minorHAnsi" w:cstheme="minorHAnsi"/>
          <w:szCs w:val="22"/>
        </w:rPr>
        <w:t>RCP</w:t>
      </w:r>
      <w:r w:rsidRPr="00A8423E">
        <w:rPr>
          <w:rFonts w:asciiTheme="minorHAnsi" w:hAnsiTheme="minorHAnsi" w:cstheme="minorHAnsi"/>
          <w:szCs w:val="22"/>
        </w:rPr>
        <w:tab/>
        <w:t>An RCP may be declared if special knowledge, skills, training and equipment are needed to be able to obtain, handle or use the product. This is based on the risks posed by the product to human health, animals, plants or the environment.</w:t>
      </w:r>
    </w:p>
    <w:p w:rsidR="00A8423E" w:rsidRPr="00A8423E" w:rsidRDefault="00A8423E" w:rsidP="00B32B9D">
      <w:pPr>
        <w:pStyle w:val="APVMATableText"/>
        <w:tabs>
          <w:tab w:val="left" w:pos="1951"/>
        </w:tabs>
        <w:ind w:left="113"/>
        <w:rPr>
          <w:rFonts w:asciiTheme="minorHAnsi" w:hAnsiTheme="minorHAnsi" w:cstheme="minorHAnsi"/>
          <w:szCs w:val="22"/>
        </w:rPr>
      </w:pPr>
      <w:r w:rsidRPr="00A8423E">
        <w:rPr>
          <w:rFonts w:asciiTheme="minorHAnsi" w:hAnsiTheme="minorHAnsi" w:cstheme="minorHAnsi"/>
          <w:szCs w:val="22"/>
        </w:rPr>
        <w:t>REI</w:t>
      </w:r>
      <w:r w:rsidRPr="00A8423E">
        <w:rPr>
          <w:rFonts w:asciiTheme="minorHAnsi" w:hAnsiTheme="minorHAnsi" w:cstheme="minorHAnsi"/>
          <w:szCs w:val="22"/>
        </w:rPr>
        <w:tab/>
        <w:t>Re-entry interval</w:t>
      </w:r>
    </w:p>
    <w:p w:rsidR="00A8423E" w:rsidRPr="00A8423E" w:rsidRDefault="00A8423E" w:rsidP="00B32B9D">
      <w:pPr>
        <w:pStyle w:val="APVMATableText"/>
        <w:tabs>
          <w:tab w:val="left" w:pos="1951"/>
        </w:tabs>
        <w:ind w:left="113"/>
        <w:rPr>
          <w:rFonts w:asciiTheme="minorHAnsi" w:hAnsiTheme="minorHAnsi" w:cstheme="minorHAnsi"/>
          <w:szCs w:val="22"/>
        </w:rPr>
      </w:pPr>
      <w:r w:rsidRPr="00A8423E">
        <w:rPr>
          <w:rFonts w:asciiTheme="minorHAnsi" w:hAnsiTheme="minorHAnsi" w:cstheme="minorHAnsi"/>
          <w:szCs w:val="22"/>
        </w:rPr>
        <w:t>SUSMP</w:t>
      </w:r>
      <w:r w:rsidRPr="00A8423E">
        <w:rPr>
          <w:rFonts w:asciiTheme="minorHAnsi" w:hAnsiTheme="minorHAnsi" w:cstheme="minorHAnsi"/>
          <w:szCs w:val="22"/>
        </w:rPr>
        <w:tab/>
        <w:t>Standard for the Uniform Scheduling of Medicines and Poisons</w:t>
      </w:r>
    </w:p>
    <w:p w:rsidR="00A8423E" w:rsidRPr="00A8423E" w:rsidRDefault="00A8423E" w:rsidP="00B32B9D">
      <w:pPr>
        <w:pStyle w:val="APVMATableText"/>
        <w:tabs>
          <w:tab w:val="left" w:pos="1951"/>
        </w:tabs>
        <w:ind w:left="113"/>
        <w:rPr>
          <w:rFonts w:asciiTheme="minorHAnsi" w:hAnsiTheme="minorHAnsi" w:cstheme="minorHAnsi"/>
          <w:szCs w:val="22"/>
        </w:rPr>
      </w:pPr>
      <w:r w:rsidRPr="00A8423E">
        <w:rPr>
          <w:rFonts w:asciiTheme="minorHAnsi" w:hAnsiTheme="minorHAnsi" w:cstheme="minorHAnsi"/>
          <w:szCs w:val="22"/>
        </w:rPr>
        <w:t>USEPA</w:t>
      </w:r>
      <w:r w:rsidRPr="00A8423E">
        <w:rPr>
          <w:rFonts w:asciiTheme="minorHAnsi" w:hAnsiTheme="minorHAnsi" w:cstheme="minorHAnsi"/>
          <w:szCs w:val="22"/>
        </w:rPr>
        <w:tab/>
        <w:t>USA Environmental Protection Authority</w:t>
      </w:r>
    </w:p>
    <w:p w:rsidR="00A8423E" w:rsidRPr="00A8423E" w:rsidRDefault="00A8423E" w:rsidP="007E5F4F">
      <w:pPr>
        <w:pStyle w:val="APVMATableText"/>
        <w:tabs>
          <w:tab w:val="left" w:pos="1951"/>
        </w:tabs>
        <w:ind w:left="1985" w:hanging="1872"/>
        <w:rPr>
          <w:rFonts w:asciiTheme="minorHAnsi" w:hAnsiTheme="minorHAnsi" w:cstheme="minorHAnsi"/>
          <w:szCs w:val="22"/>
        </w:rPr>
      </w:pPr>
      <w:r w:rsidRPr="00A8423E">
        <w:rPr>
          <w:rFonts w:asciiTheme="minorHAnsi" w:hAnsiTheme="minorHAnsi" w:cstheme="minorHAnsi"/>
          <w:szCs w:val="22"/>
        </w:rPr>
        <w:t>VICH</w:t>
      </w:r>
      <w:r w:rsidRPr="00A8423E">
        <w:rPr>
          <w:rFonts w:asciiTheme="minorHAnsi" w:hAnsiTheme="minorHAnsi" w:cstheme="minorHAnsi"/>
          <w:szCs w:val="22"/>
        </w:rPr>
        <w:tab/>
        <w:t>International Cooperation on Harmonization of Technical Requirements of Veterinary Medicinal Products</w:t>
      </w:r>
    </w:p>
    <w:p w:rsidR="00A8423E" w:rsidRPr="00A8423E" w:rsidRDefault="00A8423E" w:rsidP="00B32B9D">
      <w:pPr>
        <w:pStyle w:val="APVMATableText"/>
        <w:tabs>
          <w:tab w:val="left" w:pos="1951"/>
        </w:tabs>
        <w:ind w:left="113"/>
        <w:rPr>
          <w:rFonts w:asciiTheme="minorHAnsi" w:hAnsiTheme="minorHAnsi" w:cstheme="minorHAnsi"/>
          <w:szCs w:val="22"/>
        </w:rPr>
      </w:pPr>
      <w:r w:rsidRPr="00A8423E">
        <w:rPr>
          <w:rFonts w:asciiTheme="minorHAnsi" w:hAnsiTheme="minorHAnsi" w:cstheme="minorHAnsi"/>
          <w:szCs w:val="22"/>
        </w:rPr>
        <w:t>WHO</w:t>
      </w:r>
      <w:r w:rsidRPr="00A8423E">
        <w:rPr>
          <w:rFonts w:asciiTheme="minorHAnsi" w:hAnsiTheme="minorHAnsi" w:cstheme="minorHAnsi"/>
          <w:szCs w:val="22"/>
        </w:rPr>
        <w:tab/>
        <w:t>World Health Organization</w:t>
      </w:r>
    </w:p>
    <w:p w:rsidR="00A8423E" w:rsidRPr="00A8423E" w:rsidRDefault="00A8423E" w:rsidP="00B32B9D">
      <w:pPr>
        <w:pStyle w:val="APVMATableText"/>
        <w:tabs>
          <w:tab w:val="left" w:pos="1951"/>
        </w:tabs>
        <w:ind w:left="113"/>
        <w:rPr>
          <w:rFonts w:asciiTheme="minorHAnsi" w:hAnsiTheme="minorHAnsi" w:cstheme="minorHAnsi"/>
          <w:szCs w:val="22"/>
        </w:rPr>
      </w:pPr>
      <w:r w:rsidRPr="00A8423E">
        <w:rPr>
          <w:rFonts w:asciiTheme="minorHAnsi" w:hAnsiTheme="minorHAnsi" w:cstheme="minorHAnsi"/>
          <w:szCs w:val="22"/>
        </w:rPr>
        <w:t>WHP</w:t>
      </w:r>
      <w:r w:rsidRPr="00A8423E">
        <w:rPr>
          <w:rFonts w:asciiTheme="minorHAnsi" w:hAnsiTheme="minorHAnsi" w:cstheme="minorHAnsi"/>
          <w:szCs w:val="22"/>
        </w:rPr>
        <w:tab/>
        <w:t>Withholding period</w:t>
      </w:r>
    </w:p>
    <w:p w:rsidR="00525550" w:rsidRDefault="007E5F4F" w:rsidP="00525550">
      <w:pPr>
        <w:pStyle w:val="Heading1"/>
      </w:pPr>
      <w:bookmarkStart w:id="178" w:name="_Toc516740386"/>
      <w:bookmarkStart w:id="179" w:name="_Toc522192305"/>
      <w:r>
        <w:lastRenderedPageBreak/>
        <w:t xml:space="preserve">  </w:t>
      </w:r>
      <w:bookmarkStart w:id="180" w:name="_Toc526432227"/>
      <w:r w:rsidR="00525550">
        <w:t>Glossary</w:t>
      </w:r>
      <w:bookmarkEnd w:id="178"/>
      <w:bookmarkEnd w:id="179"/>
      <w:bookmarkEnd w:id="180"/>
    </w:p>
    <w:p w:rsidR="00A8423E" w:rsidRDefault="00A8423E" w:rsidP="00FE0F18">
      <w:pPr>
        <w:pStyle w:val="APVMATableText"/>
        <w:tabs>
          <w:tab w:val="left" w:pos="2235"/>
        </w:tabs>
        <w:ind w:left="113"/>
        <w:rPr>
          <w:rFonts w:asciiTheme="minorHAnsi" w:hAnsiTheme="minorHAnsi" w:cstheme="minorHAnsi"/>
          <w:b/>
          <w:szCs w:val="22"/>
        </w:rPr>
      </w:pPr>
      <w:r w:rsidRPr="00A8423E">
        <w:rPr>
          <w:rFonts w:asciiTheme="minorHAnsi" w:hAnsiTheme="minorHAnsi" w:cstheme="minorHAnsi"/>
          <w:b/>
          <w:szCs w:val="22"/>
        </w:rPr>
        <w:t>Active constituent</w:t>
      </w:r>
    </w:p>
    <w:p w:rsidR="00A8423E" w:rsidRPr="00A8423E" w:rsidRDefault="00A8423E" w:rsidP="00FE0F18">
      <w:pPr>
        <w:pStyle w:val="APVMATableText"/>
        <w:tabs>
          <w:tab w:val="left" w:pos="2235"/>
        </w:tabs>
        <w:ind w:left="113"/>
        <w:rPr>
          <w:rFonts w:asciiTheme="minorHAnsi" w:hAnsiTheme="minorHAnsi" w:cstheme="minorHAnsi"/>
          <w:szCs w:val="22"/>
        </w:rPr>
      </w:pPr>
      <w:r w:rsidRPr="00A8423E">
        <w:rPr>
          <w:rFonts w:asciiTheme="minorHAnsi" w:hAnsiTheme="minorHAnsi" w:cstheme="minorHAnsi"/>
          <w:szCs w:val="22"/>
        </w:rPr>
        <w:t>The component of an agricultural or veterinary chemical product responsible for its physiological or pharmacological action</w:t>
      </w:r>
    </w:p>
    <w:p w:rsidR="00F623DE" w:rsidRDefault="00A8423E" w:rsidP="00FE0F18">
      <w:pPr>
        <w:pStyle w:val="APVMATableText"/>
        <w:tabs>
          <w:tab w:val="left" w:pos="2235"/>
        </w:tabs>
        <w:ind w:left="113"/>
        <w:rPr>
          <w:rFonts w:asciiTheme="minorHAnsi" w:hAnsiTheme="minorHAnsi" w:cstheme="minorHAnsi"/>
          <w:b/>
          <w:szCs w:val="22"/>
        </w:rPr>
      </w:pPr>
      <w:r w:rsidRPr="00F623DE">
        <w:rPr>
          <w:rFonts w:asciiTheme="minorHAnsi" w:hAnsiTheme="minorHAnsi" w:cstheme="minorHAnsi"/>
          <w:b/>
          <w:szCs w:val="22"/>
        </w:rPr>
        <w:t>Acute toxicity</w:t>
      </w:r>
    </w:p>
    <w:p w:rsidR="00A8423E" w:rsidRPr="00A8423E" w:rsidRDefault="00A8423E" w:rsidP="00FE0F18">
      <w:pPr>
        <w:pStyle w:val="APVMATableText"/>
        <w:tabs>
          <w:tab w:val="left" w:pos="2235"/>
        </w:tabs>
        <w:ind w:left="113"/>
        <w:rPr>
          <w:rFonts w:asciiTheme="minorHAnsi" w:hAnsiTheme="minorHAnsi" w:cstheme="minorHAnsi"/>
          <w:szCs w:val="22"/>
        </w:rPr>
      </w:pPr>
      <w:r w:rsidRPr="00A8423E">
        <w:rPr>
          <w:rFonts w:asciiTheme="minorHAnsi" w:hAnsiTheme="minorHAnsi" w:cstheme="minorHAnsi"/>
          <w:szCs w:val="22"/>
        </w:rPr>
        <w:t>Immediate toxic effects shortly after exposure</w:t>
      </w:r>
    </w:p>
    <w:p w:rsidR="00F623DE" w:rsidRDefault="00A8423E" w:rsidP="00FE0F18">
      <w:pPr>
        <w:pStyle w:val="APVMATableText"/>
        <w:tabs>
          <w:tab w:val="left" w:pos="2235"/>
        </w:tabs>
        <w:ind w:left="113"/>
        <w:rPr>
          <w:rFonts w:asciiTheme="minorHAnsi" w:hAnsiTheme="minorHAnsi" w:cstheme="minorHAnsi"/>
          <w:b/>
          <w:szCs w:val="22"/>
        </w:rPr>
      </w:pPr>
      <w:r w:rsidRPr="00F623DE">
        <w:rPr>
          <w:rFonts w:asciiTheme="minorHAnsi" w:hAnsiTheme="minorHAnsi" w:cstheme="minorHAnsi"/>
          <w:b/>
          <w:szCs w:val="22"/>
        </w:rPr>
        <w:t>Agvet chemicals</w:t>
      </w:r>
    </w:p>
    <w:p w:rsidR="00A8423E" w:rsidRPr="00A8423E" w:rsidRDefault="00A8423E" w:rsidP="00FE0F18">
      <w:pPr>
        <w:pStyle w:val="APVMATableText"/>
        <w:tabs>
          <w:tab w:val="left" w:pos="2235"/>
        </w:tabs>
        <w:ind w:left="113"/>
        <w:rPr>
          <w:rFonts w:asciiTheme="minorHAnsi" w:hAnsiTheme="minorHAnsi" w:cstheme="minorHAnsi"/>
          <w:szCs w:val="22"/>
        </w:rPr>
      </w:pPr>
      <w:r w:rsidRPr="00A8423E">
        <w:rPr>
          <w:rFonts w:asciiTheme="minorHAnsi" w:hAnsiTheme="minorHAnsi" w:cstheme="minorHAnsi"/>
          <w:szCs w:val="22"/>
        </w:rPr>
        <w:t>This covers agricultural chemical products and veterinary chemical products, as defined in the Agricultural and Veterinary Chemicals Code (Agvet Code). It encompasses all chemicals regulated by the APVMA</w:t>
      </w:r>
    </w:p>
    <w:p w:rsidR="00F623DE" w:rsidRDefault="00A8423E" w:rsidP="00FE0F18">
      <w:pPr>
        <w:pStyle w:val="APVMATableText"/>
        <w:tabs>
          <w:tab w:val="left" w:pos="2235"/>
        </w:tabs>
        <w:ind w:left="113"/>
        <w:rPr>
          <w:rFonts w:asciiTheme="minorHAnsi" w:hAnsiTheme="minorHAnsi" w:cstheme="minorHAnsi"/>
          <w:b/>
          <w:szCs w:val="22"/>
        </w:rPr>
      </w:pPr>
      <w:r w:rsidRPr="00F623DE">
        <w:rPr>
          <w:rFonts w:asciiTheme="minorHAnsi" w:hAnsiTheme="minorHAnsi" w:cstheme="minorHAnsi"/>
          <w:b/>
          <w:szCs w:val="22"/>
        </w:rPr>
        <w:t>As Low as Reasonably Achievable (ALARA)</w:t>
      </w:r>
    </w:p>
    <w:p w:rsidR="00A8423E" w:rsidRPr="00A8423E" w:rsidRDefault="00A8423E" w:rsidP="00FE0F18">
      <w:pPr>
        <w:pStyle w:val="APVMATableText"/>
        <w:tabs>
          <w:tab w:val="left" w:pos="2235"/>
        </w:tabs>
        <w:ind w:left="113"/>
        <w:rPr>
          <w:rFonts w:asciiTheme="minorHAnsi" w:hAnsiTheme="minorHAnsi" w:cstheme="minorHAnsi"/>
          <w:szCs w:val="22"/>
        </w:rPr>
      </w:pPr>
      <w:r w:rsidRPr="00A8423E">
        <w:rPr>
          <w:rFonts w:asciiTheme="minorHAnsi" w:hAnsiTheme="minorHAnsi" w:cstheme="minorHAnsi"/>
          <w:szCs w:val="22"/>
        </w:rPr>
        <w:t>Means making every reasonable effort to minimise exposure to agvet chemicals, and reduce the use to the minimum necessary to achieve the required effect</w:t>
      </w:r>
    </w:p>
    <w:p w:rsidR="00F623DE" w:rsidRDefault="00A8423E" w:rsidP="00FE0F18">
      <w:pPr>
        <w:pStyle w:val="APVMATableText"/>
        <w:tabs>
          <w:tab w:val="left" w:pos="2235"/>
        </w:tabs>
        <w:ind w:left="113"/>
        <w:rPr>
          <w:rFonts w:asciiTheme="minorHAnsi" w:hAnsiTheme="minorHAnsi" w:cstheme="minorHAnsi"/>
          <w:b/>
          <w:szCs w:val="22"/>
        </w:rPr>
      </w:pPr>
      <w:r w:rsidRPr="00F623DE">
        <w:rPr>
          <w:rFonts w:asciiTheme="minorHAnsi" w:hAnsiTheme="minorHAnsi" w:cstheme="minorHAnsi"/>
          <w:b/>
          <w:szCs w:val="22"/>
        </w:rPr>
        <w:t>Benthic</w:t>
      </w:r>
    </w:p>
    <w:p w:rsidR="00A8423E" w:rsidRPr="00A8423E" w:rsidRDefault="00A8423E" w:rsidP="00FE0F18">
      <w:pPr>
        <w:pStyle w:val="APVMATableText"/>
        <w:tabs>
          <w:tab w:val="left" w:pos="2235"/>
        </w:tabs>
        <w:ind w:left="113"/>
        <w:rPr>
          <w:rFonts w:asciiTheme="minorHAnsi" w:hAnsiTheme="minorHAnsi" w:cstheme="minorHAnsi"/>
          <w:szCs w:val="22"/>
        </w:rPr>
      </w:pPr>
      <w:r w:rsidRPr="00A8423E">
        <w:rPr>
          <w:rFonts w:asciiTheme="minorHAnsi" w:hAnsiTheme="minorHAnsi" w:cstheme="minorHAnsi"/>
          <w:szCs w:val="22"/>
        </w:rPr>
        <w:t>Relating to the bottom of a sea, lake or river, or resident organisms</w:t>
      </w:r>
    </w:p>
    <w:p w:rsidR="00F623DE" w:rsidRDefault="00A8423E" w:rsidP="00FE0F18">
      <w:pPr>
        <w:pStyle w:val="APVMATableText"/>
        <w:tabs>
          <w:tab w:val="left" w:pos="2235"/>
        </w:tabs>
        <w:ind w:left="113"/>
        <w:rPr>
          <w:rFonts w:asciiTheme="minorHAnsi" w:hAnsiTheme="minorHAnsi" w:cstheme="minorHAnsi"/>
          <w:b/>
          <w:szCs w:val="22"/>
        </w:rPr>
      </w:pPr>
      <w:r w:rsidRPr="00F623DE">
        <w:rPr>
          <w:rFonts w:asciiTheme="minorHAnsi" w:hAnsiTheme="minorHAnsi" w:cstheme="minorHAnsi"/>
          <w:b/>
          <w:szCs w:val="22"/>
        </w:rPr>
        <w:t>Ecotoxicity</w:t>
      </w:r>
    </w:p>
    <w:p w:rsidR="00A8423E" w:rsidRPr="00A8423E" w:rsidRDefault="00A8423E" w:rsidP="00FE0F18">
      <w:pPr>
        <w:pStyle w:val="APVMATableText"/>
        <w:tabs>
          <w:tab w:val="left" w:pos="2235"/>
        </w:tabs>
        <w:ind w:left="113"/>
        <w:rPr>
          <w:rFonts w:asciiTheme="minorHAnsi" w:hAnsiTheme="minorHAnsi" w:cstheme="minorHAnsi"/>
          <w:szCs w:val="22"/>
        </w:rPr>
      </w:pPr>
      <w:r w:rsidRPr="00A8423E">
        <w:rPr>
          <w:rFonts w:asciiTheme="minorHAnsi" w:hAnsiTheme="minorHAnsi" w:cstheme="minorHAnsi"/>
          <w:szCs w:val="22"/>
        </w:rPr>
        <w:t>Toxic effects on plants and animals, both terrestrial and aquatic</w:t>
      </w:r>
    </w:p>
    <w:p w:rsidR="00F623DE" w:rsidRDefault="00A8423E" w:rsidP="00FE0F18">
      <w:pPr>
        <w:pStyle w:val="APVMATableText"/>
        <w:tabs>
          <w:tab w:val="left" w:pos="2235"/>
        </w:tabs>
        <w:ind w:left="113"/>
        <w:rPr>
          <w:rFonts w:asciiTheme="minorHAnsi" w:hAnsiTheme="minorHAnsi" w:cstheme="minorHAnsi"/>
          <w:b/>
          <w:szCs w:val="22"/>
        </w:rPr>
      </w:pPr>
      <w:r w:rsidRPr="00F623DE">
        <w:rPr>
          <w:rFonts w:asciiTheme="minorHAnsi" w:hAnsiTheme="minorHAnsi" w:cstheme="minorHAnsi"/>
          <w:b/>
          <w:szCs w:val="22"/>
        </w:rPr>
        <w:t>FAISD Handbook</w:t>
      </w:r>
    </w:p>
    <w:p w:rsidR="00A8423E" w:rsidRPr="00F623DE" w:rsidRDefault="00A8423E" w:rsidP="00FE0F18">
      <w:pPr>
        <w:pStyle w:val="APVMATableText"/>
        <w:tabs>
          <w:tab w:val="left" w:pos="2235"/>
        </w:tabs>
        <w:ind w:left="113"/>
        <w:rPr>
          <w:rFonts w:asciiTheme="minorHAnsi" w:hAnsiTheme="minorHAnsi" w:cstheme="minorHAnsi"/>
          <w:szCs w:val="22"/>
        </w:rPr>
      </w:pPr>
      <w:r w:rsidRPr="00F623DE">
        <w:rPr>
          <w:rFonts w:asciiTheme="minorHAnsi" w:hAnsiTheme="minorHAnsi" w:cstheme="minorHAnsi"/>
          <w:szCs w:val="22"/>
          <w:lang w:val="en"/>
        </w:rPr>
        <w:t>The Handbook of First Aid Instructions, Safety Directions, Warning Statements and General Safety Precautions for Agricultural and Veterinary Chemicals updated each quarter</w:t>
      </w:r>
    </w:p>
    <w:p w:rsidR="00F623DE" w:rsidRDefault="00A8423E" w:rsidP="00FE0F18">
      <w:pPr>
        <w:pStyle w:val="APVMATableText"/>
        <w:tabs>
          <w:tab w:val="left" w:pos="2235"/>
        </w:tabs>
        <w:ind w:left="113"/>
        <w:rPr>
          <w:rFonts w:asciiTheme="minorHAnsi" w:hAnsiTheme="minorHAnsi" w:cstheme="minorHAnsi"/>
          <w:b/>
          <w:szCs w:val="22"/>
        </w:rPr>
      </w:pPr>
      <w:r w:rsidRPr="00F623DE">
        <w:rPr>
          <w:rFonts w:asciiTheme="minorHAnsi" w:hAnsiTheme="minorHAnsi" w:cstheme="minorHAnsi"/>
          <w:b/>
          <w:szCs w:val="22"/>
        </w:rPr>
        <w:t>Genotoxicity</w:t>
      </w:r>
    </w:p>
    <w:p w:rsidR="00A8423E" w:rsidRPr="00A8423E" w:rsidRDefault="00A8423E" w:rsidP="00FE0F18">
      <w:pPr>
        <w:pStyle w:val="APVMATableText"/>
        <w:tabs>
          <w:tab w:val="left" w:pos="2235"/>
        </w:tabs>
        <w:ind w:left="113"/>
        <w:rPr>
          <w:rFonts w:asciiTheme="minorHAnsi" w:hAnsiTheme="minorHAnsi" w:cstheme="minorHAnsi"/>
          <w:szCs w:val="22"/>
        </w:rPr>
      </w:pPr>
      <w:r w:rsidRPr="00A8423E">
        <w:rPr>
          <w:rFonts w:asciiTheme="minorHAnsi" w:hAnsiTheme="minorHAnsi" w:cstheme="minorHAnsi"/>
          <w:szCs w:val="22"/>
        </w:rPr>
        <w:t>The propensity to damage cellular DNA and chromosomes, resulting in mutations</w:t>
      </w:r>
    </w:p>
    <w:p w:rsidR="00F623DE" w:rsidRDefault="00A8423E" w:rsidP="00FE0F18">
      <w:pPr>
        <w:pStyle w:val="APVMATableText"/>
        <w:tabs>
          <w:tab w:val="left" w:pos="2235"/>
        </w:tabs>
        <w:ind w:left="113"/>
        <w:rPr>
          <w:rFonts w:asciiTheme="minorHAnsi" w:hAnsiTheme="minorHAnsi" w:cstheme="minorHAnsi"/>
          <w:b/>
          <w:szCs w:val="22"/>
        </w:rPr>
      </w:pPr>
      <w:r w:rsidRPr="00F623DE">
        <w:rPr>
          <w:rFonts w:asciiTheme="minorHAnsi" w:hAnsiTheme="minorHAnsi" w:cstheme="minorHAnsi"/>
          <w:b/>
          <w:szCs w:val="22"/>
        </w:rPr>
        <w:t>Health Based Guidance Values (HBGV)</w:t>
      </w:r>
    </w:p>
    <w:p w:rsidR="00A8423E" w:rsidRPr="00A8423E" w:rsidRDefault="00A8423E" w:rsidP="00FE0F18">
      <w:pPr>
        <w:pStyle w:val="APVMATableText"/>
        <w:tabs>
          <w:tab w:val="left" w:pos="2235"/>
        </w:tabs>
        <w:ind w:left="113"/>
        <w:rPr>
          <w:rFonts w:asciiTheme="minorHAnsi" w:hAnsiTheme="minorHAnsi" w:cstheme="minorHAnsi"/>
          <w:szCs w:val="22"/>
        </w:rPr>
      </w:pPr>
      <w:r w:rsidRPr="00A8423E">
        <w:rPr>
          <w:rFonts w:asciiTheme="minorHAnsi" w:hAnsiTheme="minorHAnsi" w:cstheme="minorHAnsi"/>
          <w:szCs w:val="22"/>
        </w:rPr>
        <w:t>Health Based Guidance Values used in dietary risk assessments</w:t>
      </w:r>
    </w:p>
    <w:p w:rsidR="00F623DE" w:rsidRDefault="00A8423E" w:rsidP="00FE0F18">
      <w:pPr>
        <w:pStyle w:val="APVMATableText"/>
        <w:tabs>
          <w:tab w:val="left" w:pos="2235"/>
        </w:tabs>
        <w:ind w:left="113"/>
        <w:rPr>
          <w:rFonts w:asciiTheme="minorHAnsi" w:hAnsiTheme="minorHAnsi" w:cstheme="minorHAnsi"/>
          <w:b/>
          <w:szCs w:val="22"/>
        </w:rPr>
      </w:pPr>
      <w:r w:rsidRPr="00F623DE">
        <w:rPr>
          <w:rFonts w:asciiTheme="minorHAnsi" w:hAnsiTheme="minorHAnsi" w:cstheme="minorHAnsi"/>
          <w:b/>
          <w:szCs w:val="22"/>
        </w:rPr>
        <w:t>Maximum Residue Limit (MRL)</w:t>
      </w:r>
    </w:p>
    <w:p w:rsidR="00A8423E" w:rsidRPr="00A8423E" w:rsidRDefault="00A8423E" w:rsidP="00FE0F18">
      <w:pPr>
        <w:pStyle w:val="APVMATableText"/>
        <w:tabs>
          <w:tab w:val="left" w:pos="2235"/>
        </w:tabs>
        <w:ind w:left="113"/>
        <w:rPr>
          <w:rFonts w:asciiTheme="minorHAnsi" w:hAnsiTheme="minorHAnsi" w:cstheme="minorHAnsi"/>
          <w:szCs w:val="22"/>
        </w:rPr>
      </w:pPr>
      <w:r w:rsidRPr="00A8423E">
        <w:rPr>
          <w:rFonts w:asciiTheme="minorHAnsi" w:hAnsiTheme="minorHAnsi" w:cstheme="minorHAnsi"/>
          <w:szCs w:val="22"/>
        </w:rPr>
        <w:t>Maximum permitted concentration of a residue, resulting from the registered use of an agricultural or veterinary chemical, usually expressed in units of mg/kg or μg/kg on a fresh weight basis</w:t>
      </w:r>
    </w:p>
    <w:p w:rsidR="00F623DE" w:rsidRDefault="00A8423E" w:rsidP="00FE0F18">
      <w:pPr>
        <w:pStyle w:val="APVMATableText"/>
        <w:tabs>
          <w:tab w:val="left" w:pos="2235"/>
        </w:tabs>
        <w:ind w:left="113"/>
        <w:rPr>
          <w:rFonts w:asciiTheme="minorHAnsi" w:hAnsiTheme="minorHAnsi" w:cstheme="minorHAnsi"/>
          <w:b/>
          <w:szCs w:val="22"/>
        </w:rPr>
      </w:pPr>
      <w:r w:rsidRPr="00F623DE">
        <w:rPr>
          <w:rFonts w:asciiTheme="minorHAnsi" w:hAnsiTheme="minorHAnsi" w:cstheme="minorHAnsi"/>
          <w:b/>
          <w:szCs w:val="22"/>
        </w:rPr>
        <w:t>Occupational exposure</w:t>
      </w:r>
    </w:p>
    <w:p w:rsidR="00A8423E" w:rsidRPr="00A8423E" w:rsidRDefault="00A8423E" w:rsidP="00FE0F18">
      <w:pPr>
        <w:pStyle w:val="APVMATableText"/>
        <w:tabs>
          <w:tab w:val="left" w:pos="2235"/>
        </w:tabs>
        <w:ind w:left="113"/>
        <w:rPr>
          <w:rFonts w:asciiTheme="minorHAnsi" w:hAnsiTheme="minorHAnsi" w:cstheme="minorHAnsi"/>
          <w:szCs w:val="22"/>
        </w:rPr>
      </w:pPr>
      <w:r w:rsidRPr="00A8423E">
        <w:rPr>
          <w:rFonts w:asciiTheme="minorHAnsi" w:hAnsiTheme="minorHAnsi" w:cstheme="minorHAnsi"/>
          <w:szCs w:val="22"/>
        </w:rPr>
        <w:t>Exposure to a chemical during use by workers</w:t>
      </w:r>
    </w:p>
    <w:p w:rsidR="00F623DE" w:rsidRDefault="00A8423E" w:rsidP="00FE0F18">
      <w:pPr>
        <w:pStyle w:val="APVMATableText"/>
        <w:tabs>
          <w:tab w:val="left" w:pos="2235"/>
        </w:tabs>
        <w:ind w:left="113"/>
        <w:rPr>
          <w:rFonts w:asciiTheme="minorHAnsi" w:hAnsiTheme="minorHAnsi" w:cstheme="minorHAnsi"/>
          <w:b/>
          <w:szCs w:val="22"/>
        </w:rPr>
      </w:pPr>
      <w:r w:rsidRPr="00F623DE">
        <w:rPr>
          <w:rFonts w:asciiTheme="minorHAnsi" w:hAnsiTheme="minorHAnsi" w:cstheme="minorHAnsi"/>
          <w:b/>
          <w:szCs w:val="22"/>
        </w:rPr>
        <w:t>Organophosphorus (OP)</w:t>
      </w:r>
    </w:p>
    <w:p w:rsidR="00A8423E" w:rsidRPr="00A8423E" w:rsidRDefault="00A8423E" w:rsidP="00FE0F18">
      <w:pPr>
        <w:pStyle w:val="APVMATableText"/>
        <w:tabs>
          <w:tab w:val="left" w:pos="2235"/>
        </w:tabs>
        <w:ind w:left="113"/>
        <w:rPr>
          <w:rFonts w:asciiTheme="minorHAnsi" w:hAnsiTheme="minorHAnsi" w:cstheme="minorHAnsi"/>
          <w:szCs w:val="22"/>
        </w:rPr>
      </w:pPr>
      <w:r w:rsidRPr="00A8423E">
        <w:rPr>
          <w:rFonts w:asciiTheme="minorHAnsi" w:hAnsiTheme="minorHAnsi" w:cstheme="minorHAnsi"/>
          <w:szCs w:val="22"/>
        </w:rPr>
        <w:t xml:space="preserve">A group of phosphorus-containing insecticides which act to inhibit acetylcholinesterase, an enzyme which is essential to nerve function in insects, animals and humans. </w:t>
      </w:r>
    </w:p>
    <w:p w:rsidR="00F623DE" w:rsidRDefault="00A8423E" w:rsidP="00FE0F18">
      <w:pPr>
        <w:pStyle w:val="APVMATableText"/>
        <w:tabs>
          <w:tab w:val="left" w:pos="2235"/>
        </w:tabs>
        <w:ind w:left="113"/>
        <w:rPr>
          <w:rFonts w:asciiTheme="minorHAnsi" w:hAnsiTheme="minorHAnsi" w:cstheme="minorHAnsi"/>
          <w:b/>
          <w:szCs w:val="22"/>
        </w:rPr>
      </w:pPr>
      <w:r w:rsidRPr="00F623DE">
        <w:rPr>
          <w:rFonts w:asciiTheme="minorHAnsi" w:hAnsiTheme="minorHAnsi" w:cstheme="minorHAnsi"/>
          <w:b/>
          <w:szCs w:val="22"/>
        </w:rPr>
        <w:t>Restricted chemical product (RCP)</w:t>
      </w:r>
    </w:p>
    <w:p w:rsidR="00A8423E" w:rsidRPr="00A8423E" w:rsidRDefault="00A8423E" w:rsidP="00FE0F18">
      <w:pPr>
        <w:pStyle w:val="APVMATableText"/>
        <w:tabs>
          <w:tab w:val="left" w:pos="2235"/>
        </w:tabs>
        <w:ind w:left="113"/>
        <w:rPr>
          <w:rFonts w:asciiTheme="minorHAnsi" w:hAnsiTheme="minorHAnsi" w:cstheme="minorHAnsi"/>
          <w:szCs w:val="22"/>
        </w:rPr>
      </w:pPr>
      <w:r w:rsidRPr="00A8423E">
        <w:rPr>
          <w:rFonts w:asciiTheme="minorHAnsi" w:hAnsiTheme="minorHAnsi" w:cstheme="minorHAnsi"/>
          <w:szCs w:val="22"/>
        </w:rPr>
        <w:t>An RCP may be declared if special knowledge, skills, training and equipment are needed to be able to obtain, handle or use the product. This is based on the risks posed by the product to human health, animals, plants or the environment.</w:t>
      </w:r>
    </w:p>
    <w:p w:rsidR="00F623DE" w:rsidRDefault="00A8423E" w:rsidP="00FE0F18">
      <w:pPr>
        <w:pStyle w:val="APVMATableText"/>
        <w:tabs>
          <w:tab w:val="left" w:pos="2235"/>
        </w:tabs>
        <w:ind w:left="113"/>
        <w:rPr>
          <w:rFonts w:asciiTheme="minorHAnsi" w:hAnsiTheme="minorHAnsi" w:cstheme="minorHAnsi"/>
          <w:b/>
          <w:szCs w:val="22"/>
        </w:rPr>
      </w:pPr>
      <w:r w:rsidRPr="00F623DE">
        <w:rPr>
          <w:rFonts w:asciiTheme="minorHAnsi" w:hAnsiTheme="minorHAnsi" w:cstheme="minorHAnsi"/>
          <w:b/>
          <w:szCs w:val="22"/>
        </w:rPr>
        <w:lastRenderedPageBreak/>
        <w:t>Safe threshold</w:t>
      </w:r>
    </w:p>
    <w:p w:rsidR="00A8423E" w:rsidRPr="00F623DE" w:rsidRDefault="00A8423E" w:rsidP="00FE0F18">
      <w:pPr>
        <w:pStyle w:val="APVMATableText"/>
        <w:tabs>
          <w:tab w:val="left" w:pos="2235"/>
        </w:tabs>
        <w:ind w:left="113"/>
        <w:rPr>
          <w:rFonts w:asciiTheme="minorHAnsi" w:hAnsiTheme="minorHAnsi" w:cstheme="minorHAnsi"/>
          <w:szCs w:val="22"/>
        </w:rPr>
      </w:pPr>
      <w:r w:rsidRPr="00F623DE">
        <w:rPr>
          <w:rFonts w:asciiTheme="minorHAnsi" w:hAnsiTheme="minorHAnsi" w:cstheme="minorHAnsi"/>
          <w:szCs w:val="22"/>
        </w:rPr>
        <w:t>The dose of a chemical that a person could have without suffering any measurable harm</w:t>
      </w:r>
    </w:p>
    <w:p w:rsidR="00F623DE" w:rsidRPr="00F623DE" w:rsidRDefault="00A8423E" w:rsidP="00FE0F18">
      <w:pPr>
        <w:pStyle w:val="APVMATableText"/>
        <w:tabs>
          <w:tab w:val="left" w:pos="2235"/>
        </w:tabs>
        <w:ind w:left="113"/>
        <w:rPr>
          <w:rFonts w:asciiTheme="minorHAnsi" w:hAnsiTheme="minorHAnsi" w:cstheme="minorHAnsi"/>
          <w:b/>
          <w:szCs w:val="22"/>
          <w:lang w:val="en"/>
        </w:rPr>
      </w:pPr>
      <w:r w:rsidRPr="00F623DE">
        <w:rPr>
          <w:rFonts w:asciiTheme="minorHAnsi" w:hAnsiTheme="minorHAnsi" w:cstheme="minorHAnsi"/>
          <w:b/>
          <w:szCs w:val="22"/>
          <w:lang w:val="en"/>
        </w:rPr>
        <w:t>Standard for the Uniform Scheduling of Medicines and Poisons (SUSMP)</w:t>
      </w:r>
    </w:p>
    <w:p w:rsidR="00A8423E" w:rsidRPr="00F623DE" w:rsidRDefault="00A8423E" w:rsidP="00FE0F18">
      <w:pPr>
        <w:pStyle w:val="APVMATableText"/>
        <w:tabs>
          <w:tab w:val="left" w:pos="2235"/>
        </w:tabs>
        <w:ind w:left="113"/>
        <w:rPr>
          <w:rFonts w:asciiTheme="minorHAnsi" w:hAnsiTheme="minorHAnsi" w:cstheme="minorHAnsi"/>
          <w:szCs w:val="22"/>
        </w:rPr>
      </w:pPr>
      <w:r w:rsidRPr="00F623DE">
        <w:rPr>
          <w:rFonts w:asciiTheme="minorHAnsi" w:hAnsiTheme="minorHAnsi" w:cstheme="minorHAnsi"/>
          <w:szCs w:val="22"/>
          <w:lang w:val="en"/>
        </w:rPr>
        <w:t>The Poisons Standard consists of decisions regarding the classification of medicines and poisons into Schedules for inclusion in the relevant legislation of the States and Territories</w:t>
      </w:r>
    </w:p>
    <w:p w:rsidR="00F623DE" w:rsidRDefault="00A8423E" w:rsidP="00FE0F18">
      <w:pPr>
        <w:pStyle w:val="APVMATableText"/>
        <w:tabs>
          <w:tab w:val="left" w:pos="2235"/>
        </w:tabs>
        <w:ind w:left="113"/>
        <w:rPr>
          <w:rFonts w:asciiTheme="minorHAnsi" w:hAnsiTheme="minorHAnsi" w:cstheme="minorHAnsi"/>
          <w:b/>
          <w:szCs w:val="22"/>
        </w:rPr>
      </w:pPr>
      <w:r w:rsidRPr="00F623DE">
        <w:rPr>
          <w:rFonts w:asciiTheme="minorHAnsi" w:hAnsiTheme="minorHAnsi" w:cstheme="minorHAnsi"/>
          <w:b/>
          <w:szCs w:val="22"/>
        </w:rPr>
        <w:t>Uncertainty factor</w:t>
      </w:r>
    </w:p>
    <w:p w:rsidR="00A8423E" w:rsidRPr="00A8423E" w:rsidRDefault="00A8423E" w:rsidP="00FE0F18">
      <w:pPr>
        <w:pStyle w:val="APVMATableText"/>
        <w:tabs>
          <w:tab w:val="left" w:pos="2235"/>
        </w:tabs>
        <w:ind w:left="113"/>
        <w:rPr>
          <w:rFonts w:asciiTheme="minorHAnsi" w:hAnsiTheme="minorHAnsi" w:cstheme="minorHAnsi"/>
          <w:szCs w:val="22"/>
        </w:rPr>
      </w:pPr>
      <w:r w:rsidRPr="00A8423E">
        <w:rPr>
          <w:rFonts w:asciiTheme="minorHAnsi" w:hAnsiTheme="minorHAnsi" w:cstheme="minorHAnsi"/>
          <w:szCs w:val="22"/>
        </w:rPr>
        <w:t>The factor by which an observed or estimated NOAEL is divided to generate a standard considered safe or without appreciable risk</w:t>
      </w:r>
    </w:p>
    <w:p w:rsidR="00F623DE" w:rsidRDefault="00A8423E" w:rsidP="00FE0F18">
      <w:pPr>
        <w:pStyle w:val="APVMATableText"/>
        <w:tabs>
          <w:tab w:val="left" w:pos="2235"/>
        </w:tabs>
        <w:ind w:left="113"/>
        <w:rPr>
          <w:rFonts w:asciiTheme="minorHAnsi" w:hAnsiTheme="minorHAnsi" w:cstheme="minorHAnsi"/>
          <w:b/>
          <w:szCs w:val="22"/>
        </w:rPr>
      </w:pPr>
      <w:r w:rsidRPr="00F623DE">
        <w:rPr>
          <w:rFonts w:asciiTheme="minorHAnsi" w:hAnsiTheme="minorHAnsi" w:cstheme="minorHAnsi"/>
          <w:b/>
          <w:szCs w:val="22"/>
        </w:rPr>
        <w:t>VICH</w:t>
      </w:r>
    </w:p>
    <w:p w:rsidR="00A8423E" w:rsidRPr="00A8423E" w:rsidRDefault="00A8423E" w:rsidP="00FE0F18">
      <w:pPr>
        <w:pStyle w:val="APVMATableText"/>
        <w:tabs>
          <w:tab w:val="left" w:pos="2235"/>
        </w:tabs>
        <w:ind w:left="113"/>
        <w:rPr>
          <w:rFonts w:asciiTheme="minorHAnsi" w:hAnsiTheme="minorHAnsi" w:cstheme="minorHAnsi"/>
          <w:szCs w:val="22"/>
        </w:rPr>
      </w:pPr>
      <w:r w:rsidRPr="00A8423E">
        <w:rPr>
          <w:rFonts w:asciiTheme="minorHAnsi" w:hAnsiTheme="minorHAnsi" w:cstheme="minorHAnsi"/>
          <w:szCs w:val="22"/>
        </w:rPr>
        <w:t>International Cooperation on Harmonisation of Technical Requirements for Registration of Veterinary Medicinal Products</w:t>
      </w:r>
    </w:p>
    <w:p w:rsidR="00F623DE" w:rsidRDefault="00A8423E" w:rsidP="00FE0F18">
      <w:pPr>
        <w:pStyle w:val="APVMATableText"/>
        <w:tabs>
          <w:tab w:val="left" w:pos="2235"/>
        </w:tabs>
        <w:ind w:left="113"/>
        <w:rPr>
          <w:rFonts w:asciiTheme="minorHAnsi" w:hAnsiTheme="minorHAnsi" w:cstheme="minorHAnsi"/>
          <w:b/>
          <w:szCs w:val="22"/>
        </w:rPr>
      </w:pPr>
      <w:r w:rsidRPr="00F623DE">
        <w:rPr>
          <w:rFonts w:asciiTheme="minorHAnsi" w:hAnsiTheme="minorHAnsi" w:cstheme="minorHAnsi"/>
          <w:b/>
          <w:szCs w:val="22"/>
        </w:rPr>
        <w:t>VICH program</w:t>
      </w:r>
    </w:p>
    <w:p w:rsidR="00A8423E" w:rsidRPr="00A8423E" w:rsidRDefault="00A8423E" w:rsidP="00FE0F18">
      <w:pPr>
        <w:pStyle w:val="APVMATableText"/>
        <w:tabs>
          <w:tab w:val="left" w:pos="2235"/>
        </w:tabs>
        <w:ind w:left="113"/>
        <w:rPr>
          <w:rFonts w:asciiTheme="minorHAnsi" w:hAnsiTheme="minorHAnsi" w:cstheme="minorHAnsi"/>
          <w:szCs w:val="22"/>
        </w:rPr>
      </w:pPr>
      <w:r w:rsidRPr="00A8423E">
        <w:rPr>
          <w:rFonts w:asciiTheme="minorHAnsi" w:hAnsiTheme="minorHAnsi" w:cstheme="minorHAnsi"/>
          <w:szCs w:val="22"/>
        </w:rPr>
        <w:t>A trilateral EU-Japan-USA program aimed at harmonising technical requirements for veterinary product registration</w:t>
      </w:r>
    </w:p>
    <w:p w:rsidR="00F623DE" w:rsidRDefault="00A8423E" w:rsidP="00FE0F18">
      <w:pPr>
        <w:pStyle w:val="APVMATableText"/>
        <w:tabs>
          <w:tab w:val="left" w:pos="2235"/>
        </w:tabs>
        <w:ind w:left="113"/>
        <w:rPr>
          <w:rFonts w:asciiTheme="minorHAnsi" w:hAnsiTheme="minorHAnsi" w:cstheme="minorHAnsi"/>
          <w:b/>
          <w:szCs w:val="22"/>
        </w:rPr>
      </w:pPr>
      <w:r w:rsidRPr="00F623DE">
        <w:rPr>
          <w:rFonts w:asciiTheme="minorHAnsi" w:hAnsiTheme="minorHAnsi" w:cstheme="minorHAnsi"/>
          <w:b/>
          <w:szCs w:val="22"/>
        </w:rPr>
        <w:t>Withholding Period (WHP)</w:t>
      </w:r>
    </w:p>
    <w:p w:rsidR="00A8423E" w:rsidRPr="00A8423E" w:rsidRDefault="00A8423E" w:rsidP="00FE0F18">
      <w:pPr>
        <w:pStyle w:val="APVMATableText"/>
        <w:tabs>
          <w:tab w:val="left" w:pos="2235"/>
        </w:tabs>
        <w:ind w:left="113"/>
        <w:rPr>
          <w:rFonts w:asciiTheme="minorHAnsi" w:hAnsiTheme="minorHAnsi" w:cstheme="minorHAnsi"/>
          <w:szCs w:val="22"/>
        </w:rPr>
      </w:pPr>
      <w:r w:rsidRPr="00A8423E">
        <w:rPr>
          <w:rFonts w:asciiTheme="minorHAnsi" w:hAnsiTheme="minorHAnsi" w:cstheme="minorHAnsi"/>
          <w:szCs w:val="22"/>
        </w:rPr>
        <w:t>The minimum time that must elapse between treating a crop or animal and availability of crop or animal product for safe human consumption</w:t>
      </w:r>
    </w:p>
    <w:p w:rsidR="00525550" w:rsidRDefault="00525550" w:rsidP="00525550"/>
    <w:p w:rsidR="00B72640" w:rsidRDefault="00B72640" w:rsidP="001C6C19">
      <w:pPr>
        <w:sectPr w:rsidR="00B72640" w:rsidSect="001A19FE">
          <w:endnotePr>
            <w:numFmt w:val="decimal"/>
          </w:endnotePr>
          <w:pgSz w:w="11906" w:h="16838" w:code="9"/>
          <w:pgMar w:top="2552" w:right="1134" w:bottom="1134" w:left="1134" w:header="1758" w:footer="680" w:gutter="0"/>
          <w:cols w:space="708"/>
          <w:docGrid w:linePitch="360"/>
        </w:sectPr>
      </w:pPr>
    </w:p>
    <w:p w:rsidR="00B72640" w:rsidRDefault="00B72640" w:rsidP="000440F9">
      <w:pPr>
        <w:pStyle w:val="Heading1"/>
        <w:numPr>
          <w:ilvl w:val="0"/>
          <w:numId w:val="23"/>
        </w:numPr>
        <w:ind w:left="720" w:hanging="720"/>
      </w:pPr>
      <w:bookmarkStart w:id="181" w:name="_Toc526432228"/>
      <w:r>
        <w:lastRenderedPageBreak/>
        <w:t>APpendix A – Terrestrial Vertebrates</w:t>
      </w:r>
      <w:bookmarkEnd w:id="181"/>
    </w:p>
    <w:p w:rsidR="00B72640" w:rsidRPr="00B72640" w:rsidRDefault="00B72640" w:rsidP="00B72640">
      <w:pPr>
        <w:pStyle w:val="Heading2"/>
        <w:ind w:left="851" w:hanging="851"/>
      </w:pPr>
      <w:bookmarkStart w:id="182" w:name="_Toc526432229"/>
      <w:r w:rsidRPr="00B72640">
        <w:t>Introduction</w:t>
      </w:r>
      <w:bookmarkEnd w:id="182"/>
    </w:p>
    <w:p w:rsidR="00B72640" w:rsidRPr="00FC47AA" w:rsidRDefault="00B72640" w:rsidP="00FC47AA">
      <w:pPr>
        <w:pStyle w:val="NormalText"/>
        <w:rPr>
          <w:rStyle w:val="ATChar"/>
          <w:rFonts w:ascii="Calibri" w:hAnsi="Calibri" w:cs="Arial"/>
        </w:rPr>
      </w:pPr>
      <w:r w:rsidRPr="00FC47AA">
        <w:rPr>
          <w:rStyle w:val="ATChar"/>
          <w:rFonts w:ascii="Calibri" w:hAnsi="Calibri" w:cs="Arial"/>
        </w:rPr>
        <w:t>The procedures of risk characterisation are described according to the present state of knowledge. In this tiered assessment framework, potential risk for birds and mammals is identified on the basis of responses of individual organisms observed in controlled laboratory experiments, noting that the abundance and persistence of populations of organisms are potentially more relevant as endpoints for assessment than are responses of individual organisms. The proposed approach is justified on the ground that too little is known about the responses of populations to chemical exposure to support regulatory decisions on that basis. Extrapolation tools aiming at bridging the gap between individual level and population level by means of population modelling techniques are not yet satisfactory. Risk assessors have to consider, at least qualitatively, that if only a small fraction of a population is exposed (spatial scale) risks associated with the use of the pesticide product may be small even if some individuals would be affected. That does not preclude, that appreciable mortality without population level consequences may be judged unacceptable.</w:t>
      </w:r>
    </w:p>
    <w:p w:rsidR="00B72640" w:rsidRPr="00FC47AA" w:rsidRDefault="00B72640" w:rsidP="00FC47AA">
      <w:pPr>
        <w:pStyle w:val="NormalText"/>
        <w:rPr>
          <w:rStyle w:val="ATChar"/>
          <w:rFonts w:ascii="Calibri" w:hAnsi="Calibri" w:cs="Arial"/>
        </w:rPr>
      </w:pPr>
      <w:r w:rsidRPr="00FC47AA">
        <w:rPr>
          <w:rStyle w:val="ATChar"/>
          <w:rFonts w:ascii="Calibri" w:hAnsi="Calibri" w:cs="Arial"/>
        </w:rPr>
        <w:t>The standard risk assessment is based on the field s</w:t>
      </w:r>
      <w:r w:rsidR="00A8423E">
        <w:rPr>
          <w:rStyle w:val="ATChar"/>
          <w:rFonts w:ascii="Calibri" w:hAnsi="Calibri" w:cs="Arial"/>
        </w:rPr>
        <w:t>cale and not landscape scale, ie</w:t>
      </w:r>
      <w:r w:rsidRPr="00FC47AA">
        <w:rPr>
          <w:rStyle w:val="ATChar"/>
          <w:rFonts w:ascii="Calibri" w:hAnsi="Calibri" w:cs="Arial"/>
        </w:rPr>
        <w:t xml:space="preserve"> the risk to non-target birds and mammals frequenting the treated field is assessed. No consideration is made of the risk from applications of the same pesticide to neighbouring fields. If concern is raised (i</w:t>
      </w:r>
      <w:r w:rsidR="00A8423E">
        <w:rPr>
          <w:rStyle w:val="ATChar"/>
          <w:rFonts w:ascii="Calibri" w:hAnsi="Calibri" w:cs="Arial"/>
        </w:rPr>
        <w:t>e</w:t>
      </w:r>
      <w:r w:rsidRPr="00FC47AA">
        <w:rPr>
          <w:rStyle w:val="ATChar"/>
          <w:rFonts w:ascii="Calibri" w:hAnsi="Calibri" w:cs="Arial"/>
        </w:rPr>
        <w:t xml:space="preserve"> RQ &gt;1.0) then the risk can be refined appropriately. When refining the risk it may be appropriate to consider such issues as suitability of the standard scenarios, scale of use and potential impact on populations. However, no deviations from worst case assumption should be made unless they are justified.</w:t>
      </w:r>
    </w:p>
    <w:p w:rsidR="00B72640" w:rsidRPr="00A06549" w:rsidRDefault="00B72640" w:rsidP="00A06549">
      <w:pPr>
        <w:pStyle w:val="Heading2"/>
        <w:ind w:left="851" w:hanging="851"/>
      </w:pPr>
      <w:bookmarkStart w:id="183" w:name="_Toc526432230"/>
      <w:r w:rsidRPr="00A06549">
        <w:t>Toxicity figures</w:t>
      </w:r>
      <w:bookmarkEnd w:id="183"/>
    </w:p>
    <w:p w:rsidR="00B72640" w:rsidRPr="00B06AAB" w:rsidRDefault="00B72640" w:rsidP="00B06AAB">
      <w:pPr>
        <w:pStyle w:val="NormalText"/>
        <w:rPr>
          <w:rStyle w:val="ATChar"/>
          <w:rFonts w:ascii="Calibri" w:hAnsi="Calibri" w:cs="Arial"/>
        </w:rPr>
      </w:pPr>
      <w:r w:rsidRPr="00B06AAB">
        <w:rPr>
          <w:rStyle w:val="ATChar"/>
          <w:rFonts w:ascii="Calibri" w:hAnsi="Calibri" w:cs="Arial"/>
        </w:rPr>
        <w:t xml:space="preserve">Acute: </w:t>
      </w:r>
      <w:r w:rsidRPr="00B06AAB">
        <w:rPr>
          <w:rStyle w:val="ATChar"/>
          <w:rFonts w:ascii="Calibri" w:hAnsi="Calibri" w:cs="Arial"/>
        </w:rPr>
        <w:tab/>
      </w:r>
      <w:r w:rsidR="00B06AAB">
        <w:rPr>
          <w:rStyle w:val="ATChar"/>
          <w:rFonts w:ascii="Calibri" w:hAnsi="Calibri" w:cs="Arial"/>
        </w:rPr>
        <w:tab/>
      </w:r>
      <w:r w:rsidRPr="00B06AAB">
        <w:rPr>
          <w:rStyle w:val="ATChar"/>
          <w:rFonts w:ascii="Calibri" w:hAnsi="Calibri" w:cs="Arial"/>
        </w:rPr>
        <w:t>Birds: LD50 from acute oral test</w:t>
      </w:r>
    </w:p>
    <w:p w:rsidR="00B72640" w:rsidRPr="00B06AAB" w:rsidRDefault="00B72640" w:rsidP="00B06AAB">
      <w:pPr>
        <w:pStyle w:val="NormalText"/>
        <w:ind w:left="720" w:firstLine="720"/>
        <w:rPr>
          <w:rStyle w:val="ATChar"/>
          <w:rFonts w:ascii="Calibri" w:hAnsi="Calibri" w:cs="Arial"/>
        </w:rPr>
      </w:pPr>
      <w:r w:rsidRPr="00B06AAB">
        <w:rPr>
          <w:rStyle w:val="ATChar"/>
          <w:rFonts w:ascii="Calibri" w:hAnsi="Calibri" w:cs="Arial"/>
        </w:rPr>
        <w:t>Mammals: LD50 from acute oral test</w:t>
      </w:r>
    </w:p>
    <w:p w:rsidR="00B72640" w:rsidRPr="00B06AAB" w:rsidRDefault="00B72640" w:rsidP="00B06AAB">
      <w:pPr>
        <w:pStyle w:val="NormalText"/>
        <w:rPr>
          <w:rStyle w:val="ATChar"/>
          <w:rFonts w:ascii="Calibri" w:hAnsi="Calibri" w:cs="Arial"/>
        </w:rPr>
      </w:pPr>
      <w:r w:rsidRPr="00B06AAB">
        <w:rPr>
          <w:rStyle w:val="ATChar"/>
          <w:rFonts w:ascii="Calibri" w:hAnsi="Calibri" w:cs="Arial"/>
        </w:rPr>
        <w:t xml:space="preserve">Chronic: </w:t>
      </w:r>
      <w:r w:rsidRPr="00B06AAB">
        <w:rPr>
          <w:rStyle w:val="ATChar"/>
          <w:rFonts w:ascii="Calibri" w:hAnsi="Calibri" w:cs="Arial"/>
        </w:rPr>
        <w:tab/>
        <w:t>Birds: NOEL from avian reproduction study</w:t>
      </w:r>
    </w:p>
    <w:p w:rsidR="00B72640" w:rsidRPr="00B06AAB" w:rsidRDefault="00B72640" w:rsidP="00B06AAB">
      <w:pPr>
        <w:pStyle w:val="NormalText"/>
        <w:ind w:left="1440"/>
        <w:rPr>
          <w:rStyle w:val="ATChar"/>
          <w:rFonts w:ascii="Calibri" w:hAnsi="Calibri" w:cs="Arial"/>
        </w:rPr>
      </w:pPr>
      <w:r w:rsidRPr="00B06AAB">
        <w:rPr>
          <w:rStyle w:val="ATChar"/>
          <w:rFonts w:ascii="Calibri" w:hAnsi="Calibri" w:cs="Arial"/>
        </w:rPr>
        <w:t>Mammals: NOEL based on most sensitive endpoint of relevance for survival rate, reproduction rate and development of individuals, for example results from multi-generation studies or teratology studies on mammals.</w:t>
      </w:r>
    </w:p>
    <w:p w:rsidR="00B72640" w:rsidRPr="00FC47AA" w:rsidRDefault="00B72640" w:rsidP="00FC47AA">
      <w:pPr>
        <w:pStyle w:val="NormalText"/>
        <w:rPr>
          <w:rStyle w:val="ATChar"/>
          <w:rFonts w:ascii="Calibri" w:hAnsi="Calibri" w:cs="Arial"/>
        </w:rPr>
      </w:pPr>
      <w:r w:rsidRPr="00FC47AA">
        <w:rPr>
          <w:rStyle w:val="ATChar"/>
          <w:rFonts w:ascii="Calibri" w:hAnsi="Calibri" w:cs="Arial"/>
        </w:rPr>
        <w:t>In each category the toxicity of the most sensitive test species is used.</w:t>
      </w:r>
    </w:p>
    <w:p w:rsidR="00B72640" w:rsidRPr="00FC47AA" w:rsidRDefault="00B72640" w:rsidP="00FC47AA">
      <w:pPr>
        <w:pStyle w:val="NormalText"/>
        <w:rPr>
          <w:rStyle w:val="ATChar"/>
          <w:rFonts w:ascii="Calibri" w:hAnsi="Calibri" w:cs="Arial"/>
        </w:rPr>
      </w:pPr>
      <w:r w:rsidRPr="00FC47AA">
        <w:rPr>
          <w:rStyle w:val="ATChar"/>
          <w:rFonts w:ascii="Calibri" w:hAnsi="Calibri" w:cs="Arial"/>
        </w:rPr>
        <w:t>With regard to chronic exposure in mammals, the assessment is conducted with a dose level that represents the no observed adverse effect level from a toxicological point of view. If the resulting RQ exceeds 1.0 then the ecological relevance of endpoints should be re-evaluated.</w:t>
      </w:r>
    </w:p>
    <w:p w:rsidR="007E5F4F" w:rsidRDefault="007E5F4F" w:rsidP="00B72640">
      <w:pPr>
        <w:pStyle w:val="Heading2"/>
        <w:ind w:left="851" w:hanging="851"/>
        <w:sectPr w:rsidR="007E5F4F" w:rsidSect="001A19FE">
          <w:headerReference w:type="default" r:id="rId81"/>
          <w:endnotePr>
            <w:numFmt w:val="decimal"/>
          </w:endnotePr>
          <w:pgSz w:w="11906" w:h="16838" w:code="9"/>
          <w:pgMar w:top="2552" w:right="1134" w:bottom="1134" w:left="1134" w:header="1758" w:footer="680" w:gutter="0"/>
          <w:cols w:space="708"/>
          <w:docGrid w:linePitch="360"/>
        </w:sectPr>
      </w:pPr>
    </w:p>
    <w:p w:rsidR="00B72640" w:rsidRPr="00B72640" w:rsidRDefault="00B72640" w:rsidP="00B72640">
      <w:pPr>
        <w:pStyle w:val="Heading2"/>
        <w:ind w:left="851" w:hanging="851"/>
      </w:pPr>
      <w:bookmarkStart w:id="184" w:name="_Toc526432231"/>
      <w:r w:rsidRPr="00B72640">
        <w:lastRenderedPageBreak/>
        <w:t>Risk assessment</w:t>
      </w:r>
      <w:bookmarkEnd w:id="184"/>
    </w:p>
    <w:p w:rsidR="00B72640" w:rsidRPr="00FC47AA" w:rsidRDefault="00B72640" w:rsidP="00FC47AA">
      <w:pPr>
        <w:pStyle w:val="NormalText"/>
        <w:rPr>
          <w:rStyle w:val="ATChar"/>
          <w:rFonts w:ascii="Calibri" w:hAnsi="Calibri" w:cs="Arial"/>
        </w:rPr>
      </w:pPr>
      <w:r w:rsidRPr="00FC47AA">
        <w:rPr>
          <w:rStyle w:val="ATChar"/>
          <w:rFonts w:ascii="Calibri" w:hAnsi="Calibri" w:cs="Arial"/>
        </w:rPr>
        <w:t>The major potential routes of exposure of terrestrial vertebrates are considered</w:t>
      </w:r>
      <w:r w:rsidR="00A8423E">
        <w:rPr>
          <w:rStyle w:val="ATChar"/>
          <w:rFonts w:ascii="Calibri" w:hAnsi="Calibri" w:cs="Arial"/>
        </w:rPr>
        <w:t xml:space="preserve"> to be feeding on food items (eg</w:t>
      </w:r>
      <w:r w:rsidRPr="00FC47AA">
        <w:rPr>
          <w:rStyle w:val="ATChar"/>
          <w:rFonts w:ascii="Calibri" w:hAnsi="Calibri" w:cs="Arial"/>
        </w:rPr>
        <w:t xml:space="preserve"> vegetation and invertebrates) directly contaminated from spray application of the product. The acute and reproductive risks for terrestrial vertebrates following dietary exposure to contaminated food items are assessed using a tiered approach which is in line with current EFSA (2009) guidance. The Australian assessment, however, first calculates a regulatory acceptable dose (RAD) for acute and chronic exposure scenarios as indicated in </w:t>
      </w:r>
      <w:r w:rsidR="004C688B">
        <w:rPr>
          <w:rStyle w:val="ATChar"/>
          <w:rFonts w:ascii="Calibri" w:hAnsi="Calibri" w:cs="Arial"/>
        </w:rPr>
        <w:fldChar w:fldCharType="begin"/>
      </w:r>
      <w:r w:rsidR="004C688B">
        <w:rPr>
          <w:rStyle w:val="ATChar"/>
          <w:rFonts w:ascii="Calibri" w:hAnsi="Calibri" w:cs="Arial"/>
        </w:rPr>
        <w:instrText xml:space="preserve"> REF _Ref522027475 \h </w:instrText>
      </w:r>
      <w:r w:rsidR="004C688B">
        <w:rPr>
          <w:rStyle w:val="ATChar"/>
          <w:rFonts w:ascii="Calibri" w:hAnsi="Calibri" w:cs="Arial"/>
        </w:rPr>
      </w:r>
      <w:r w:rsidR="004C688B">
        <w:rPr>
          <w:rStyle w:val="ATChar"/>
          <w:rFonts w:ascii="Calibri" w:hAnsi="Calibri" w:cs="Arial"/>
        </w:rPr>
        <w:fldChar w:fldCharType="separate"/>
      </w:r>
      <w:r w:rsidR="00225D67" w:rsidRPr="009A4CFC">
        <w:t xml:space="preserve">Table </w:t>
      </w:r>
      <w:r w:rsidR="00225D67">
        <w:rPr>
          <w:noProof/>
        </w:rPr>
        <w:t>6</w:t>
      </w:r>
      <w:r w:rsidR="004C688B">
        <w:rPr>
          <w:rStyle w:val="ATChar"/>
          <w:rFonts w:ascii="Calibri" w:hAnsi="Calibri" w:cs="Arial"/>
        </w:rPr>
        <w:fldChar w:fldCharType="end"/>
      </w:r>
      <w:r w:rsidRPr="00FC47AA">
        <w:rPr>
          <w:rStyle w:val="ATChar"/>
          <w:rFonts w:ascii="Calibri" w:hAnsi="Calibri" w:cs="Arial"/>
        </w:rPr>
        <w:t>. A risk quotient is then calculated that compares the daily dietary dose for a ‘worst case scenario’ with the RAD.</w:t>
      </w:r>
    </w:p>
    <w:p w:rsidR="00B72640" w:rsidRPr="00FC47AA" w:rsidRDefault="00B72640" w:rsidP="00FC47AA">
      <w:pPr>
        <w:pStyle w:val="NormalText"/>
        <w:rPr>
          <w:rStyle w:val="ATChar"/>
          <w:rFonts w:ascii="Calibri" w:hAnsi="Calibri" w:cs="Arial"/>
        </w:rPr>
      </w:pPr>
      <w:r w:rsidRPr="00FC47AA">
        <w:rPr>
          <w:rStyle w:val="ATChar"/>
          <w:rFonts w:ascii="Calibri" w:hAnsi="Calibri" w:cs="Arial"/>
        </w:rPr>
        <w:t>For multiple applications, a default foliar DT50 of 10 days is assumed. Foliar dissipation data can be used to refine the assessment if it is shown that the dissipation of the active constituent is faster than assumed.</w:t>
      </w:r>
    </w:p>
    <w:p w:rsidR="00B72640" w:rsidRPr="00FC47AA" w:rsidRDefault="00B72640" w:rsidP="00FC47AA">
      <w:pPr>
        <w:pStyle w:val="NormalText"/>
        <w:rPr>
          <w:rStyle w:val="ATChar"/>
          <w:rFonts w:ascii="Calibri" w:hAnsi="Calibri" w:cs="Arial"/>
        </w:rPr>
      </w:pPr>
      <w:r w:rsidRPr="00FC47AA">
        <w:rPr>
          <w:rStyle w:val="ATChar"/>
          <w:rFonts w:ascii="Calibri" w:hAnsi="Calibri" w:cs="Arial"/>
        </w:rPr>
        <w:t>If it is necessary to refine the assessment, a Tier 1 assessment according to EFSA (2009) guidance is conducted which considers more specific exposure scenarios for generic focal mammal species relevant to the crop and timing of application (</w:t>
      </w:r>
      <w:r w:rsidR="004C688B">
        <w:rPr>
          <w:rStyle w:val="ATChar"/>
          <w:rFonts w:ascii="Calibri" w:hAnsi="Calibri" w:cs="Arial"/>
        </w:rPr>
        <w:fldChar w:fldCharType="begin"/>
      </w:r>
      <w:r w:rsidR="004C688B">
        <w:rPr>
          <w:rStyle w:val="ATChar"/>
          <w:rFonts w:ascii="Calibri" w:hAnsi="Calibri" w:cs="Arial"/>
        </w:rPr>
        <w:instrText xml:space="preserve"> REF _Ref522027532 \h </w:instrText>
      </w:r>
      <w:r w:rsidR="004C688B">
        <w:rPr>
          <w:rStyle w:val="ATChar"/>
          <w:rFonts w:ascii="Calibri" w:hAnsi="Calibri" w:cs="Arial"/>
        </w:rPr>
      </w:r>
      <w:r w:rsidR="004C688B">
        <w:rPr>
          <w:rStyle w:val="ATChar"/>
          <w:rFonts w:ascii="Calibri" w:hAnsi="Calibri" w:cs="Arial"/>
        </w:rPr>
        <w:fldChar w:fldCharType="separate"/>
      </w:r>
      <w:r w:rsidR="00225D67" w:rsidRPr="009A4CFC">
        <w:t xml:space="preserve">Table </w:t>
      </w:r>
      <w:r w:rsidR="00225D67">
        <w:rPr>
          <w:noProof/>
        </w:rPr>
        <w:t>7</w:t>
      </w:r>
      <w:r w:rsidR="004C688B">
        <w:rPr>
          <w:rStyle w:val="ATChar"/>
          <w:rFonts w:ascii="Calibri" w:hAnsi="Calibri" w:cs="Arial"/>
        </w:rPr>
        <w:fldChar w:fldCharType="end"/>
      </w:r>
      <w:r w:rsidRPr="00FC47AA">
        <w:rPr>
          <w:rStyle w:val="ATChar"/>
          <w:rFonts w:ascii="Calibri" w:hAnsi="Calibri" w:cs="Arial"/>
        </w:rPr>
        <w:t>).</w:t>
      </w:r>
    </w:p>
    <w:p w:rsidR="00B72640" w:rsidRPr="00FC47AA" w:rsidRDefault="00B72640" w:rsidP="00FC47AA">
      <w:pPr>
        <w:pStyle w:val="NormalText"/>
        <w:rPr>
          <w:rStyle w:val="ATChar"/>
          <w:rFonts w:ascii="Calibri" w:hAnsi="Calibri" w:cs="Arial"/>
        </w:rPr>
      </w:pPr>
      <w:r w:rsidRPr="00FC47AA">
        <w:rPr>
          <w:rStyle w:val="ATChar"/>
          <w:rFonts w:ascii="Calibri" w:hAnsi="Calibri" w:cs="Arial"/>
        </w:rPr>
        <w:t>To further refine the assessment, a Tier 2 assessment considers that not all of the animal’s daily diet is obtained in habitat treated with the pesticide (PT = fraction of diet obtained within the treatment area) or that not all of the animal’s dietary items are available within the treatment area (PD = fraction of a particular food type in the diet). As a worst-case assumption at the screening and Tier 1 levels of assessment, animals are assumed to find all of their food (PT = 1) and dietary items (PD = 1) within the treatment area. The Tier 2 assessment considers more realistic estimates of PT or PD. Available sources of PT or PD data include:</w:t>
      </w:r>
    </w:p>
    <w:p w:rsidR="00B72640" w:rsidRPr="00A06549" w:rsidRDefault="00B72640" w:rsidP="00A06549">
      <w:pPr>
        <w:pStyle w:val="Bullet1"/>
        <w:ind w:left="714" w:hanging="357"/>
      </w:pPr>
      <w:r w:rsidRPr="00A06549">
        <w:t>Aargard (2014) provides guidance on risk assessments for birds and mammals, based on the European Northern zone focal species relevant for the crop type and its growth stage. Biological background information on crop stage specific relevant focal species and available refinement options are presented.</w:t>
      </w:r>
    </w:p>
    <w:p w:rsidR="00B72640" w:rsidRPr="00A06549" w:rsidRDefault="00B72640" w:rsidP="00A06549">
      <w:pPr>
        <w:pStyle w:val="Bullet1"/>
        <w:ind w:left="714" w:hanging="357"/>
      </w:pPr>
      <w:r w:rsidRPr="00A06549">
        <w:t>Buxton et al. (1998) provides information on birds that occur in the agricultural environment in the UK and in particular their diet and breeding period. This publication can be used to help refine PD as outlined in EC (2002).</w:t>
      </w:r>
    </w:p>
    <w:p w:rsidR="00B72640" w:rsidRPr="00A06549" w:rsidRDefault="00B72640" w:rsidP="00A06549">
      <w:pPr>
        <w:pStyle w:val="Bullet1"/>
        <w:ind w:left="714" w:hanging="357"/>
      </w:pPr>
      <w:r w:rsidRPr="00A06549">
        <w:t>Crocker et al. (1998a) provides information on the behaviour of birds in UK orchards. In particular, it provides useful information on the time that birds spend in orchards and hence can be used to refine PT as outlined in EC (2002).</w:t>
      </w:r>
    </w:p>
    <w:p w:rsidR="00B72640" w:rsidRPr="00A06549" w:rsidRDefault="00B72640" w:rsidP="00A06549">
      <w:pPr>
        <w:pStyle w:val="Bullet1"/>
        <w:ind w:left="714" w:hanging="357"/>
      </w:pPr>
      <w:r w:rsidRPr="00A06549">
        <w:t>Finch et al. (2006) demonstrates how the proportion of diet obtained in treated areas by birds can be estimated from the recorded radio tracked ‘active time’ data and discussed the most appropriate percentile value for regulatory use in the current deterministic non-target bird risk assessment for pesticides.</w:t>
      </w:r>
    </w:p>
    <w:p w:rsidR="00B72640" w:rsidRPr="00A06549" w:rsidRDefault="00B72640" w:rsidP="00A06549">
      <w:pPr>
        <w:pStyle w:val="Bullet1"/>
        <w:ind w:left="714" w:hanging="357"/>
      </w:pPr>
      <w:r w:rsidRPr="00A06549">
        <w:t>Gurney et al. (1998) provides information on mammals that occur in the UK agricultural environment and in particular on their diet. This publication can be used to help refine PD as outlined in EC (2002).</w:t>
      </w:r>
    </w:p>
    <w:p w:rsidR="00B72640" w:rsidRPr="00A06549" w:rsidRDefault="00B72640" w:rsidP="00A06549">
      <w:pPr>
        <w:pStyle w:val="Bullet1"/>
        <w:ind w:left="714" w:hanging="357"/>
      </w:pPr>
      <w:r w:rsidRPr="00A06549">
        <w:lastRenderedPageBreak/>
        <w:t>Prosser (2010) contains listing of all the PT data from UK FERA’s previous projects in a single document. Modelled PT distributions have been fitted to these data to give more accurately calculated 90th, 95th or other percentile points from the distributions.</w:t>
      </w:r>
    </w:p>
    <w:p w:rsidR="00B72640" w:rsidRPr="00534232" w:rsidRDefault="00B72640" w:rsidP="00534232">
      <w:pPr>
        <w:pStyle w:val="NormalText"/>
        <w:rPr>
          <w:rStyle w:val="ATChar"/>
          <w:rFonts w:ascii="Calibri" w:hAnsi="Calibri" w:cs="Arial"/>
        </w:rPr>
      </w:pPr>
      <w:r w:rsidRPr="00534232">
        <w:rPr>
          <w:rStyle w:val="ATChar"/>
          <w:rFonts w:ascii="Calibri" w:hAnsi="Calibri" w:cs="Arial"/>
        </w:rPr>
        <w:t xml:space="preserve">For higher levels of assessment, it may be necessary to identify focal species for the specific crop(s) of concern. There </w:t>
      </w:r>
      <w:r w:rsidR="00C34B16">
        <w:rPr>
          <w:rStyle w:val="ATChar"/>
          <w:rFonts w:ascii="Calibri" w:hAnsi="Calibri" w:cs="Arial"/>
        </w:rPr>
        <w:t>are</w:t>
      </w:r>
      <w:r w:rsidRPr="00534232">
        <w:rPr>
          <w:rStyle w:val="ATChar"/>
          <w:rFonts w:ascii="Calibri" w:hAnsi="Calibri" w:cs="Arial"/>
        </w:rPr>
        <w:t xml:space="preserve"> no Australian-specific focal species identified to date; however, there are some European publications available that could be used to identify surrogate focal species for the same crops. Crocker and Irving (1999) highlights the type of work required to determine appropriate focal species, it also proposes several focal species for certain crops. Crocker et al. (1998b) summarises the influence of pesticide use, other aspects of husbandry and environmental factors on bird populations in orchards. Pascual et al. (1998) presents information on the occurrence of birds and mammals on arable fields in the UK.</w:t>
      </w:r>
    </w:p>
    <w:p w:rsidR="00B72640" w:rsidRPr="000178C7" w:rsidRDefault="00B72640" w:rsidP="00B72640">
      <w:pPr>
        <w:pStyle w:val="BodyText"/>
        <w:rPr>
          <w:rStyle w:val="ATChar"/>
          <w:rFonts w:ascii="Calibri" w:eastAsia="Trebuchet MS" w:hAnsi="Calibri" w:cs="Arial"/>
          <w:kern w:val="20"/>
          <w:sz w:val="22"/>
          <w:szCs w:val="22"/>
          <w:u w:color="000000"/>
          <w:lang w:val="en-AU"/>
        </w:rPr>
      </w:pPr>
      <w:r w:rsidRPr="000178C7">
        <w:rPr>
          <w:rStyle w:val="ATChar"/>
          <w:rFonts w:ascii="Calibri" w:eastAsia="Trebuchet MS" w:hAnsi="Calibri" w:cs="Arial"/>
          <w:kern w:val="20"/>
          <w:sz w:val="22"/>
          <w:szCs w:val="22"/>
          <w:u w:color="000000"/>
          <w:lang w:val="en-AU"/>
        </w:rPr>
        <w:t>For other refinement options:</w:t>
      </w:r>
    </w:p>
    <w:p w:rsidR="00B72640" w:rsidRPr="00A06549" w:rsidRDefault="00B72640" w:rsidP="00A06549">
      <w:pPr>
        <w:pStyle w:val="Bullet1"/>
        <w:ind w:left="714" w:hanging="357"/>
      </w:pPr>
      <w:r w:rsidRPr="00A06549">
        <w:t>Crocker et al. (2002) can be used to determine for appropriate food intake rates (FIRs).</w:t>
      </w:r>
    </w:p>
    <w:p w:rsidR="00B72640" w:rsidRPr="00A06549" w:rsidRDefault="00B72640" w:rsidP="00B06AAB">
      <w:pPr>
        <w:pStyle w:val="Bullet1"/>
        <w:ind w:left="714" w:hanging="357"/>
      </w:pPr>
      <w:r w:rsidRPr="00A06549">
        <w:t>Hart (2002) evaluated the feasibility of carrying probabilistic risk assessment. The report summarises several case studies and concludes that probabilistic risk assessment can be accommodated and could provide a significantly better basis for decision-making, if they are used appropriately.</w:t>
      </w:r>
    </w:p>
    <w:p w:rsidR="00B72640" w:rsidRPr="00534232" w:rsidRDefault="00B72640" w:rsidP="00534232">
      <w:pPr>
        <w:pStyle w:val="NormalText"/>
        <w:rPr>
          <w:rStyle w:val="ATChar"/>
          <w:rFonts w:ascii="Calibri" w:hAnsi="Calibri" w:cs="Arial"/>
        </w:rPr>
      </w:pPr>
      <w:r w:rsidRPr="00534232">
        <w:rPr>
          <w:rStyle w:val="ATChar"/>
          <w:rFonts w:ascii="Calibri" w:hAnsi="Calibri" w:cs="Arial"/>
        </w:rPr>
        <w:t>Any additional refinements are likely to need additional data, either specific data on the product to be assessed or generic data. Some information may be available already in the dossier or can be produced by literature searches, other data have to be generated by new studies. As it is desirable to minimise animal testing other options for refinement should be explored first, where possible. In any case the assumptions and input data in the refinement steps should be fully justified. It should be noted that refinement reduces the uncertainty and produces a more precise characterisation of the risk, but additional data do not necessarily result in a risk level which is lower than previously expected.</w:t>
      </w:r>
    </w:p>
    <w:p w:rsidR="00B72640" w:rsidRPr="00D92F37" w:rsidRDefault="00B72640" w:rsidP="00D92F37">
      <w:pPr>
        <w:pStyle w:val="Heading3"/>
        <w:ind w:left="900" w:hanging="900"/>
      </w:pPr>
      <w:bookmarkStart w:id="185" w:name="_Toc526432232"/>
      <w:r w:rsidRPr="00D92F37">
        <w:t>Home garden uses</w:t>
      </w:r>
      <w:bookmarkEnd w:id="185"/>
    </w:p>
    <w:p w:rsidR="00B72640" w:rsidRPr="00534232" w:rsidRDefault="00B72640" w:rsidP="00534232">
      <w:pPr>
        <w:pStyle w:val="NormalText"/>
        <w:rPr>
          <w:rStyle w:val="ATChar"/>
          <w:rFonts w:ascii="Calibri" w:hAnsi="Calibri" w:cs="Arial"/>
        </w:rPr>
      </w:pPr>
      <w:r w:rsidRPr="00534232">
        <w:rPr>
          <w:rStyle w:val="ATChar"/>
          <w:rFonts w:ascii="Calibri" w:hAnsi="Calibri" w:cs="Arial"/>
        </w:rPr>
        <w:t>Hart (1999) provides information on the occurrence and subsequent use of non-target organisms in the home garden and should be consulted when the risk from a home garden is assessed as it highlights key species as well as issues associated with residues.</w:t>
      </w:r>
    </w:p>
    <w:p w:rsidR="007E5F4F" w:rsidRDefault="007E5F4F" w:rsidP="00D92F37">
      <w:pPr>
        <w:pStyle w:val="Heading3"/>
        <w:ind w:left="900" w:hanging="900"/>
        <w:sectPr w:rsidR="007E5F4F" w:rsidSect="001A19FE">
          <w:endnotePr>
            <w:numFmt w:val="decimal"/>
          </w:endnotePr>
          <w:pgSz w:w="11906" w:h="16838" w:code="9"/>
          <w:pgMar w:top="2552" w:right="1134" w:bottom="1134" w:left="1134" w:header="1758" w:footer="680" w:gutter="0"/>
          <w:cols w:space="708"/>
          <w:docGrid w:linePitch="360"/>
        </w:sectPr>
      </w:pPr>
    </w:p>
    <w:p w:rsidR="00B72640" w:rsidRPr="00D92F37" w:rsidRDefault="00B72640" w:rsidP="00D92F37">
      <w:pPr>
        <w:pStyle w:val="Heading3"/>
        <w:ind w:left="900" w:hanging="900"/>
      </w:pPr>
      <w:bookmarkStart w:id="186" w:name="_Toc526432233"/>
      <w:r w:rsidRPr="00D92F37">
        <w:lastRenderedPageBreak/>
        <w:t>Seed treatments and solid formulations</w:t>
      </w:r>
      <w:bookmarkEnd w:id="186"/>
    </w:p>
    <w:p w:rsidR="00B72640" w:rsidRPr="00571890" w:rsidRDefault="00B72640" w:rsidP="00B72640">
      <w:pPr>
        <w:pStyle w:val="BodyText"/>
        <w:rPr>
          <w:i/>
          <w:sz w:val="22"/>
          <w:szCs w:val="22"/>
        </w:rPr>
      </w:pPr>
      <w:r w:rsidRPr="00571890">
        <w:rPr>
          <w:i/>
          <w:sz w:val="22"/>
          <w:szCs w:val="22"/>
        </w:rPr>
        <w:t>Granular products</w:t>
      </w:r>
    </w:p>
    <w:p w:rsidR="00B72640" w:rsidRPr="00534232" w:rsidRDefault="00B72640" w:rsidP="00534232">
      <w:pPr>
        <w:pStyle w:val="NormalText"/>
        <w:rPr>
          <w:rStyle w:val="ATChar"/>
          <w:rFonts w:ascii="Calibri" w:hAnsi="Calibri" w:cs="Arial"/>
        </w:rPr>
      </w:pPr>
      <w:r w:rsidRPr="00534232">
        <w:rPr>
          <w:rStyle w:val="ATChar"/>
          <w:rFonts w:ascii="Calibri" w:hAnsi="Calibri" w:cs="Arial"/>
        </w:rPr>
        <w:t>If granules are based on an organic carrier having a nutritional value then they may be taken by birds or mammals as food. In such cases exposure could be assessed in a similar way as for baits or treated seeds. Granules with an inorganic base could be ingested either incidentally as birds and mammals inevitably incorporate a certain amount of soil when gathering food or intentionally when birds search for grit. The tier 1 assessment followed the EFSA (2009) methodology considers the following scenarios:</w:t>
      </w:r>
    </w:p>
    <w:p w:rsidR="00B72640" w:rsidRPr="00A06549" w:rsidRDefault="00B72640" w:rsidP="00A06549">
      <w:pPr>
        <w:pStyle w:val="Bullet1"/>
        <w:ind w:left="714" w:hanging="357"/>
      </w:pPr>
      <w:r w:rsidRPr="00A06549">
        <w:t>Birds ingesting granules with/as grit (</w:t>
      </w:r>
      <w:r w:rsidR="004C688B">
        <w:fldChar w:fldCharType="begin"/>
      </w:r>
      <w:r w:rsidR="004C688B">
        <w:instrText xml:space="preserve"> REF _Ref522027558 \h </w:instrText>
      </w:r>
      <w:r w:rsidR="004C688B">
        <w:fldChar w:fldCharType="separate"/>
      </w:r>
      <w:r w:rsidR="00225D67" w:rsidRPr="009A4CFC">
        <w:t xml:space="preserve">Table </w:t>
      </w:r>
      <w:r w:rsidR="00225D67">
        <w:rPr>
          <w:noProof/>
        </w:rPr>
        <w:t>9</w:t>
      </w:r>
      <w:r w:rsidR="004C688B">
        <w:fldChar w:fldCharType="end"/>
      </w:r>
      <w:r w:rsidRPr="00A06549">
        <w:t>).</w:t>
      </w:r>
    </w:p>
    <w:p w:rsidR="00B72640" w:rsidRPr="00A06549" w:rsidRDefault="00B72640" w:rsidP="00A06549">
      <w:pPr>
        <w:pStyle w:val="Bullet1"/>
        <w:ind w:left="714" w:hanging="357"/>
      </w:pPr>
      <w:r w:rsidRPr="00A06549">
        <w:t>Birds ingesting granules when seeking seeds as food (</w:t>
      </w:r>
      <w:r w:rsidR="004C688B">
        <w:fldChar w:fldCharType="begin"/>
      </w:r>
      <w:r w:rsidR="004C688B">
        <w:instrText xml:space="preserve"> REF _Ref522027563 \h </w:instrText>
      </w:r>
      <w:r w:rsidR="004C688B">
        <w:fldChar w:fldCharType="separate"/>
      </w:r>
      <w:r w:rsidR="00225D67" w:rsidRPr="009A4CFC">
        <w:t xml:space="preserve">Table </w:t>
      </w:r>
      <w:r w:rsidR="00225D67">
        <w:rPr>
          <w:noProof/>
        </w:rPr>
        <w:t>10</w:t>
      </w:r>
      <w:r w:rsidR="004C688B">
        <w:fldChar w:fldCharType="end"/>
      </w:r>
      <w:r w:rsidRPr="00A06549">
        <w:t>).</w:t>
      </w:r>
    </w:p>
    <w:p w:rsidR="00B72640" w:rsidRPr="00A06549" w:rsidRDefault="00B72640" w:rsidP="00225D67">
      <w:pPr>
        <w:pStyle w:val="Bullet1"/>
        <w:ind w:left="714" w:hanging="357"/>
      </w:pPr>
      <w:r w:rsidRPr="00A06549">
        <w:t>Mammals and birds ingesting granules when eating soil-contaminated food (</w:t>
      </w:r>
      <w:r w:rsidR="00225D67">
        <w:fldChar w:fldCharType="begin"/>
      </w:r>
      <w:r w:rsidR="00225D67">
        <w:instrText xml:space="preserve"> REF _Ref528656877 \h </w:instrText>
      </w:r>
      <w:r w:rsidR="00225D67">
        <w:fldChar w:fldCharType="separate"/>
      </w:r>
      <w:r w:rsidR="00225D67" w:rsidRPr="009A4CFC">
        <w:t xml:space="preserve">Table </w:t>
      </w:r>
      <w:r w:rsidR="00225D67">
        <w:rPr>
          <w:noProof/>
        </w:rPr>
        <w:t>11</w:t>
      </w:r>
      <w:r w:rsidR="00225D67">
        <w:fldChar w:fldCharType="end"/>
      </w:r>
      <w:r w:rsidR="00225D67">
        <w:t>).</w:t>
      </w:r>
    </w:p>
    <w:p w:rsidR="00B72640" w:rsidRPr="00571890" w:rsidRDefault="00B72640" w:rsidP="00B72640">
      <w:pPr>
        <w:pStyle w:val="BodyText"/>
        <w:rPr>
          <w:i/>
          <w:sz w:val="22"/>
          <w:szCs w:val="22"/>
        </w:rPr>
      </w:pPr>
      <w:r w:rsidRPr="00571890">
        <w:rPr>
          <w:i/>
          <w:sz w:val="22"/>
          <w:szCs w:val="22"/>
        </w:rPr>
        <w:t>Seed treatments</w:t>
      </w:r>
    </w:p>
    <w:p w:rsidR="00B72640" w:rsidRPr="00534232" w:rsidRDefault="00B72640" w:rsidP="00534232">
      <w:pPr>
        <w:pStyle w:val="NormalText"/>
        <w:rPr>
          <w:rStyle w:val="ATChar"/>
          <w:rFonts w:ascii="Calibri" w:hAnsi="Calibri" w:cs="Arial"/>
        </w:rPr>
      </w:pPr>
      <w:r w:rsidRPr="00534232">
        <w:rPr>
          <w:rStyle w:val="ATChar"/>
          <w:rFonts w:ascii="Calibri" w:hAnsi="Calibri" w:cs="Arial"/>
        </w:rPr>
        <w:t xml:space="preserve">The Tier 1 assessment according to EFSA (2009) assumes that granivorous mammals and birds feed entirely on readily available, freshly treated seeds (100% of diet) assuming no incorporation into the soil (Table X). Herbivorous and insectivorous mammals and birds are not considered to be attracted to fields immediately after treated seed has been drilled. </w:t>
      </w:r>
    </w:p>
    <w:p w:rsidR="00B72640" w:rsidRPr="00534232" w:rsidRDefault="00B72640" w:rsidP="00534232">
      <w:pPr>
        <w:pStyle w:val="NormalText"/>
        <w:rPr>
          <w:rStyle w:val="ATChar"/>
          <w:rFonts w:ascii="Calibri" w:hAnsi="Calibri" w:cs="Arial"/>
        </w:rPr>
      </w:pPr>
      <w:r w:rsidRPr="00534232">
        <w:rPr>
          <w:rStyle w:val="ATChar"/>
          <w:rFonts w:ascii="Calibri" w:hAnsi="Calibri" w:cs="Arial"/>
        </w:rPr>
        <w:t xml:space="preserve">In general, granivorous mammals and birds prefer a certain type of seed for their diet. Not all birds are attracted to all sizes and shapes of seeds. Therefore, in a Tier 1 assessment, small granivorous birds that feed on small seeds and larger medium-sized birds that feed on large seeds (such as maize, sugar beets and beans) are considered separately. A small omnivorous mammal is the indicator species for mammals, regardless of the seed size. </w:t>
      </w:r>
    </w:p>
    <w:p w:rsidR="00B72640" w:rsidRPr="007209D6" w:rsidRDefault="00B72640" w:rsidP="00B72640">
      <w:pPr>
        <w:pStyle w:val="BodyText"/>
        <w:rPr>
          <w:i/>
          <w:sz w:val="22"/>
          <w:szCs w:val="22"/>
        </w:rPr>
      </w:pPr>
      <w:r w:rsidRPr="007209D6">
        <w:rPr>
          <w:i/>
          <w:sz w:val="22"/>
          <w:szCs w:val="22"/>
        </w:rPr>
        <w:t>Slug pellets</w:t>
      </w:r>
    </w:p>
    <w:p w:rsidR="00B72640" w:rsidRPr="00534232" w:rsidRDefault="00B72640" w:rsidP="00534232">
      <w:pPr>
        <w:pStyle w:val="NormalText"/>
        <w:rPr>
          <w:rStyle w:val="ATChar"/>
          <w:rFonts w:ascii="Calibri" w:hAnsi="Calibri" w:cs="Arial"/>
        </w:rPr>
      </w:pPr>
      <w:r w:rsidRPr="00534232">
        <w:rPr>
          <w:rStyle w:val="ATChar"/>
          <w:rFonts w:ascii="Calibri" w:hAnsi="Calibri" w:cs="Arial"/>
        </w:rPr>
        <w:t>Slug pellets are based on organic material and thus have a nutritional value for mammals and birds. It is known that small rodents like wood mice as well as granivorous birds ingest slug pellets if available (birds may take them as feed or as grit). As a starting point it could be assumed that animals feed exclusively on pellets. Suitable indicator species are the granivorous bird and the granivorous mammal from the standard scenarios. If a risk is indicated then palatability studies would be the most logical way to proceed because experience has shown that the attractivity of the pellets usually is limited. The pellets are coloured, and that feature among others may deter birds to a certain degree (EC 2002). Palatability studies should be conducted with the formulated product.</w:t>
      </w:r>
    </w:p>
    <w:p w:rsidR="007E5F4F" w:rsidRDefault="007E5F4F" w:rsidP="00B72640">
      <w:pPr>
        <w:pStyle w:val="BodyText"/>
        <w:rPr>
          <w:i/>
          <w:sz w:val="22"/>
          <w:szCs w:val="22"/>
        </w:rPr>
        <w:sectPr w:rsidR="007E5F4F" w:rsidSect="001A19FE">
          <w:endnotePr>
            <w:numFmt w:val="decimal"/>
          </w:endnotePr>
          <w:pgSz w:w="11906" w:h="16838" w:code="9"/>
          <w:pgMar w:top="2552" w:right="1134" w:bottom="1134" w:left="1134" w:header="1758" w:footer="680" w:gutter="0"/>
          <w:cols w:space="708"/>
          <w:docGrid w:linePitch="360"/>
        </w:sectPr>
      </w:pPr>
    </w:p>
    <w:p w:rsidR="00B72640" w:rsidRPr="007209D6" w:rsidRDefault="00B72640" w:rsidP="00B72640">
      <w:pPr>
        <w:pStyle w:val="BodyText"/>
        <w:rPr>
          <w:i/>
          <w:sz w:val="22"/>
          <w:szCs w:val="22"/>
        </w:rPr>
      </w:pPr>
      <w:r w:rsidRPr="007209D6">
        <w:rPr>
          <w:i/>
          <w:sz w:val="22"/>
          <w:szCs w:val="22"/>
        </w:rPr>
        <w:lastRenderedPageBreak/>
        <w:t>Foraged area of concern</w:t>
      </w:r>
    </w:p>
    <w:p w:rsidR="00B72640" w:rsidRPr="00534232" w:rsidRDefault="00B72640" w:rsidP="00534232">
      <w:pPr>
        <w:pStyle w:val="NormalText"/>
        <w:rPr>
          <w:rStyle w:val="ATChar"/>
          <w:rFonts w:ascii="Calibri" w:hAnsi="Calibri" w:cs="Arial"/>
        </w:rPr>
      </w:pPr>
      <w:r w:rsidRPr="00534232">
        <w:rPr>
          <w:rStyle w:val="ATChar"/>
          <w:rFonts w:ascii="Calibri" w:hAnsi="Calibri" w:cs="Arial"/>
        </w:rPr>
        <w:t xml:space="preserve">USEPA (2016) provides guidance to refine the assessment based on the ‘forage area of concern’. The ‘foraged area of concern’ represents the amount of area the target species would have to cover to consume enough pesticide to exceed the RAC. This area is based on the minimum number of seeds that would trigger a risk concern, the seeding rate and the fraction of seeds incorporated in planting. This area that a species would have to cover to consume sufficient pesticide to trigger a risk concern is then compared to the home range of the species. If the area of concern is larger than the home range, then the likelihood that the animal is able to consume enough seeds to trigger a risk concern is low. If the area is within the home range of the animal, then there is a potential for exceeding the RAC. </w:t>
      </w:r>
    </w:p>
    <w:p w:rsidR="00B72640" w:rsidRPr="00534232" w:rsidRDefault="00B72640" w:rsidP="00534232">
      <w:pPr>
        <w:pStyle w:val="NormalText"/>
        <w:rPr>
          <w:rStyle w:val="ATChar"/>
          <w:rFonts w:ascii="Calibri" w:hAnsi="Calibri" w:cs="Arial"/>
        </w:rPr>
      </w:pPr>
      <w:r w:rsidRPr="00534232">
        <w:rPr>
          <w:rStyle w:val="ATChar"/>
          <w:rFonts w:ascii="Calibri" w:hAnsi="Calibri" w:cs="Arial"/>
        </w:rPr>
        <w:t>The ‘foraged area of concern’ analysis relies on the following assumptions: 1) birds/mammals have a spatial limit to the area over which they can feed; 2) there is a finite limit of available seed in a given unit area; 3) there is a limit to the ability of a bird/mammal to glean bioavailable seed from a given unit area; and 4) the foraged area cannot exceed the home range of an individual animal (ie, if an animal must exceed its home range to acquire a lethal dose, the likelihood of that event is considered remote).</w:t>
      </w:r>
    </w:p>
    <w:p w:rsidR="00B72640" w:rsidRPr="004A3B41" w:rsidRDefault="00B72640" w:rsidP="00B72640">
      <w:pPr>
        <w:pStyle w:val="BodyText"/>
        <w:rPr>
          <w:i/>
          <w:sz w:val="22"/>
          <w:szCs w:val="22"/>
        </w:rPr>
      </w:pPr>
      <w:r w:rsidRPr="004A3B41">
        <w:rPr>
          <w:i/>
          <w:sz w:val="22"/>
          <w:szCs w:val="22"/>
        </w:rPr>
        <w:t>Forage time to concern</w:t>
      </w:r>
    </w:p>
    <w:p w:rsidR="00B72640" w:rsidRPr="00534232" w:rsidRDefault="00B72640" w:rsidP="00534232">
      <w:pPr>
        <w:pStyle w:val="NormalText"/>
        <w:rPr>
          <w:rStyle w:val="ATChar"/>
          <w:rFonts w:ascii="Calibri" w:hAnsi="Calibri" w:cs="Arial"/>
        </w:rPr>
      </w:pPr>
      <w:r w:rsidRPr="00534232">
        <w:rPr>
          <w:rStyle w:val="ATChar"/>
          <w:rFonts w:ascii="Calibri" w:hAnsi="Calibri" w:cs="Arial"/>
        </w:rPr>
        <w:t xml:space="preserve">The ‘forage time to concern’ is the length of time that an individual animal would need to spend eating treated seeds to receive the daily dose of pesticide that would equal the RAC. For birds, this time is principally determined by the seed consumption rate (ie, the number of seeds that can be consumed in a given length of time). The ‘forage time to concern’ is compared to the total time of daylight within a day to determine if consuming that number of seeds within one day is feasible. </w:t>
      </w:r>
    </w:p>
    <w:p w:rsidR="00B72640" w:rsidRPr="00534232" w:rsidRDefault="00B72640" w:rsidP="00534232">
      <w:pPr>
        <w:pStyle w:val="NormalText"/>
        <w:rPr>
          <w:rStyle w:val="ATChar"/>
          <w:rFonts w:ascii="Calibri" w:hAnsi="Calibri" w:cs="Arial"/>
        </w:rPr>
      </w:pPr>
      <w:r w:rsidRPr="00534232">
        <w:rPr>
          <w:rStyle w:val="ATChar"/>
          <w:rFonts w:ascii="Calibri" w:hAnsi="Calibri" w:cs="Arial"/>
        </w:rPr>
        <w:t>There is limited information on the individual seed consumption rate with the majority of the data focusing on mass of seed consumed rather than number of seeds. USEPA (2016) lists species specific seed handling times for five surrogate sparrows and finches based on the data from Benkman and Pulliam (1988). The analysis considers only species that can potentially consume treated seed of a particular size. The indicator species identified by USEPA (2016) are used as surrogate species for Australian birds of a similar size and feeding habits.</w:t>
      </w:r>
    </w:p>
    <w:p w:rsidR="00B72640" w:rsidRPr="00571890" w:rsidRDefault="00B72640" w:rsidP="00B72640">
      <w:pPr>
        <w:pStyle w:val="BodyText"/>
        <w:rPr>
          <w:i/>
          <w:sz w:val="22"/>
          <w:szCs w:val="22"/>
        </w:rPr>
      </w:pPr>
      <w:r>
        <w:rPr>
          <w:i/>
          <w:sz w:val="22"/>
          <w:szCs w:val="22"/>
        </w:rPr>
        <w:t>Other r</w:t>
      </w:r>
      <w:r w:rsidRPr="00571890">
        <w:rPr>
          <w:i/>
          <w:sz w:val="22"/>
          <w:szCs w:val="22"/>
        </w:rPr>
        <w:t>efinement options</w:t>
      </w:r>
    </w:p>
    <w:p w:rsidR="00B72640" w:rsidRPr="00534232" w:rsidRDefault="00B72640" w:rsidP="00534232">
      <w:pPr>
        <w:pStyle w:val="NormalText"/>
        <w:rPr>
          <w:rStyle w:val="ATChar"/>
          <w:rFonts w:ascii="Calibri" w:hAnsi="Calibri" w:cs="Arial"/>
        </w:rPr>
      </w:pPr>
      <w:r w:rsidRPr="00534232">
        <w:rPr>
          <w:rStyle w:val="ATChar"/>
          <w:rFonts w:ascii="Calibri" w:hAnsi="Calibri" w:cs="Arial"/>
        </w:rPr>
        <w:t>Fryday et al. (1999) and (2001) provide useful information on the design of avoidance studies. These two reports should be consulted if an applicant is considering carrying out an avoidance study, or is assessing the risk to birds or mammals from a solid formulation.</w:t>
      </w:r>
    </w:p>
    <w:p w:rsidR="00B72640" w:rsidRPr="00534232" w:rsidRDefault="00B72640" w:rsidP="00534232">
      <w:pPr>
        <w:pStyle w:val="NormalText"/>
        <w:rPr>
          <w:rStyle w:val="ATChar"/>
          <w:rFonts w:ascii="Calibri" w:hAnsi="Calibri" w:cs="Arial"/>
        </w:rPr>
      </w:pPr>
      <w:r w:rsidRPr="00534232">
        <w:rPr>
          <w:rStyle w:val="ATChar"/>
          <w:rFonts w:ascii="Calibri" w:hAnsi="Calibri" w:cs="Arial"/>
        </w:rPr>
        <w:t>In the case of seed eating birds and mammals dehusking may reduce exposure. Regardless, whether seed treatment is the intended use of the product or weed seeds are contaminated during spraying, the substance will be mainly on the husk and therefore dehusking can remove the majority of the residue. This reduction can be as high as 85 % (EC 2002). Small birds are more likely to dehusk seeds than large birds, but it depends on the kind of seed, and even when dehusking occurs, only a proportion of seeds are dehusked. Prosser (1999) provides useful information on what seed is consumed by what bird.</w:t>
      </w:r>
    </w:p>
    <w:p w:rsidR="00B72640" w:rsidRPr="00D92F37" w:rsidRDefault="00B72640" w:rsidP="00D92F37">
      <w:pPr>
        <w:pStyle w:val="Heading3"/>
        <w:ind w:left="900" w:hanging="900"/>
      </w:pPr>
      <w:bookmarkStart w:id="187" w:name="_Toc526432234"/>
      <w:r w:rsidRPr="00D92F37">
        <w:lastRenderedPageBreak/>
        <w:t>Rodenticides</w:t>
      </w:r>
      <w:bookmarkEnd w:id="187"/>
    </w:p>
    <w:p w:rsidR="00B72640" w:rsidRPr="00534232" w:rsidRDefault="00B72640" w:rsidP="00534232">
      <w:pPr>
        <w:pStyle w:val="NormalText"/>
        <w:rPr>
          <w:rStyle w:val="ATChar"/>
          <w:rFonts w:ascii="Calibri" w:hAnsi="Calibri" w:cs="Arial"/>
        </w:rPr>
      </w:pPr>
      <w:r w:rsidRPr="00534232">
        <w:rPr>
          <w:rStyle w:val="ATChar"/>
          <w:rFonts w:ascii="Calibri" w:hAnsi="Calibri" w:cs="Arial"/>
        </w:rPr>
        <w:t>Rodenticides are inevitably toxic to mammals and birds, thus the risk assessment usually is a challenging task (EC 2002). Most rodenticides are anticoagulants which are far more toxic if consumed repeatedly over several days compared to a single dosing making a short-term assessment more relevant than the acute assessment. Especially for mammals it may be necessary to take into account other toxicity figures tha</w:t>
      </w:r>
      <w:r w:rsidR="00A8423E">
        <w:rPr>
          <w:rStyle w:val="ATChar"/>
          <w:rFonts w:ascii="Calibri" w:hAnsi="Calibri" w:cs="Arial"/>
        </w:rPr>
        <w:t>n in the standard assessment, eg</w:t>
      </w:r>
      <w:r w:rsidRPr="00534232">
        <w:rPr>
          <w:rStyle w:val="ATChar"/>
          <w:rFonts w:ascii="Calibri" w:hAnsi="Calibri" w:cs="Arial"/>
        </w:rPr>
        <w:t xml:space="preserve"> a five-day LD50 which often is carried out for such substances.</w:t>
      </w:r>
    </w:p>
    <w:p w:rsidR="00B72640" w:rsidRPr="00A347F4" w:rsidRDefault="00B72640" w:rsidP="00B72640">
      <w:pPr>
        <w:pStyle w:val="BodyText"/>
        <w:rPr>
          <w:i/>
          <w:sz w:val="22"/>
          <w:szCs w:val="22"/>
        </w:rPr>
      </w:pPr>
      <w:r w:rsidRPr="00A347F4">
        <w:rPr>
          <w:i/>
          <w:sz w:val="22"/>
          <w:szCs w:val="22"/>
        </w:rPr>
        <w:t>Primary poisoning</w:t>
      </w:r>
    </w:p>
    <w:p w:rsidR="00B72640" w:rsidRPr="00534232" w:rsidRDefault="00B72640" w:rsidP="00534232">
      <w:pPr>
        <w:pStyle w:val="NormalText"/>
        <w:rPr>
          <w:rStyle w:val="ATChar"/>
          <w:rFonts w:ascii="Calibri" w:hAnsi="Calibri" w:cs="Arial"/>
        </w:rPr>
      </w:pPr>
      <w:r w:rsidRPr="00534232">
        <w:rPr>
          <w:rStyle w:val="ATChar"/>
          <w:rFonts w:ascii="Calibri" w:hAnsi="Calibri" w:cs="Arial"/>
        </w:rPr>
        <w:t>Rodenticidal baits consist of cereals, grease or wax; therefore direct exposure is relevant mainly for rodents and seed eating birds. As rodenticides inevitably are toxic to non-target species an exposure assessment that is based on exclusive feeding on the bait will always come to the conclusion of potential risk. Two refinement steps are obvious:</w:t>
      </w:r>
    </w:p>
    <w:p w:rsidR="00B72640" w:rsidRPr="00A06549" w:rsidRDefault="00B72640" w:rsidP="00A06549">
      <w:pPr>
        <w:pStyle w:val="Bullet1"/>
        <w:ind w:left="714" w:hanging="357"/>
      </w:pPr>
      <w:r w:rsidRPr="00A06549">
        <w:t>Consider accessibility of baits. Accessibility might be reduced by requiring appropriate use instructions to be put on the label.</w:t>
      </w:r>
    </w:p>
    <w:p w:rsidR="00B72640" w:rsidRPr="00A06549" w:rsidRDefault="00B72640" w:rsidP="00A06549">
      <w:pPr>
        <w:pStyle w:val="Bullet1"/>
        <w:numPr>
          <w:ilvl w:val="1"/>
          <w:numId w:val="6"/>
        </w:numPr>
      </w:pPr>
      <w:r w:rsidRPr="00A06549">
        <w:t xml:space="preserve">Baits placed in rooms or other enclosed spaces usually are inaccessible </w:t>
      </w:r>
    </w:p>
    <w:p w:rsidR="00B72640" w:rsidRPr="00A06549" w:rsidRDefault="00B72640" w:rsidP="00A06549">
      <w:pPr>
        <w:pStyle w:val="Bullet1"/>
        <w:numPr>
          <w:ilvl w:val="1"/>
          <w:numId w:val="6"/>
        </w:numPr>
      </w:pPr>
      <w:r w:rsidRPr="00A06549">
        <w:t>Baits placed in bait stations or are covered in some other way are fairly inaccessible to non-target species; occasionally small birds might have access to the bait if the quality of the cover is poor.</w:t>
      </w:r>
    </w:p>
    <w:p w:rsidR="00B72640" w:rsidRPr="00A06549" w:rsidRDefault="00B72640" w:rsidP="00A06549">
      <w:pPr>
        <w:pStyle w:val="Bullet1"/>
        <w:numPr>
          <w:ilvl w:val="1"/>
          <w:numId w:val="6"/>
        </w:numPr>
      </w:pPr>
      <w:r w:rsidRPr="00A06549">
        <w:t>Baits placed sub-surface (burrow-baiting) are inaccessible to almost all non-target animals. The burrows of common voles or water voles are usually not used by other rodents.</w:t>
      </w:r>
    </w:p>
    <w:p w:rsidR="00B72640" w:rsidRPr="00A06549" w:rsidRDefault="00B72640" w:rsidP="00A06549">
      <w:pPr>
        <w:pStyle w:val="Bullet1"/>
        <w:numPr>
          <w:ilvl w:val="1"/>
          <w:numId w:val="6"/>
        </w:numPr>
      </w:pPr>
      <w:r w:rsidRPr="00A06549">
        <w:t>Baits spread on surface are accessible to many non-target species depending on factors such as kind and height of vegetation.</w:t>
      </w:r>
    </w:p>
    <w:p w:rsidR="00B72640" w:rsidRPr="00A06549" w:rsidRDefault="00B72640" w:rsidP="00A06549">
      <w:pPr>
        <w:pStyle w:val="Bullet1"/>
        <w:ind w:left="714" w:hanging="357"/>
      </w:pPr>
      <w:r w:rsidRPr="00A06549">
        <w:t>Consider attractivity: Rodenticidal baits are designed to be attractive for rodents, so avoidance should not be expected. Often a bitter agent is added which repels children and carnivores but is unable to deter non-target rodents and birds. Nevertheless, the bait could be unattractive to birds to a certain degree due to colour, consistency and other factors, but that has to be tested before avoidance can be considered in the exposure estimate. Such tests could be conducted with a dummy formulation (which contains no active substance but is equal in all other features).</w:t>
      </w:r>
    </w:p>
    <w:p w:rsidR="007E5F4F" w:rsidRDefault="007E5F4F" w:rsidP="00B72640">
      <w:pPr>
        <w:pStyle w:val="BodyText"/>
        <w:rPr>
          <w:i/>
          <w:sz w:val="22"/>
          <w:szCs w:val="22"/>
        </w:rPr>
        <w:sectPr w:rsidR="007E5F4F" w:rsidSect="001A19FE">
          <w:endnotePr>
            <w:numFmt w:val="decimal"/>
          </w:endnotePr>
          <w:pgSz w:w="11906" w:h="16838" w:code="9"/>
          <w:pgMar w:top="2552" w:right="1134" w:bottom="1134" w:left="1134" w:header="1758" w:footer="680" w:gutter="0"/>
          <w:cols w:space="708"/>
          <w:docGrid w:linePitch="360"/>
        </w:sectPr>
      </w:pPr>
    </w:p>
    <w:p w:rsidR="00B72640" w:rsidRPr="009F6CEC" w:rsidRDefault="00B72640" w:rsidP="00B72640">
      <w:pPr>
        <w:pStyle w:val="BodyText"/>
        <w:rPr>
          <w:i/>
          <w:sz w:val="22"/>
          <w:szCs w:val="22"/>
        </w:rPr>
      </w:pPr>
      <w:r w:rsidRPr="009F6CEC">
        <w:rPr>
          <w:i/>
          <w:sz w:val="22"/>
          <w:szCs w:val="22"/>
        </w:rPr>
        <w:lastRenderedPageBreak/>
        <w:t>Secondary poisoning</w:t>
      </w:r>
    </w:p>
    <w:p w:rsidR="00B72640" w:rsidRPr="00534232" w:rsidRDefault="00B72640" w:rsidP="00534232">
      <w:pPr>
        <w:pStyle w:val="NormalText"/>
        <w:rPr>
          <w:rStyle w:val="ATChar"/>
          <w:rFonts w:ascii="Calibri" w:hAnsi="Calibri" w:cs="Arial"/>
        </w:rPr>
      </w:pPr>
      <w:r w:rsidRPr="00534232">
        <w:rPr>
          <w:rStyle w:val="ATChar"/>
          <w:rFonts w:ascii="Calibri" w:hAnsi="Calibri" w:cs="Arial"/>
        </w:rPr>
        <w:t>Indirect exposure (secondary poisoning) can only be ruled out completely when the rodenticide is used in fully enclosed spaces so that rodents cannot move to outdoor areas. For other situations a risk assessment for avian and mammalian predators and scavengers is necessary. In order to estimate the exposure quantitatively a model calculation could be conducted based on a nominal concentration of the active substance in/on bait, bait uptake rate of target rodent, and estimated time to death of target rodent. However, such an estimate usually is unrealistically high as no elimination is assumed. Fortunately, in nearly all cases measured residues in rodents are available from different sources (special laboratory studies, secondary poisoning studies, monitoring of rodent control operations). For the purpose of exposure assessment whole body residues are relevant (not liver residues). If a risk is indicated the following options for refinement are possible:</w:t>
      </w:r>
    </w:p>
    <w:p w:rsidR="00B72640" w:rsidRPr="00A06549" w:rsidRDefault="00B72640" w:rsidP="00A06549">
      <w:pPr>
        <w:pStyle w:val="Bullet1"/>
        <w:ind w:left="714" w:hanging="357"/>
      </w:pPr>
      <w:r w:rsidRPr="00A06549">
        <w:t>Evaluate secondary poisoning studies which are already available for current rodenticides (Joermann 1998, EPPO 1995).</w:t>
      </w:r>
    </w:p>
    <w:p w:rsidR="00B72640" w:rsidRPr="00A06549" w:rsidRDefault="00B72640" w:rsidP="00A06549">
      <w:pPr>
        <w:pStyle w:val="Bullet1"/>
        <w:ind w:left="714" w:hanging="357"/>
      </w:pPr>
      <w:r w:rsidRPr="00A06549">
        <w:t>Improve estimate of proportion of target rodent in the diet of predators; suitable information might already be available from literature on feeding ecology; otherwise data could be generated using a marker in the bait.</w:t>
      </w:r>
    </w:p>
    <w:p w:rsidR="00B72640" w:rsidRPr="00A06549" w:rsidRDefault="00B72640" w:rsidP="00A06549">
      <w:pPr>
        <w:pStyle w:val="Bullet1"/>
        <w:ind w:left="714" w:hanging="357"/>
      </w:pPr>
      <w:r w:rsidRPr="00A06549">
        <w:t>Field studies, monitoring.</w:t>
      </w:r>
    </w:p>
    <w:p w:rsidR="00B72640" w:rsidRPr="008A6F26" w:rsidRDefault="00B72640" w:rsidP="00B72640">
      <w:pPr>
        <w:pStyle w:val="BodyText"/>
        <w:rPr>
          <w:i/>
          <w:sz w:val="22"/>
          <w:szCs w:val="22"/>
        </w:rPr>
      </w:pPr>
      <w:r w:rsidRPr="008A6F26">
        <w:rPr>
          <w:i/>
          <w:sz w:val="22"/>
          <w:szCs w:val="22"/>
        </w:rPr>
        <w:t>Exposure scenarios</w:t>
      </w:r>
    </w:p>
    <w:p w:rsidR="00B72640" w:rsidRPr="00534232" w:rsidRDefault="00B72640" w:rsidP="00534232">
      <w:pPr>
        <w:pStyle w:val="NormalText"/>
        <w:rPr>
          <w:rStyle w:val="ATChar"/>
          <w:rFonts w:ascii="Calibri" w:hAnsi="Calibri" w:cs="Arial"/>
        </w:rPr>
      </w:pPr>
      <w:r w:rsidRPr="00534232">
        <w:rPr>
          <w:rStyle w:val="ATChar"/>
          <w:rFonts w:ascii="Calibri" w:hAnsi="Calibri" w:cs="Arial"/>
        </w:rPr>
        <w:t>In addition to primary and secondary poisoning, EUBEES (2003a) has developed environmental exposure scenarios for the following situations:</w:t>
      </w:r>
    </w:p>
    <w:p w:rsidR="00B72640" w:rsidRPr="00A06549" w:rsidRDefault="007E5F4F" w:rsidP="00A06549">
      <w:pPr>
        <w:pStyle w:val="Bullet1"/>
        <w:ind w:left="714" w:hanging="357"/>
      </w:pPr>
      <w:r>
        <w:t>s</w:t>
      </w:r>
      <w:r w:rsidR="00B72640" w:rsidRPr="00A06549">
        <w:t>ewer systems</w:t>
      </w:r>
    </w:p>
    <w:p w:rsidR="00B72640" w:rsidRPr="00A06549" w:rsidRDefault="007E5F4F" w:rsidP="00A06549">
      <w:pPr>
        <w:pStyle w:val="Bullet1"/>
        <w:ind w:left="714" w:hanging="357"/>
      </w:pPr>
      <w:r>
        <w:t>i</w:t>
      </w:r>
      <w:r w:rsidR="00B72640" w:rsidRPr="00A06549">
        <w:t>n and around buildings</w:t>
      </w:r>
    </w:p>
    <w:p w:rsidR="00B72640" w:rsidRPr="00A06549" w:rsidRDefault="007E5F4F" w:rsidP="00A06549">
      <w:pPr>
        <w:pStyle w:val="Bullet1"/>
        <w:ind w:left="714" w:hanging="357"/>
      </w:pPr>
      <w:r>
        <w:t>o</w:t>
      </w:r>
      <w:r w:rsidR="00B72640" w:rsidRPr="00A06549">
        <w:t>pen areas</w:t>
      </w:r>
    </w:p>
    <w:p w:rsidR="00B72640" w:rsidRPr="00A06549" w:rsidRDefault="007E5F4F" w:rsidP="00A06549">
      <w:pPr>
        <w:pStyle w:val="Bullet1"/>
        <w:ind w:left="714" w:hanging="357"/>
      </w:pPr>
      <w:r>
        <w:t>w</w:t>
      </w:r>
      <w:r w:rsidR="00B72640" w:rsidRPr="00A06549">
        <w:t>aste dumps</w:t>
      </w:r>
    </w:p>
    <w:p w:rsidR="00B72640" w:rsidRPr="00D92F37" w:rsidRDefault="00B72640" w:rsidP="00D92F37">
      <w:pPr>
        <w:pStyle w:val="Heading3"/>
        <w:ind w:left="900" w:hanging="900"/>
      </w:pPr>
      <w:bookmarkStart w:id="188" w:name="_Toc526432235"/>
      <w:r w:rsidRPr="00D92F37">
        <w:t>Avicides</w:t>
      </w:r>
      <w:bookmarkEnd w:id="188"/>
    </w:p>
    <w:p w:rsidR="00B72640" w:rsidRPr="00534232" w:rsidRDefault="00B72640" w:rsidP="00534232">
      <w:pPr>
        <w:pStyle w:val="NormalText"/>
        <w:rPr>
          <w:rStyle w:val="ATChar"/>
          <w:rFonts w:ascii="Calibri" w:hAnsi="Calibri" w:cs="Arial"/>
        </w:rPr>
      </w:pPr>
      <w:r w:rsidRPr="00534232">
        <w:rPr>
          <w:rStyle w:val="ATChar"/>
          <w:rFonts w:ascii="Calibri" w:hAnsi="Calibri" w:cs="Arial"/>
        </w:rPr>
        <w:t xml:space="preserve">Non-target vertebrates are exposed to avicides primarily through consumption of treated food and secondarily from consumption of poisoned birds. EUBEES (2003b) has developed exposure scenarios with respect to uptake by non-target vertebrates. </w:t>
      </w:r>
    </w:p>
    <w:p w:rsidR="007E5F4F" w:rsidRDefault="007E5F4F" w:rsidP="00B72640">
      <w:pPr>
        <w:pStyle w:val="Heading2"/>
        <w:ind w:left="851" w:hanging="851"/>
        <w:sectPr w:rsidR="007E5F4F" w:rsidSect="001A19FE">
          <w:endnotePr>
            <w:numFmt w:val="decimal"/>
          </w:endnotePr>
          <w:pgSz w:w="11906" w:h="16838" w:code="9"/>
          <w:pgMar w:top="2552" w:right="1134" w:bottom="1134" w:left="1134" w:header="1758" w:footer="680" w:gutter="0"/>
          <w:cols w:space="708"/>
          <w:docGrid w:linePitch="360"/>
        </w:sectPr>
      </w:pPr>
    </w:p>
    <w:p w:rsidR="00B72640" w:rsidRPr="00B72640" w:rsidRDefault="00B72640" w:rsidP="00B72640">
      <w:pPr>
        <w:pStyle w:val="Heading2"/>
        <w:ind w:left="851" w:hanging="851"/>
      </w:pPr>
      <w:bookmarkStart w:id="189" w:name="_Toc526432236"/>
      <w:r w:rsidRPr="00B72640">
        <w:lastRenderedPageBreak/>
        <w:t>Combination toxicity</w:t>
      </w:r>
      <w:bookmarkEnd w:id="189"/>
    </w:p>
    <w:p w:rsidR="00B72640" w:rsidRPr="00534232" w:rsidRDefault="00B72640" w:rsidP="00534232">
      <w:pPr>
        <w:pStyle w:val="NormalText"/>
        <w:rPr>
          <w:rStyle w:val="ATChar"/>
          <w:rFonts w:ascii="Calibri" w:hAnsi="Calibri" w:cs="Arial"/>
        </w:rPr>
      </w:pPr>
      <w:r w:rsidRPr="00534232">
        <w:rPr>
          <w:rStyle w:val="ATChar"/>
          <w:rFonts w:ascii="Calibri" w:hAnsi="Calibri" w:cs="Arial"/>
        </w:rPr>
        <w:t>Terrestrial vertebrates could be directly exposed to combined residues if oversprayed food sources are consumed immediately after application. Short-term risks are determined following direct exposure to combined residues immediately after application. In the absence of formulation toxicity data, combination toxicity is estimated assuming additive toxicity for organisms which are sensitive to at least two of the constituents in the mixture. If one active substance drives the overall toxicity (≥ 90%), then it is concluded that the toxicity is driven by the active constituent and additive toxicity is not considered further.</w:t>
      </w:r>
    </w:p>
    <w:p w:rsidR="00B72640" w:rsidRPr="00534232" w:rsidRDefault="00B72640" w:rsidP="00534232">
      <w:pPr>
        <w:pStyle w:val="NormalText"/>
        <w:rPr>
          <w:rStyle w:val="ATChar"/>
          <w:rFonts w:ascii="Calibri" w:hAnsi="Calibri" w:cs="Arial"/>
        </w:rPr>
      </w:pPr>
      <w:r w:rsidRPr="00534232">
        <w:rPr>
          <w:rStyle w:val="ATChar"/>
          <w:rFonts w:ascii="Calibri" w:hAnsi="Calibri" w:cs="Arial"/>
        </w:rPr>
        <w:t>If formulation toxicity data are available, the observed toxicity of the mixture is compared to the predicted toxicity based on active substance data which can be done for any ratio of active substances by calculation of the Model Deviation Ratio (MDR) (</w:t>
      </w:r>
      <w:r w:rsidR="004C688B">
        <w:rPr>
          <w:rStyle w:val="ATChar"/>
          <w:rFonts w:ascii="Calibri" w:hAnsi="Calibri" w:cs="Arial"/>
        </w:rPr>
        <w:fldChar w:fldCharType="begin"/>
      </w:r>
      <w:r w:rsidR="004C688B">
        <w:rPr>
          <w:rStyle w:val="ATChar"/>
          <w:rFonts w:ascii="Calibri" w:hAnsi="Calibri" w:cs="Arial"/>
        </w:rPr>
        <w:instrText xml:space="preserve"> REF _Ref522027607 \h </w:instrText>
      </w:r>
      <w:r w:rsidR="004C688B">
        <w:rPr>
          <w:rStyle w:val="ATChar"/>
          <w:rFonts w:ascii="Calibri" w:hAnsi="Calibri" w:cs="Arial"/>
        </w:rPr>
      </w:r>
      <w:r w:rsidR="004C688B">
        <w:rPr>
          <w:rStyle w:val="ATChar"/>
          <w:rFonts w:ascii="Calibri" w:hAnsi="Calibri" w:cs="Arial"/>
        </w:rPr>
        <w:fldChar w:fldCharType="separate"/>
      </w:r>
      <w:r w:rsidR="00225D67" w:rsidRPr="009A4CFC">
        <w:t xml:space="preserve">Table </w:t>
      </w:r>
      <w:r w:rsidR="00225D67">
        <w:rPr>
          <w:noProof/>
        </w:rPr>
        <w:t>14</w:t>
      </w:r>
      <w:r w:rsidR="004C688B">
        <w:rPr>
          <w:rStyle w:val="ATChar"/>
          <w:rFonts w:ascii="Calibri" w:hAnsi="Calibri" w:cs="Arial"/>
        </w:rPr>
        <w:fldChar w:fldCharType="end"/>
      </w:r>
      <w:r w:rsidRPr="00534232">
        <w:rPr>
          <w:rStyle w:val="ATChar"/>
          <w:rFonts w:ascii="Calibri" w:hAnsi="Calibri" w:cs="Arial"/>
        </w:rPr>
        <w:t xml:space="preserve">). If the MDR is within the range of 0.2 to 5, the mixture toxicity is assumed to be additive. If the </w:t>
      </w:r>
      <w:r w:rsidR="00FE0F18">
        <w:rPr>
          <w:rStyle w:val="ATChar"/>
          <w:rFonts w:ascii="Calibri" w:hAnsi="Calibri" w:cs="Arial"/>
        </w:rPr>
        <w:t>MDR</w:t>
      </w:r>
      <w:r w:rsidRPr="00534232">
        <w:rPr>
          <w:rStyle w:val="ATChar"/>
          <w:rFonts w:ascii="Calibri" w:hAnsi="Calibri" w:cs="Arial"/>
        </w:rPr>
        <w:t xml:space="preserve"> is &lt;0.2, the mixture toxicity is considered to be less than additive (antagonistic) and if the MDR is &gt;5, the mixture toxicity is considered to be more than additive (synergistic).</w:t>
      </w:r>
    </w:p>
    <w:p w:rsidR="00B72640" w:rsidRPr="00B72640" w:rsidRDefault="00B72640" w:rsidP="00B72640">
      <w:pPr>
        <w:pStyle w:val="Heading2"/>
        <w:ind w:left="851" w:hanging="851"/>
      </w:pPr>
      <w:bookmarkStart w:id="190" w:name="_Toc526432237"/>
      <w:r w:rsidRPr="00B72640">
        <w:t>Risk assessment tables</w:t>
      </w:r>
      <w:bookmarkEnd w:id="190"/>
    </w:p>
    <w:p w:rsidR="008B68EB" w:rsidRPr="009A4CFC" w:rsidRDefault="008B68EB" w:rsidP="008B68EB">
      <w:pPr>
        <w:pStyle w:val="Caption"/>
      </w:pPr>
      <w:bookmarkStart w:id="191" w:name="_Ref522027475"/>
      <w:r w:rsidRPr="009A4CFC">
        <w:t xml:space="preserve">Table </w:t>
      </w:r>
      <w:r w:rsidR="00EA08EB">
        <w:rPr>
          <w:noProof/>
        </w:rPr>
        <w:fldChar w:fldCharType="begin"/>
      </w:r>
      <w:r w:rsidR="00EA08EB">
        <w:rPr>
          <w:noProof/>
        </w:rPr>
        <w:instrText xml:space="preserve"> SEQ Table \* ARABIC </w:instrText>
      </w:r>
      <w:r w:rsidR="00EA08EB">
        <w:rPr>
          <w:noProof/>
        </w:rPr>
        <w:fldChar w:fldCharType="separate"/>
      </w:r>
      <w:r w:rsidR="00225D67">
        <w:rPr>
          <w:noProof/>
        </w:rPr>
        <w:t>6</w:t>
      </w:r>
      <w:r w:rsidR="00EA08EB">
        <w:rPr>
          <w:noProof/>
        </w:rPr>
        <w:fldChar w:fldCharType="end"/>
      </w:r>
      <w:bookmarkEnd w:id="191"/>
      <w:r w:rsidRPr="009A4CFC">
        <w:t xml:space="preserve"> - </w:t>
      </w:r>
      <w:r w:rsidRPr="008B68EB">
        <w:t>Regulatory acceptable doses for terrestrial vertebrates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1911"/>
        <w:gridCol w:w="1385"/>
        <w:gridCol w:w="2605"/>
        <w:gridCol w:w="1799"/>
        <w:gridCol w:w="1928"/>
      </w:tblGrid>
      <w:tr w:rsidR="00B72640" w:rsidRPr="00C426CC" w:rsidTr="003C4118">
        <w:trPr>
          <w:cantSplit/>
          <w:tblHeader/>
        </w:trPr>
        <w:tc>
          <w:tcPr>
            <w:tcW w:w="993" w:type="pct"/>
            <w:shd w:val="clear" w:color="auto" w:fill="auto"/>
          </w:tcPr>
          <w:p w:rsidR="00B72640" w:rsidRPr="006937CC" w:rsidRDefault="00B72640" w:rsidP="003C4118">
            <w:pPr>
              <w:widowControl w:val="0"/>
              <w:jc w:val="center"/>
              <w:rPr>
                <w:b/>
                <w:sz w:val="18"/>
                <w:szCs w:val="20"/>
                <w:lang w:eastAsia="en-AU"/>
              </w:rPr>
            </w:pPr>
            <w:r w:rsidRPr="006937CC">
              <w:rPr>
                <w:b/>
                <w:sz w:val="18"/>
                <w:szCs w:val="20"/>
                <w:lang w:eastAsia="en-AU"/>
              </w:rPr>
              <w:t>Taxonomic group</w:t>
            </w:r>
          </w:p>
        </w:tc>
        <w:tc>
          <w:tcPr>
            <w:tcW w:w="719" w:type="pct"/>
            <w:shd w:val="clear" w:color="auto" w:fill="auto"/>
          </w:tcPr>
          <w:p w:rsidR="00B72640" w:rsidRPr="006937CC" w:rsidRDefault="00B72640" w:rsidP="003C4118">
            <w:pPr>
              <w:widowControl w:val="0"/>
              <w:jc w:val="center"/>
              <w:rPr>
                <w:b/>
                <w:sz w:val="18"/>
                <w:szCs w:val="20"/>
                <w:lang w:eastAsia="en-AU"/>
              </w:rPr>
            </w:pPr>
            <w:r w:rsidRPr="006937CC">
              <w:rPr>
                <w:b/>
                <w:sz w:val="18"/>
                <w:szCs w:val="20"/>
                <w:lang w:eastAsia="en-AU"/>
              </w:rPr>
              <w:t>Exposure</w:t>
            </w:r>
          </w:p>
        </w:tc>
        <w:tc>
          <w:tcPr>
            <w:tcW w:w="1353" w:type="pct"/>
          </w:tcPr>
          <w:p w:rsidR="00B72640" w:rsidRPr="006937CC" w:rsidRDefault="00B72640" w:rsidP="003C4118">
            <w:pPr>
              <w:widowControl w:val="0"/>
              <w:jc w:val="center"/>
              <w:rPr>
                <w:b/>
                <w:sz w:val="18"/>
                <w:szCs w:val="20"/>
                <w:lang w:eastAsia="en-AU"/>
              </w:rPr>
            </w:pPr>
            <w:r w:rsidRPr="006937CC">
              <w:rPr>
                <w:b/>
                <w:sz w:val="18"/>
                <w:szCs w:val="20"/>
                <w:lang w:eastAsia="en-AU"/>
              </w:rPr>
              <w:t>Endpoint</w:t>
            </w:r>
          </w:p>
        </w:tc>
        <w:tc>
          <w:tcPr>
            <w:tcW w:w="934" w:type="pct"/>
          </w:tcPr>
          <w:p w:rsidR="00B72640" w:rsidRDefault="00B72640" w:rsidP="003C4118">
            <w:pPr>
              <w:widowControl w:val="0"/>
              <w:jc w:val="center"/>
              <w:rPr>
                <w:b/>
                <w:sz w:val="18"/>
                <w:szCs w:val="20"/>
                <w:lang w:eastAsia="en-AU"/>
              </w:rPr>
            </w:pPr>
            <w:r w:rsidRPr="006937CC">
              <w:rPr>
                <w:b/>
                <w:sz w:val="18"/>
                <w:szCs w:val="20"/>
                <w:lang w:eastAsia="en-AU"/>
              </w:rPr>
              <w:t xml:space="preserve">Assessment </w:t>
            </w:r>
          </w:p>
          <w:p w:rsidR="00B72640" w:rsidRPr="006937CC" w:rsidRDefault="00B72640" w:rsidP="003C4118">
            <w:pPr>
              <w:widowControl w:val="0"/>
              <w:jc w:val="center"/>
              <w:rPr>
                <w:b/>
                <w:sz w:val="18"/>
                <w:szCs w:val="20"/>
                <w:lang w:eastAsia="en-AU"/>
              </w:rPr>
            </w:pPr>
            <w:r w:rsidRPr="006937CC">
              <w:rPr>
                <w:b/>
                <w:sz w:val="18"/>
                <w:szCs w:val="20"/>
                <w:lang w:eastAsia="en-AU"/>
              </w:rPr>
              <w:t>factor</w:t>
            </w:r>
          </w:p>
        </w:tc>
        <w:tc>
          <w:tcPr>
            <w:tcW w:w="1001" w:type="pct"/>
            <w:shd w:val="clear" w:color="auto" w:fill="auto"/>
          </w:tcPr>
          <w:p w:rsidR="00B72640" w:rsidRPr="006937CC" w:rsidRDefault="00B72640" w:rsidP="003C4118">
            <w:pPr>
              <w:widowControl w:val="0"/>
              <w:jc w:val="center"/>
              <w:rPr>
                <w:b/>
                <w:sz w:val="18"/>
                <w:szCs w:val="20"/>
                <w:lang w:eastAsia="en-AU"/>
              </w:rPr>
            </w:pPr>
            <w:r w:rsidRPr="006937CC">
              <w:rPr>
                <w:b/>
                <w:sz w:val="18"/>
                <w:szCs w:val="20"/>
                <w:lang w:eastAsia="en-AU"/>
              </w:rPr>
              <w:t>RA</w:t>
            </w:r>
            <w:r>
              <w:rPr>
                <w:b/>
                <w:sz w:val="18"/>
                <w:szCs w:val="20"/>
                <w:lang w:eastAsia="en-AU"/>
              </w:rPr>
              <w:t>D</w:t>
            </w:r>
          </w:p>
        </w:tc>
      </w:tr>
      <w:tr w:rsidR="00B72640" w:rsidRPr="00C426CC" w:rsidTr="003C4118">
        <w:trPr>
          <w:cantSplit/>
        </w:trPr>
        <w:tc>
          <w:tcPr>
            <w:tcW w:w="993" w:type="pct"/>
            <w:vMerge w:val="restart"/>
            <w:shd w:val="clear" w:color="auto" w:fill="auto"/>
          </w:tcPr>
          <w:p w:rsidR="00B72640" w:rsidRPr="006937CC" w:rsidRDefault="00B72640" w:rsidP="003C4118">
            <w:pPr>
              <w:widowControl w:val="0"/>
              <w:rPr>
                <w:sz w:val="18"/>
                <w:szCs w:val="20"/>
                <w:lang w:eastAsia="en-AU"/>
              </w:rPr>
            </w:pPr>
            <w:r w:rsidRPr="006937CC">
              <w:rPr>
                <w:sz w:val="18"/>
                <w:szCs w:val="20"/>
                <w:lang w:eastAsia="en-AU"/>
              </w:rPr>
              <w:t>Birds</w:t>
            </w:r>
          </w:p>
        </w:tc>
        <w:tc>
          <w:tcPr>
            <w:tcW w:w="719" w:type="pct"/>
            <w:shd w:val="clear" w:color="auto" w:fill="auto"/>
          </w:tcPr>
          <w:p w:rsidR="00B72640" w:rsidRPr="006937CC" w:rsidRDefault="00B72640" w:rsidP="003C4118">
            <w:pPr>
              <w:widowControl w:val="0"/>
              <w:rPr>
                <w:sz w:val="18"/>
                <w:szCs w:val="20"/>
                <w:lang w:eastAsia="en-AU"/>
              </w:rPr>
            </w:pPr>
            <w:r w:rsidRPr="006937CC">
              <w:rPr>
                <w:sz w:val="18"/>
                <w:szCs w:val="20"/>
                <w:lang w:eastAsia="en-AU"/>
              </w:rPr>
              <w:t>Acute</w:t>
            </w:r>
          </w:p>
        </w:tc>
        <w:tc>
          <w:tcPr>
            <w:tcW w:w="1353" w:type="pct"/>
          </w:tcPr>
          <w:p w:rsidR="00B72640" w:rsidRPr="00ED0747" w:rsidRDefault="00B72640" w:rsidP="003C4118">
            <w:pPr>
              <w:widowControl w:val="0"/>
              <w:jc w:val="right"/>
              <w:rPr>
                <w:sz w:val="18"/>
                <w:szCs w:val="20"/>
                <w:lang w:eastAsia="en-AU"/>
              </w:rPr>
            </w:pPr>
            <w:r w:rsidRPr="00ED0747">
              <w:rPr>
                <w:sz w:val="18"/>
                <w:szCs w:val="20"/>
                <w:lang w:eastAsia="en-AU"/>
              </w:rPr>
              <w:t>LD</w:t>
            </w:r>
            <w:r w:rsidRPr="00ED0747">
              <w:rPr>
                <w:sz w:val="18"/>
                <w:szCs w:val="20"/>
                <w:vertAlign w:val="subscript"/>
                <w:lang w:eastAsia="en-AU"/>
              </w:rPr>
              <w:t>50</w:t>
            </w:r>
            <w:r w:rsidRPr="00ED0747">
              <w:rPr>
                <w:sz w:val="18"/>
                <w:szCs w:val="20"/>
                <w:lang w:eastAsia="en-AU"/>
              </w:rPr>
              <w:t xml:space="preserve"> XX mg ac/kg bw</w:t>
            </w:r>
            <w:r>
              <w:rPr>
                <w:sz w:val="18"/>
                <w:szCs w:val="20"/>
                <w:lang w:eastAsia="en-AU"/>
              </w:rPr>
              <w:t>/d</w:t>
            </w:r>
          </w:p>
        </w:tc>
        <w:tc>
          <w:tcPr>
            <w:tcW w:w="934" w:type="pct"/>
          </w:tcPr>
          <w:p w:rsidR="00B72640" w:rsidRPr="00ED0747" w:rsidRDefault="00B72640" w:rsidP="003C4118">
            <w:pPr>
              <w:widowControl w:val="0"/>
              <w:jc w:val="center"/>
              <w:rPr>
                <w:sz w:val="18"/>
                <w:szCs w:val="20"/>
                <w:lang w:eastAsia="en-AU"/>
              </w:rPr>
            </w:pPr>
            <w:r w:rsidRPr="00ED0747">
              <w:rPr>
                <w:sz w:val="18"/>
                <w:szCs w:val="20"/>
                <w:lang w:eastAsia="en-AU"/>
              </w:rPr>
              <w:t>10</w:t>
            </w:r>
          </w:p>
        </w:tc>
        <w:tc>
          <w:tcPr>
            <w:tcW w:w="1001" w:type="pct"/>
            <w:shd w:val="clear" w:color="auto" w:fill="auto"/>
          </w:tcPr>
          <w:p w:rsidR="00B72640" w:rsidRPr="00ED0747" w:rsidRDefault="00B72640" w:rsidP="003C4118">
            <w:pPr>
              <w:widowControl w:val="0"/>
              <w:jc w:val="right"/>
              <w:rPr>
                <w:sz w:val="18"/>
                <w:szCs w:val="20"/>
                <w:lang w:eastAsia="en-AU"/>
              </w:rPr>
            </w:pPr>
            <w:r w:rsidRPr="00ED0747">
              <w:rPr>
                <w:sz w:val="18"/>
                <w:szCs w:val="20"/>
                <w:lang w:eastAsia="en-AU"/>
              </w:rPr>
              <w:t>XX mg ac/kg bw</w:t>
            </w:r>
            <w:r>
              <w:rPr>
                <w:sz w:val="18"/>
                <w:szCs w:val="20"/>
                <w:lang w:eastAsia="en-AU"/>
              </w:rPr>
              <w:t>/d</w:t>
            </w:r>
          </w:p>
        </w:tc>
      </w:tr>
      <w:tr w:rsidR="00B72640" w:rsidRPr="00C426CC" w:rsidTr="003C4118">
        <w:trPr>
          <w:cantSplit/>
        </w:trPr>
        <w:tc>
          <w:tcPr>
            <w:tcW w:w="993" w:type="pct"/>
            <w:vMerge/>
            <w:shd w:val="clear" w:color="auto" w:fill="auto"/>
          </w:tcPr>
          <w:p w:rsidR="00B72640" w:rsidRPr="006937CC" w:rsidRDefault="00B72640" w:rsidP="003C4118">
            <w:pPr>
              <w:widowControl w:val="0"/>
              <w:rPr>
                <w:sz w:val="18"/>
                <w:szCs w:val="20"/>
                <w:lang w:eastAsia="en-AU"/>
              </w:rPr>
            </w:pPr>
          </w:p>
        </w:tc>
        <w:tc>
          <w:tcPr>
            <w:tcW w:w="719" w:type="pct"/>
            <w:shd w:val="clear" w:color="auto" w:fill="auto"/>
          </w:tcPr>
          <w:p w:rsidR="00B72640" w:rsidRPr="006937CC" w:rsidRDefault="00B72640" w:rsidP="003C4118">
            <w:pPr>
              <w:widowControl w:val="0"/>
              <w:rPr>
                <w:sz w:val="18"/>
                <w:szCs w:val="20"/>
                <w:lang w:eastAsia="en-AU"/>
              </w:rPr>
            </w:pPr>
            <w:r>
              <w:rPr>
                <w:sz w:val="18"/>
                <w:szCs w:val="20"/>
                <w:lang w:eastAsia="en-AU"/>
              </w:rPr>
              <w:t>Chronic</w:t>
            </w:r>
          </w:p>
        </w:tc>
        <w:tc>
          <w:tcPr>
            <w:tcW w:w="1353" w:type="pct"/>
          </w:tcPr>
          <w:p w:rsidR="00B72640" w:rsidRPr="00ED0747" w:rsidRDefault="00B72640" w:rsidP="003C4118">
            <w:pPr>
              <w:widowControl w:val="0"/>
              <w:jc w:val="right"/>
              <w:rPr>
                <w:sz w:val="18"/>
                <w:szCs w:val="20"/>
                <w:lang w:eastAsia="en-AU"/>
              </w:rPr>
            </w:pPr>
            <w:r w:rsidRPr="00ED0747">
              <w:rPr>
                <w:sz w:val="18"/>
                <w:szCs w:val="20"/>
                <w:lang w:eastAsia="en-AU"/>
              </w:rPr>
              <w:t>NOE</w:t>
            </w:r>
            <w:r>
              <w:rPr>
                <w:sz w:val="18"/>
                <w:szCs w:val="20"/>
                <w:lang w:eastAsia="en-AU"/>
              </w:rPr>
              <w:t>L</w:t>
            </w:r>
            <w:r w:rsidRPr="00ED0747">
              <w:rPr>
                <w:sz w:val="18"/>
                <w:szCs w:val="20"/>
                <w:lang w:eastAsia="en-AU"/>
              </w:rPr>
              <w:t xml:space="preserve"> XX mg ac/kg bw/d</w:t>
            </w:r>
          </w:p>
        </w:tc>
        <w:tc>
          <w:tcPr>
            <w:tcW w:w="934" w:type="pct"/>
          </w:tcPr>
          <w:p w:rsidR="00B72640" w:rsidRPr="00ED0747" w:rsidRDefault="00B72640" w:rsidP="003C4118">
            <w:pPr>
              <w:widowControl w:val="0"/>
              <w:jc w:val="center"/>
              <w:rPr>
                <w:sz w:val="18"/>
                <w:szCs w:val="20"/>
                <w:lang w:eastAsia="en-AU"/>
              </w:rPr>
            </w:pPr>
            <w:r w:rsidRPr="00ED0747">
              <w:rPr>
                <w:sz w:val="18"/>
                <w:szCs w:val="20"/>
                <w:lang w:eastAsia="en-AU"/>
              </w:rPr>
              <w:t>1</w:t>
            </w:r>
          </w:p>
        </w:tc>
        <w:tc>
          <w:tcPr>
            <w:tcW w:w="1001" w:type="pct"/>
            <w:shd w:val="clear" w:color="auto" w:fill="auto"/>
          </w:tcPr>
          <w:p w:rsidR="00B72640" w:rsidRPr="00ED0747" w:rsidRDefault="00B72640" w:rsidP="003C4118">
            <w:pPr>
              <w:widowControl w:val="0"/>
              <w:jc w:val="right"/>
              <w:rPr>
                <w:sz w:val="18"/>
                <w:szCs w:val="20"/>
                <w:lang w:eastAsia="en-AU"/>
              </w:rPr>
            </w:pPr>
            <w:r w:rsidRPr="00ED0747">
              <w:rPr>
                <w:sz w:val="18"/>
                <w:szCs w:val="20"/>
                <w:lang w:eastAsia="en-AU"/>
              </w:rPr>
              <w:t>XX mg ac/kg bw/d</w:t>
            </w:r>
          </w:p>
        </w:tc>
      </w:tr>
      <w:tr w:rsidR="00B72640" w:rsidRPr="00C426CC" w:rsidTr="003C4118">
        <w:trPr>
          <w:cantSplit/>
        </w:trPr>
        <w:tc>
          <w:tcPr>
            <w:tcW w:w="993" w:type="pct"/>
            <w:vMerge w:val="restart"/>
            <w:shd w:val="clear" w:color="auto" w:fill="auto"/>
          </w:tcPr>
          <w:p w:rsidR="00B72640" w:rsidRPr="006937CC" w:rsidRDefault="00B72640" w:rsidP="003C4118">
            <w:pPr>
              <w:widowControl w:val="0"/>
              <w:rPr>
                <w:sz w:val="18"/>
                <w:szCs w:val="20"/>
                <w:lang w:eastAsia="en-AU"/>
              </w:rPr>
            </w:pPr>
            <w:r w:rsidRPr="006937CC">
              <w:rPr>
                <w:sz w:val="18"/>
                <w:szCs w:val="20"/>
                <w:lang w:eastAsia="en-AU"/>
              </w:rPr>
              <w:t>Mammals</w:t>
            </w:r>
          </w:p>
        </w:tc>
        <w:tc>
          <w:tcPr>
            <w:tcW w:w="719" w:type="pct"/>
            <w:shd w:val="clear" w:color="auto" w:fill="auto"/>
          </w:tcPr>
          <w:p w:rsidR="00B72640" w:rsidRPr="006937CC" w:rsidRDefault="00B72640" w:rsidP="003C4118">
            <w:pPr>
              <w:widowControl w:val="0"/>
              <w:rPr>
                <w:sz w:val="18"/>
                <w:szCs w:val="20"/>
                <w:lang w:eastAsia="en-AU"/>
              </w:rPr>
            </w:pPr>
            <w:r w:rsidRPr="006937CC">
              <w:rPr>
                <w:sz w:val="18"/>
                <w:szCs w:val="20"/>
                <w:lang w:eastAsia="en-AU"/>
              </w:rPr>
              <w:t>Acute</w:t>
            </w:r>
          </w:p>
        </w:tc>
        <w:tc>
          <w:tcPr>
            <w:tcW w:w="1353" w:type="pct"/>
          </w:tcPr>
          <w:p w:rsidR="00B72640" w:rsidRPr="00ED0747" w:rsidRDefault="00B72640" w:rsidP="003C4118">
            <w:pPr>
              <w:widowControl w:val="0"/>
              <w:jc w:val="right"/>
              <w:rPr>
                <w:sz w:val="18"/>
                <w:szCs w:val="20"/>
                <w:lang w:eastAsia="en-AU"/>
              </w:rPr>
            </w:pPr>
            <w:r w:rsidRPr="00ED0747">
              <w:rPr>
                <w:sz w:val="18"/>
                <w:szCs w:val="20"/>
                <w:lang w:eastAsia="en-AU"/>
              </w:rPr>
              <w:t>LD</w:t>
            </w:r>
            <w:r w:rsidRPr="00ED0747">
              <w:rPr>
                <w:sz w:val="18"/>
                <w:szCs w:val="20"/>
                <w:vertAlign w:val="subscript"/>
                <w:lang w:eastAsia="en-AU"/>
              </w:rPr>
              <w:t>50</w:t>
            </w:r>
            <w:r w:rsidRPr="00ED0747">
              <w:rPr>
                <w:sz w:val="18"/>
                <w:szCs w:val="20"/>
                <w:lang w:eastAsia="en-AU"/>
              </w:rPr>
              <w:t xml:space="preserve"> XX mg ac/kg bw</w:t>
            </w:r>
            <w:r>
              <w:rPr>
                <w:sz w:val="18"/>
                <w:szCs w:val="20"/>
                <w:lang w:eastAsia="en-AU"/>
              </w:rPr>
              <w:t>/d</w:t>
            </w:r>
          </w:p>
        </w:tc>
        <w:tc>
          <w:tcPr>
            <w:tcW w:w="934" w:type="pct"/>
          </w:tcPr>
          <w:p w:rsidR="00B72640" w:rsidRPr="00ED0747" w:rsidRDefault="00B72640" w:rsidP="003C4118">
            <w:pPr>
              <w:widowControl w:val="0"/>
              <w:jc w:val="center"/>
              <w:rPr>
                <w:sz w:val="18"/>
                <w:szCs w:val="20"/>
                <w:lang w:eastAsia="en-AU"/>
              </w:rPr>
            </w:pPr>
            <w:r w:rsidRPr="00ED0747">
              <w:rPr>
                <w:sz w:val="18"/>
                <w:szCs w:val="20"/>
                <w:lang w:eastAsia="en-AU"/>
              </w:rPr>
              <w:t>10</w:t>
            </w:r>
          </w:p>
        </w:tc>
        <w:tc>
          <w:tcPr>
            <w:tcW w:w="1001" w:type="pct"/>
            <w:shd w:val="clear" w:color="auto" w:fill="auto"/>
          </w:tcPr>
          <w:p w:rsidR="00B72640" w:rsidRPr="00ED0747" w:rsidRDefault="00B72640" w:rsidP="003C4118">
            <w:pPr>
              <w:widowControl w:val="0"/>
              <w:jc w:val="right"/>
              <w:rPr>
                <w:sz w:val="18"/>
                <w:szCs w:val="20"/>
                <w:lang w:eastAsia="en-AU"/>
              </w:rPr>
            </w:pPr>
            <w:r w:rsidRPr="00ED0747">
              <w:rPr>
                <w:sz w:val="18"/>
                <w:szCs w:val="20"/>
                <w:lang w:eastAsia="en-AU"/>
              </w:rPr>
              <w:t>XX mg ac/kg bw</w:t>
            </w:r>
            <w:r>
              <w:rPr>
                <w:sz w:val="18"/>
                <w:szCs w:val="20"/>
                <w:lang w:eastAsia="en-AU"/>
              </w:rPr>
              <w:t>/d</w:t>
            </w:r>
          </w:p>
        </w:tc>
      </w:tr>
      <w:tr w:rsidR="00B72640" w:rsidRPr="00C426CC" w:rsidTr="003C4118">
        <w:trPr>
          <w:cantSplit/>
        </w:trPr>
        <w:tc>
          <w:tcPr>
            <w:tcW w:w="993" w:type="pct"/>
            <w:vMerge/>
            <w:shd w:val="clear" w:color="auto" w:fill="auto"/>
          </w:tcPr>
          <w:p w:rsidR="00B72640" w:rsidRPr="006937CC" w:rsidRDefault="00B72640" w:rsidP="003C4118">
            <w:pPr>
              <w:widowControl w:val="0"/>
              <w:rPr>
                <w:sz w:val="18"/>
                <w:szCs w:val="20"/>
                <w:lang w:eastAsia="en-AU"/>
              </w:rPr>
            </w:pPr>
          </w:p>
        </w:tc>
        <w:tc>
          <w:tcPr>
            <w:tcW w:w="719" w:type="pct"/>
            <w:shd w:val="clear" w:color="auto" w:fill="auto"/>
          </w:tcPr>
          <w:p w:rsidR="00B72640" w:rsidRPr="006937CC" w:rsidRDefault="00B72640" w:rsidP="003C4118">
            <w:pPr>
              <w:widowControl w:val="0"/>
              <w:rPr>
                <w:sz w:val="18"/>
                <w:szCs w:val="20"/>
                <w:lang w:eastAsia="en-AU"/>
              </w:rPr>
            </w:pPr>
            <w:r>
              <w:rPr>
                <w:sz w:val="18"/>
                <w:szCs w:val="20"/>
                <w:lang w:eastAsia="en-AU"/>
              </w:rPr>
              <w:t>Chronic</w:t>
            </w:r>
          </w:p>
        </w:tc>
        <w:tc>
          <w:tcPr>
            <w:tcW w:w="1353" w:type="pct"/>
          </w:tcPr>
          <w:p w:rsidR="00B72640" w:rsidRPr="00ED0747" w:rsidRDefault="00B72640" w:rsidP="003C4118">
            <w:pPr>
              <w:widowControl w:val="0"/>
              <w:jc w:val="right"/>
              <w:rPr>
                <w:sz w:val="18"/>
                <w:szCs w:val="20"/>
                <w:lang w:eastAsia="en-AU"/>
              </w:rPr>
            </w:pPr>
            <w:r w:rsidRPr="00ED0747">
              <w:rPr>
                <w:sz w:val="18"/>
                <w:szCs w:val="20"/>
                <w:lang w:eastAsia="en-AU"/>
              </w:rPr>
              <w:t>NOE</w:t>
            </w:r>
            <w:r>
              <w:rPr>
                <w:sz w:val="18"/>
                <w:szCs w:val="20"/>
                <w:lang w:eastAsia="en-AU"/>
              </w:rPr>
              <w:t>L</w:t>
            </w:r>
            <w:r w:rsidRPr="00ED0747">
              <w:rPr>
                <w:sz w:val="18"/>
                <w:szCs w:val="20"/>
                <w:lang w:eastAsia="en-AU"/>
              </w:rPr>
              <w:t xml:space="preserve"> XX mg ac/kg bw/d</w:t>
            </w:r>
          </w:p>
        </w:tc>
        <w:tc>
          <w:tcPr>
            <w:tcW w:w="934" w:type="pct"/>
          </w:tcPr>
          <w:p w:rsidR="00B72640" w:rsidRPr="00ED0747" w:rsidRDefault="00B72640" w:rsidP="003C4118">
            <w:pPr>
              <w:widowControl w:val="0"/>
              <w:jc w:val="center"/>
              <w:rPr>
                <w:sz w:val="18"/>
                <w:szCs w:val="20"/>
                <w:lang w:eastAsia="en-AU"/>
              </w:rPr>
            </w:pPr>
            <w:r w:rsidRPr="00ED0747">
              <w:rPr>
                <w:sz w:val="18"/>
                <w:szCs w:val="20"/>
                <w:lang w:eastAsia="en-AU"/>
              </w:rPr>
              <w:t>1</w:t>
            </w:r>
          </w:p>
        </w:tc>
        <w:tc>
          <w:tcPr>
            <w:tcW w:w="1001" w:type="pct"/>
            <w:shd w:val="clear" w:color="auto" w:fill="auto"/>
          </w:tcPr>
          <w:p w:rsidR="00B72640" w:rsidRPr="00ED0747" w:rsidRDefault="00B72640" w:rsidP="003C4118">
            <w:pPr>
              <w:widowControl w:val="0"/>
              <w:jc w:val="right"/>
              <w:rPr>
                <w:sz w:val="18"/>
                <w:szCs w:val="20"/>
                <w:lang w:eastAsia="en-AU"/>
              </w:rPr>
            </w:pPr>
            <w:r w:rsidRPr="00ED0747">
              <w:rPr>
                <w:sz w:val="18"/>
                <w:szCs w:val="20"/>
                <w:lang w:eastAsia="en-AU"/>
              </w:rPr>
              <w:t>XX mg ac/kg bw/d</w:t>
            </w:r>
          </w:p>
        </w:tc>
      </w:tr>
    </w:tbl>
    <w:p w:rsidR="00B72640" w:rsidRDefault="00B72640" w:rsidP="00B72640">
      <w:pPr>
        <w:pStyle w:val="BodyText"/>
        <w:rPr>
          <w:sz w:val="18"/>
          <w:szCs w:val="18"/>
        </w:rPr>
      </w:pPr>
      <w:r w:rsidRPr="00ED0747">
        <w:rPr>
          <w:sz w:val="18"/>
          <w:szCs w:val="18"/>
        </w:rPr>
        <w:t>RAC = regulatory acceptable level = endpoint/assessment factor</w:t>
      </w:r>
    </w:p>
    <w:p w:rsidR="00E12373" w:rsidRDefault="00E12373" w:rsidP="00B72640">
      <w:pPr>
        <w:pStyle w:val="BodyText"/>
        <w:ind w:left="1134" w:hanging="1134"/>
        <w:rPr>
          <w:b/>
          <w:sz w:val="20"/>
        </w:rPr>
      </w:pPr>
    </w:p>
    <w:p w:rsidR="008B68EB" w:rsidRPr="009A4CFC" w:rsidRDefault="008B68EB" w:rsidP="008B68EB">
      <w:pPr>
        <w:pStyle w:val="Caption"/>
      </w:pPr>
      <w:bookmarkStart w:id="192" w:name="_Ref522027532"/>
      <w:r w:rsidRPr="009A4CFC">
        <w:t xml:space="preserve">Table </w:t>
      </w:r>
      <w:r w:rsidR="00EA08EB">
        <w:rPr>
          <w:noProof/>
        </w:rPr>
        <w:fldChar w:fldCharType="begin"/>
      </w:r>
      <w:r w:rsidR="00EA08EB">
        <w:rPr>
          <w:noProof/>
        </w:rPr>
        <w:instrText xml:space="preserve"> SEQ Table \* ARABIC </w:instrText>
      </w:r>
      <w:r w:rsidR="00EA08EB">
        <w:rPr>
          <w:noProof/>
        </w:rPr>
        <w:fldChar w:fldCharType="separate"/>
      </w:r>
      <w:r w:rsidR="00225D67">
        <w:rPr>
          <w:noProof/>
        </w:rPr>
        <w:t>7</w:t>
      </w:r>
      <w:r w:rsidR="00EA08EB">
        <w:rPr>
          <w:noProof/>
        </w:rPr>
        <w:fldChar w:fldCharType="end"/>
      </w:r>
      <w:bookmarkEnd w:id="192"/>
      <w:r w:rsidRPr="009A4CFC">
        <w:t xml:space="preserve"> - </w:t>
      </w:r>
      <w:r w:rsidRPr="008B68EB">
        <w:t>EFSA (2009) shortcut values for screening level assessment of terrestrial vertebrates</w:t>
      </w:r>
    </w:p>
    <w:tbl>
      <w:tblPr>
        <w:tblW w:w="5000" w:type="pct"/>
        <w:tblLayout w:type="fixed"/>
        <w:tblCellMar>
          <w:top w:w="57" w:type="dxa"/>
          <w:left w:w="57" w:type="dxa"/>
          <w:bottom w:w="57" w:type="dxa"/>
          <w:right w:w="57" w:type="dxa"/>
        </w:tblCellMar>
        <w:tblLook w:val="04A0" w:firstRow="1" w:lastRow="0" w:firstColumn="1" w:lastColumn="0" w:noHBand="0" w:noVBand="1"/>
      </w:tblPr>
      <w:tblGrid>
        <w:gridCol w:w="1107"/>
        <w:gridCol w:w="4626"/>
        <w:gridCol w:w="2239"/>
        <w:gridCol w:w="748"/>
        <w:gridCol w:w="908"/>
      </w:tblGrid>
      <w:tr w:rsidR="00B72640" w:rsidRPr="00D431B3" w:rsidTr="008B68EB">
        <w:trPr>
          <w:cantSplit/>
          <w:tblHeader/>
        </w:trPr>
        <w:tc>
          <w:tcPr>
            <w:tcW w:w="1121" w:type="dxa"/>
            <w:vMerge w:val="restart"/>
            <w:tcBorders>
              <w:top w:val="single" w:sz="4" w:space="0" w:color="auto"/>
              <w:left w:val="single" w:sz="4" w:space="0" w:color="auto"/>
              <w:right w:val="single" w:sz="4" w:space="0" w:color="auto"/>
            </w:tcBorders>
            <w:shd w:val="clear" w:color="auto" w:fill="auto"/>
            <w:noWrap/>
            <w:hideMark/>
          </w:tcPr>
          <w:p w:rsidR="00B72640" w:rsidRDefault="00B72640" w:rsidP="003C4118">
            <w:pPr>
              <w:widowControl w:val="0"/>
              <w:jc w:val="center"/>
              <w:rPr>
                <w:b/>
                <w:sz w:val="18"/>
                <w:szCs w:val="18"/>
              </w:rPr>
            </w:pPr>
            <w:r>
              <w:rPr>
                <w:b/>
                <w:sz w:val="18"/>
                <w:szCs w:val="18"/>
              </w:rPr>
              <w:t>Taxonomic</w:t>
            </w:r>
          </w:p>
          <w:p w:rsidR="00B72640" w:rsidRPr="00D431B3" w:rsidRDefault="00B72640" w:rsidP="003C4118">
            <w:pPr>
              <w:widowControl w:val="0"/>
              <w:jc w:val="center"/>
              <w:rPr>
                <w:b/>
                <w:sz w:val="18"/>
                <w:szCs w:val="18"/>
              </w:rPr>
            </w:pPr>
            <w:r>
              <w:rPr>
                <w:b/>
                <w:sz w:val="18"/>
                <w:szCs w:val="18"/>
              </w:rPr>
              <w:t>group</w:t>
            </w:r>
          </w:p>
          <w:p w:rsidR="00B72640" w:rsidRPr="00D431B3" w:rsidRDefault="00B72640" w:rsidP="003C4118">
            <w:pPr>
              <w:widowControl w:val="0"/>
              <w:jc w:val="center"/>
              <w:rPr>
                <w:b/>
                <w:sz w:val="18"/>
                <w:szCs w:val="18"/>
              </w:rPr>
            </w:pPr>
          </w:p>
        </w:tc>
        <w:tc>
          <w:tcPr>
            <w:tcW w:w="4688" w:type="dxa"/>
            <w:vMerge w:val="restart"/>
            <w:tcBorders>
              <w:top w:val="single" w:sz="4" w:space="0" w:color="auto"/>
              <w:left w:val="nil"/>
              <w:right w:val="single" w:sz="4" w:space="0" w:color="auto"/>
            </w:tcBorders>
            <w:shd w:val="clear" w:color="auto" w:fill="auto"/>
            <w:noWrap/>
            <w:hideMark/>
          </w:tcPr>
          <w:p w:rsidR="00B72640" w:rsidRPr="00D431B3" w:rsidRDefault="00B72640" w:rsidP="003C4118">
            <w:pPr>
              <w:widowControl w:val="0"/>
              <w:jc w:val="center"/>
              <w:rPr>
                <w:b/>
                <w:sz w:val="18"/>
                <w:szCs w:val="18"/>
              </w:rPr>
            </w:pPr>
            <w:r w:rsidRPr="00D431B3">
              <w:rPr>
                <w:b/>
                <w:sz w:val="18"/>
                <w:szCs w:val="18"/>
              </w:rPr>
              <w:t>Crop group</w:t>
            </w:r>
          </w:p>
          <w:p w:rsidR="00B72640" w:rsidRPr="00D431B3" w:rsidRDefault="00B72640" w:rsidP="003C4118">
            <w:pPr>
              <w:widowControl w:val="0"/>
              <w:jc w:val="center"/>
              <w:rPr>
                <w:b/>
                <w:sz w:val="18"/>
                <w:szCs w:val="18"/>
              </w:rPr>
            </w:pPr>
          </w:p>
        </w:tc>
        <w:tc>
          <w:tcPr>
            <w:tcW w:w="2268" w:type="dxa"/>
            <w:vMerge w:val="restart"/>
            <w:tcBorders>
              <w:top w:val="single" w:sz="4" w:space="0" w:color="auto"/>
              <w:left w:val="nil"/>
              <w:right w:val="single" w:sz="4" w:space="0" w:color="auto"/>
            </w:tcBorders>
            <w:shd w:val="clear" w:color="auto" w:fill="auto"/>
            <w:noWrap/>
            <w:hideMark/>
          </w:tcPr>
          <w:p w:rsidR="00B72640" w:rsidRPr="00D431B3" w:rsidRDefault="00B72640" w:rsidP="003C4118">
            <w:pPr>
              <w:widowControl w:val="0"/>
              <w:jc w:val="center"/>
              <w:rPr>
                <w:b/>
                <w:sz w:val="18"/>
                <w:szCs w:val="18"/>
              </w:rPr>
            </w:pPr>
            <w:r>
              <w:rPr>
                <w:b/>
                <w:sz w:val="18"/>
                <w:szCs w:val="18"/>
              </w:rPr>
              <w:t>I</w:t>
            </w:r>
            <w:r w:rsidRPr="00D431B3">
              <w:rPr>
                <w:b/>
                <w:sz w:val="18"/>
                <w:szCs w:val="18"/>
              </w:rPr>
              <w:t>ndicator species</w:t>
            </w:r>
          </w:p>
          <w:p w:rsidR="00B72640" w:rsidRPr="00D431B3" w:rsidRDefault="00B72640" w:rsidP="003C4118">
            <w:pPr>
              <w:widowControl w:val="0"/>
              <w:jc w:val="center"/>
              <w:rPr>
                <w:b/>
                <w:sz w:val="18"/>
                <w:szCs w:val="18"/>
              </w:rPr>
            </w:pPr>
          </w:p>
        </w:tc>
        <w:tc>
          <w:tcPr>
            <w:tcW w:w="1675" w:type="dxa"/>
            <w:gridSpan w:val="2"/>
            <w:tcBorders>
              <w:top w:val="single" w:sz="4" w:space="0" w:color="auto"/>
              <w:left w:val="nil"/>
              <w:bottom w:val="single" w:sz="4" w:space="0" w:color="auto"/>
              <w:right w:val="single" w:sz="4" w:space="0" w:color="000000"/>
            </w:tcBorders>
            <w:shd w:val="clear" w:color="auto" w:fill="auto"/>
            <w:noWrap/>
            <w:hideMark/>
          </w:tcPr>
          <w:p w:rsidR="00B72640" w:rsidRPr="00D431B3" w:rsidRDefault="00B72640" w:rsidP="003C4118">
            <w:pPr>
              <w:widowControl w:val="0"/>
              <w:jc w:val="center"/>
              <w:rPr>
                <w:b/>
                <w:sz w:val="18"/>
                <w:szCs w:val="18"/>
              </w:rPr>
            </w:pPr>
            <w:r>
              <w:rPr>
                <w:b/>
                <w:sz w:val="18"/>
                <w:szCs w:val="18"/>
              </w:rPr>
              <w:t>S</w:t>
            </w:r>
            <w:r w:rsidRPr="00D431B3">
              <w:rPr>
                <w:b/>
                <w:sz w:val="18"/>
                <w:szCs w:val="18"/>
              </w:rPr>
              <w:t>hortcut value</w:t>
            </w:r>
          </w:p>
        </w:tc>
      </w:tr>
      <w:tr w:rsidR="00B72640" w:rsidRPr="00D431B3" w:rsidTr="008B68EB">
        <w:trPr>
          <w:cantSplit/>
          <w:tblHeader/>
        </w:trPr>
        <w:tc>
          <w:tcPr>
            <w:tcW w:w="1121" w:type="dxa"/>
            <w:vMerge/>
            <w:tcBorders>
              <w:left w:val="single" w:sz="4" w:space="0" w:color="auto"/>
              <w:bottom w:val="single" w:sz="4" w:space="0" w:color="auto"/>
              <w:right w:val="single" w:sz="4" w:space="0" w:color="auto"/>
            </w:tcBorders>
            <w:shd w:val="clear" w:color="auto" w:fill="auto"/>
            <w:noWrap/>
            <w:hideMark/>
          </w:tcPr>
          <w:p w:rsidR="00B72640" w:rsidRPr="00D431B3" w:rsidRDefault="00B72640" w:rsidP="003C4118">
            <w:pPr>
              <w:widowControl w:val="0"/>
              <w:jc w:val="center"/>
              <w:rPr>
                <w:b/>
                <w:sz w:val="18"/>
                <w:szCs w:val="18"/>
              </w:rPr>
            </w:pPr>
          </w:p>
        </w:tc>
        <w:tc>
          <w:tcPr>
            <w:tcW w:w="4688" w:type="dxa"/>
            <w:vMerge/>
            <w:tcBorders>
              <w:left w:val="nil"/>
              <w:bottom w:val="single" w:sz="4" w:space="0" w:color="auto"/>
              <w:right w:val="single" w:sz="4" w:space="0" w:color="auto"/>
            </w:tcBorders>
            <w:shd w:val="clear" w:color="auto" w:fill="auto"/>
            <w:noWrap/>
            <w:hideMark/>
          </w:tcPr>
          <w:p w:rsidR="00B72640" w:rsidRPr="00D431B3" w:rsidRDefault="00B72640" w:rsidP="003C4118">
            <w:pPr>
              <w:widowControl w:val="0"/>
              <w:jc w:val="center"/>
              <w:rPr>
                <w:b/>
                <w:sz w:val="18"/>
                <w:szCs w:val="18"/>
              </w:rPr>
            </w:pPr>
          </w:p>
        </w:tc>
        <w:tc>
          <w:tcPr>
            <w:tcW w:w="2268" w:type="dxa"/>
            <w:vMerge/>
            <w:tcBorders>
              <w:left w:val="nil"/>
              <w:bottom w:val="single" w:sz="4" w:space="0" w:color="auto"/>
              <w:right w:val="single" w:sz="4" w:space="0" w:color="auto"/>
            </w:tcBorders>
            <w:shd w:val="clear" w:color="auto" w:fill="auto"/>
            <w:noWrap/>
            <w:hideMark/>
          </w:tcPr>
          <w:p w:rsidR="00B72640" w:rsidRPr="00D431B3" w:rsidRDefault="00B72640" w:rsidP="003C4118">
            <w:pPr>
              <w:widowControl w:val="0"/>
              <w:jc w:val="center"/>
              <w:rPr>
                <w:b/>
                <w:sz w:val="18"/>
                <w:szCs w:val="18"/>
              </w:rPr>
            </w:pPr>
          </w:p>
        </w:tc>
        <w:tc>
          <w:tcPr>
            <w:tcW w:w="756" w:type="dxa"/>
            <w:tcBorders>
              <w:top w:val="nil"/>
              <w:left w:val="nil"/>
              <w:bottom w:val="single" w:sz="4" w:space="0" w:color="auto"/>
              <w:right w:val="single" w:sz="4" w:space="0" w:color="auto"/>
            </w:tcBorders>
            <w:shd w:val="clear" w:color="auto" w:fill="auto"/>
            <w:noWrap/>
            <w:hideMark/>
          </w:tcPr>
          <w:p w:rsidR="00B72640" w:rsidRPr="00D431B3" w:rsidRDefault="00B72640" w:rsidP="003C4118">
            <w:pPr>
              <w:widowControl w:val="0"/>
              <w:jc w:val="center"/>
              <w:rPr>
                <w:b/>
                <w:sz w:val="18"/>
                <w:szCs w:val="18"/>
              </w:rPr>
            </w:pPr>
            <w:r>
              <w:rPr>
                <w:b/>
                <w:sz w:val="18"/>
                <w:szCs w:val="18"/>
              </w:rPr>
              <w:t>A</w:t>
            </w:r>
            <w:r w:rsidRPr="00D431B3">
              <w:rPr>
                <w:b/>
                <w:sz w:val="18"/>
                <w:szCs w:val="18"/>
              </w:rPr>
              <w:t>cute</w:t>
            </w:r>
          </w:p>
        </w:tc>
        <w:tc>
          <w:tcPr>
            <w:tcW w:w="919" w:type="dxa"/>
            <w:tcBorders>
              <w:top w:val="nil"/>
              <w:left w:val="nil"/>
              <w:bottom w:val="single" w:sz="4" w:space="0" w:color="auto"/>
              <w:right w:val="single" w:sz="4" w:space="0" w:color="auto"/>
            </w:tcBorders>
            <w:shd w:val="clear" w:color="auto" w:fill="auto"/>
            <w:noWrap/>
            <w:hideMark/>
          </w:tcPr>
          <w:p w:rsidR="00B72640" w:rsidRPr="00D431B3" w:rsidRDefault="00B72640" w:rsidP="003C4118">
            <w:pPr>
              <w:widowControl w:val="0"/>
              <w:jc w:val="center"/>
              <w:rPr>
                <w:b/>
                <w:sz w:val="18"/>
                <w:szCs w:val="18"/>
              </w:rPr>
            </w:pPr>
            <w:r>
              <w:rPr>
                <w:b/>
                <w:sz w:val="18"/>
                <w:szCs w:val="18"/>
              </w:rPr>
              <w:t>Chronic</w:t>
            </w:r>
          </w:p>
        </w:tc>
      </w:tr>
      <w:tr w:rsidR="00B72640" w:rsidRPr="00D431B3" w:rsidTr="008B68EB">
        <w:trPr>
          <w:cantSplit/>
        </w:trPr>
        <w:tc>
          <w:tcPr>
            <w:tcW w:w="1121" w:type="dxa"/>
            <w:tcBorders>
              <w:top w:val="single" w:sz="4" w:space="0" w:color="auto"/>
              <w:left w:val="single" w:sz="4" w:space="0" w:color="auto"/>
              <w:right w:val="single" w:sz="4" w:space="0" w:color="auto"/>
            </w:tcBorders>
            <w:shd w:val="clear" w:color="auto" w:fill="auto"/>
            <w:noWrap/>
            <w:hideMark/>
          </w:tcPr>
          <w:p w:rsidR="00B72640" w:rsidRPr="00D431B3" w:rsidRDefault="00B72640" w:rsidP="003C4118">
            <w:pPr>
              <w:widowControl w:val="0"/>
              <w:rPr>
                <w:sz w:val="18"/>
                <w:szCs w:val="18"/>
              </w:rPr>
            </w:pPr>
            <w:r>
              <w:rPr>
                <w:sz w:val="18"/>
                <w:szCs w:val="18"/>
              </w:rPr>
              <w:t>B</w:t>
            </w:r>
            <w:r w:rsidRPr="00D431B3">
              <w:rPr>
                <w:sz w:val="18"/>
                <w:szCs w:val="18"/>
              </w:rPr>
              <w:t>ird</w:t>
            </w:r>
          </w:p>
        </w:tc>
        <w:tc>
          <w:tcPr>
            <w:tcW w:w="4688" w:type="dxa"/>
            <w:tcBorders>
              <w:top w:val="nil"/>
              <w:left w:val="nil"/>
              <w:bottom w:val="single" w:sz="4" w:space="0" w:color="auto"/>
              <w:right w:val="single" w:sz="4" w:space="0" w:color="auto"/>
            </w:tcBorders>
            <w:shd w:val="clear" w:color="auto" w:fill="auto"/>
            <w:noWrap/>
            <w:hideMark/>
          </w:tcPr>
          <w:p w:rsidR="00B72640" w:rsidRPr="00D431B3" w:rsidRDefault="00B72640" w:rsidP="003C4118">
            <w:pPr>
              <w:widowControl w:val="0"/>
              <w:rPr>
                <w:sz w:val="18"/>
                <w:szCs w:val="18"/>
              </w:rPr>
            </w:pPr>
            <w:r w:rsidRPr="00D431B3">
              <w:rPr>
                <w:sz w:val="18"/>
                <w:szCs w:val="18"/>
              </w:rPr>
              <w:t>Bare soils and hops</w:t>
            </w:r>
          </w:p>
        </w:tc>
        <w:tc>
          <w:tcPr>
            <w:tcW w:w="2268" w:type="dxa"/>
            <w:tcBorders>
              <w:top w:val="nil"/>
              <w:left w:val="nil"/>
              <w:bottom w:val="single" w:sz="4" w:space="0" w:color="auto"/>
              <w:right w:val="single" w:sz="4" w:space="0" w:color="auto"/>
            </w:tcBorders>
            <w:shd w:val="clear" w:color="auto" w:fill="auto"/>
            <w:noWrap/>
            <w:hideMark/>
          </w:tcPr>
          <w:p w:rsidR="00B72640" w:rsidRPr="00D431B3" w:rsidRDefault="00B72640" w:rsidP="003C4118">
            <w:pPr>
              <w:widowControl w:val="0"/>
              <w:rPr>
                <w:sz w:val="18"/>
                <w:szCs w:val="18"/>
              </w:rPr>
            </w:pPr>
            <w:r>
              <w:rPr>
                <w:sz w:val="18"/>
                <w:szCs w:val="18"/>
              </w:rPr>
              <w:t>S</w:t>
            </w:r>
            <w:r w:rsidRPr="00D431B3">
              <w:rPr>
                <w:sz w:val="18"/>
                <w:szCs w:val="18"/>
              </w:rPr>
              <w:t>mall granivorous bird</w:t>
            </w:r>
          </w:p>
        </w:tc>
        <w:tc>
          <w:tcPr>
            <w:tcW w:w="756" w:type="dxa"/>
            <w:tcBorders>
              <w:top w:val="nil"/>
              <w:left w:val="nil"/>
              <w:bottom w:val="single" w:sz="4" w:space="0" w:color="auto"/>
              <w:right w:val="single" w:sz="4" w:space="0" w:color="auto"/>
            </w:tcBorders>
            <w:shd w:val="clear" w:color="auto" w:fill="auto"/>
            <w:noWrap/>
            <w:hideMark/>
          </w:tcPr>
          <w:p w:rsidR="00B72640" w:rsidRPr="00D431B3" w:rsidRDefault="00B72640" w:rsidP="003C4118">
            <w:pPr>
              <w:widowControl w:val="0"/>
              <w:jc w:val="center"/>
              <w:rPr>
                <w:sz w:val="18"/>
                <w:szCs w:val="18"/>
              </w:rPr>
            </w:pPr>
            <w:r w:rsidRPr="00D431B3">
              <w:rPr>
                <w:sz w:val="18"/>
                <w:szCs w:val="18"/>
              </w:rPr>
              <w:t>25.3</w:t>
            </w:r>
          </w:p>
        </w:tc>
        <w:tc>
          <w:tcPr>
            <w:tcW w:w="919" w:type="dxa"/>
            <w:tcBorders>
              <w:top w:val="nil"/>
              <w:left w:val="nil"/>
              <w:bottom w:val="single" w:sz="4" w:space="0" w:color="auto"/>
              <w:right w:val="single" w:sz="4" w:space="0" w:color="auto"/>
            </w:tcBorders>
            <w:shd w:val="clear" w:color="auto" w:fill="auto"/>
            <w:noWrap/>
            <w:hideMark/>
          </w:tcPr>
          <w:p w:rsidR="00B72640" w:rsidRPr="00D431B3" w:rsidRDefault="00B72640" w:rsidP="003C4118">
            <w:pPr>
              <w:widowControl w:val="0"/>
              <w:jc w:val="center"/>
              <w:rPr>
                <w:sz w:val="18"/>
                <w:szCs w:val="18"/>
              </w:rPr>
            </w:pPr>
            <w:r w:rsidRPr="00D431B3">
              <w:rPr>
                <w:sz w:val="18"/>
                <w:szCs w:val="18"/>
              </w:rPr>
              <w:t>11.4</w:t>
            </w:r>
          </w:p>
        </w:tc>
      </w:tr>
      <w:tr w:rsidR="00B72640" w:rsidRPr="00D431B3" w:rsidTr="008B68EB">
        <w:trPr>
          <w:cantSplit/>
        </w:trPr>
        <w:tc>
          <w:tcPr>
            <w:tcW w:w="1121" w:type="dxa"/>
            <w:tcBorders>
              <w:top w:val="nil"/>
              <w:left w:val="single" w:sz="4" w:space="0" w:color="auto"/>
              <w:right w:val="single" w:sz="4" w:space="0" w:color="auto"/>
            </w:tcBorders>
            <w:shd w:val="clear" w:color="auto" w:fill="auto"/>
            <w:noWrap/>
          </w:tcPr>
          <w:p w:rsidR="00B72640" w:rsidRPr="00D431B3" w:rsidRDefault="00B72640" w:rsidP="003C4118">
            <w:pPr>
              <w:widowControl w:val="0"/>
              <w:rPr>
                <w:sz w:val="18"/>
                <w:szCs w:val="18"/>
              </w:rPr>
            </w:pPr>
          </w:p>
        </w:tc>
        <w:tc>
          <w:tcPr>
            <w:tcW w:w="4688" w:type="dxa"/>
            <w:tcBorders>
              <w:top w:val="nil"/>
              <w:left w:val="nil"/>
              <w:bottom w:val="single" w:sz="4" w:space="0" w:color="auto"/>
              <w:right w:val="single" w:sz="4" w:space="0" w:color="auto"/>
            </w:tcBorders>
            <w:shd w:val="clear" w:color="auto" w:fill="auto"/>
            <w:noWrap/>
            <w:hideMark/>
          </w:tcPr>
          <w:p w:rsidR="00B72640" w:rsidRPr="00D431B3" w:rsidRDefault="00B72640" w:rsidP="003C4118">
            <w:pPr>
              <w:widowControl w:val="0"/>
              <w:rPr>
                <w:sz w:val="18"/>
                <w:szCs w:val="18"/>
              </w:rPr>
            </w:pPr>
            <w:r w:rsidRPr="00D431B3">
              <w:rPr>
                <w:sz w:val="18"/>
                <w:szCs w:val="18"/>
              </w:rPr>
              <w:t>Grassland</w:t>
            </w:r>
          </w:p>
        </w:tc>
        <w:tc>
          <w:tcPr>
            <w:tcW w:w="2268" w:type="dxa"/>
            <w:tcBorders>
              <w:top w:val="nil"/>
              <w:left w:val="nil"/>
              <w:bottom w:val="single" w:sz="4" w:space="0" w:color="auto"/>
              <w:right w:val="single" w:sz="4" w:space="0" w:color="auto"/>
            </w:tcBorders>
            <w:shd w:val="clear" w:color="auto" w:fill="auto"/>
            <w:noWrap/>
            <w:hideMark/>
          </w:tcPr>
          <w:p w:rsidR="00B72640" w:rsidRPr="00D431B3" w:rsidRDefault="00B72640" w:rsidP="003C4118">
            <w:pPr>
              <w:widowControl w:val="0"/>
              <w:rPr>
                <w:sz w:val="18"/>
                <w:szCs w:val="18"/>
              </w:rPr>
            </w:pPr>
            <w:r w:rsidRPr="00D431B3">
              <w:rPr>
                <w:sz w:val="18"/>
                <w:szCs w:val="18"/>
              </w:rPr>
              <w:t>Large herbivorous bird</w:t>
            </w:r>
          </w:p>
        </w:tc>
        <w:tc>
          <w:tcPr>
            <w:tcW w:w="756" w:type="dxa"/>
            <w:tcBorders>
              <w:top w:val="nil"/>
              <w:left w:val="nil"/>
              <w:bottom w:val="single" w:sz="4" w:space="0" w:color="auto"/>
              <w:right w:val="single" w:sz="4" w:space="0" w:color="auto"/>
            </w:tcBorders>
            <w:shd w:val="clear" w:color="auto" w:fill="auto"/>
            <w:noWrap/>
            <w:hideMark/>
          </w:tcPr>
          <w:p w:rsidR="00B72640" w:rsidRPr="00D431B3" w:rsidRDefault="00B72640" w:rsidP="003C4118">
            <w:pPr>
              <w:widowControl w:val="0"/>
              <w:jc w:val="center"/>
              <w:rPr>
                <w:sz w:val="18"/>
                <w:szCs w:val="18"/>
              </w:rPr>
            </w:pPr>
            <w:r w:rsidRPr="00D431B3">
              <w:rPr>
                <w:sz w:val="18"/>
                <w:szCs w:val="18"/>
              </w:rPr>
              <w:t>30.5</w:t>
            </w:r>
          </w:p>
        </w:tc>
        <w:tc>
          <w:tcPr>
            <w:tcW w:w="919" w:type="dxa"/>
            <w:tcBorders>
              <w:top w:val="nil"/>
              <w:left w:val="nil"/>
              <w:bottom w:val="single" w:sz="4" w:space="0" w:color="auto"/>
              <w:right w:val="single" w:sz="4" w:space="0" w:color="auto"/>
            </w:tcBorders>
            <w:shd w:val="clear" w:color="auto" w:fill="auto"/>
            <w:noWrap/>
            <w:hideMark/>
          </w:tcPr>
          <w:p w:rsidR="00B72640" w:rsidRPr="00D431B3" w:rsidRDefault="00B72640" w:rsidP="003C4118">
            <w:pPr>
              <w:widowControl w:val="0"/>
              <w:jc w:val="center"/>
              <w:rPr>
                <w:sz w:val="18"/>
                <w:szCs w:val="18"/>
              </w:rPr>
            </w:pPr>
            <w:r w:rsidRPr="00D431B3">
              <w:rPr>
                <w:sz w:val="18"/>
                <w:szCs w:val="18"/>
              </w:rPr>
              <w:t>16.2</w:t>
            </w:r>
          </w:p>
        </w:tc>
      </w:tr>
      <w:tr w:rsidR="00B72640" w:rsidRPr="00D431B3" w:rsidTr="008B68EB">
        <w:trPr>
          <w:cantSplit/>
        </w:trPr>
        <w:tc>
          <w:tcPr>
            <w:tcW w:w="1121" w:type="dxa"/>
            <w:tcBorders>
              <w:top w:val="nil"/>
              <w:left w:val="single" w:sz="4" w:space="0" w:color="auto"/>
              <w:right w:val="single" w:sz="4" w:space="0" w:color="auto"/>
            </w:tcBorders>
            <w:shd w:val="clear" w:color="auto" w:fill="auto"/>
            <w:noWrap/>
          </w:tcPr>
          <w:p w:rsidR="00B72640" w:rsidRPr="00D431B3" w:rsidRDefault="00B72640" w:rsidP="003C4118">
            <w:pPr>
              <w:widowControl w:val="0"/>
              <w:rPr>
                <w:sz w:val="18"/>
                <w:szCs w:val="18"/>
              </w:rPr>
            </w:pPr>
          </w:p>
        </w:tc>
        <w:tc>
          <w:tcPr>
            <w:tcW w:w="4688" w:type="dxa"/>
            <w:tcBorders>
              <w:top w:val="nil"/>
              <w:left w:val="nil"/>
              <w:bottom w:val="single" w:sz="4" w:space="0" w:color="auto"/>
              <w:right w:val="single" w:sz="4" w:space="0" w:color="auto"/>
            </w:tcBorders>
            <w:shd w:val="clear" w:color="auto" w:fill="auto"/>
            <w:noWrap/>
            <w:hideMark/>
          </w:tcPr>
          <w:p w:rsidR="00B72640" w:rsidRPr="00D431B3" w:rsidRDefault="00B72640" w:rsidP="003C4118">
            <w:pPr>
              <w:widowControl w:val="0"/>
              <w:rPr>
                <w:sz w:val="18"/>
                <w:szCs w:val="18"/>
              </w:rPr>
            </w:pPr>
            <w:r w:rsidRPr="00D431B3">
              <w:rPr>
                <w:sz w:val="18"/>
                <w:szCs w:val="18"/>
              </w:rPr>
              <w:t>Bush and cane fruit</w:t>
            </w:r>
          </w:p>
        </w:tc>
        <w:tc>
          <w:tcPr>
            <w:tcW w:w="2268" w:type="dxa"/>
            <w:tcBorders>
              <w:top w:val="nil"/>
              <w:left w:val="nil"/>
              <w:bottom w:val="single" w:sz="4" w:space="0" w:color="auto"/>
              <w:right w:val="single" w:sz="4" w:space="0" w:color="auto"/>
            </w:tcBorders>
            <w:shd w:val="clear" w:color="auto" w:fill="auto"/>
            <w:noWrap/>
            <w:hideMark/>
          </w:tcPr>
          <w:p w:rsidR="00B72640" w:rsidRPr="00D431B3" w:rsidRDefault="00B72640" w:rsidP="003C4118">
            <w:pPr>
              <w:widowControl w:val="0"/>
              <w:rPr>
                <w:sz w:val="18"/>
                <w:szCs w:val="18"/>
              </w:rPr>
            </w:pPr>
            <w:r w:rsidRPr="00D431B3">
              <w:rPr>
                <w:sz w:val="18"/>
                <w:szCs w:val="18"/>
              </w:rPr>
              <w:t>small frugivorous bird</w:t>
            </w:r>
          </w:p>
        </w:tc>
        <w:tc>
          <w:tcPr>
            <w:tcW w:w="756" w:type="dxa"/>
            <w:tcBorders>
              <w:top w:val="nil"/>
              <w:left w:val="nil"/>
              <w:bottom w:val="single" w:sz="4" w:space="0" w:color="auto"/>
              <w:right w:val="single" w:sz="4" w:space="0" w:color="auto"/>
            </w:tcBorders>
            <w:shd w:val="clear" w:color="auto" w:fill="auto"/>
            <w:noWrap/>
            <w:hideMark/>
          </w:tcPr>
          <w:p w:rsidR="00B72640" w:rsidRPr="00D431B3" w:rsidRDefault="00B72640" w:rsidP="003C4118">
            <w:pPr>
              <w:widowControl w:val="0"/>
              <w:jc w:val="center"/>
              <w:rPr>
                <w:sz w:val="18"/>
                <w:szCs w:val="18"/>
              </w:rPr>
            </w:pPr>
            <w:r w:rsidRPr="00D431B3">
              <w:rPr>
                <w:sz w:val="18"/>
                <w:szCs w:val="18"/>
              </w:rPr>
              <w:t>52.2</w:t>
            </w:r>
          </w:p>
        </w:tc>
        <w:tc>
          <w:tcPr>
            <w:tcW w:w="919" w:type="dxa"/>
            <w:tcBorders>
              <w:top w:val="nil"/>
              <w:left w:val="nil"/>
              <w:bottom w:val="single" w:sz="4" w:space="0" w:color="auto"/>
              <w:right w:val="single" w:sz="4" w:space="0" w:color="auto"/>
            </w:tcBorders>
            <w:shd w:val="clear" w:color="auto" w:fill="auto"/>
            <w:noWrap/>
            <w:hideMark/>
          </w:tcPr>
          <w:p w:rsidR="00B72640" w:rsidRPr="00D431B3" w:rsidRDefault="00B72640" w:rsidP="003C4118">
            <w:pPr>
              <w:widowControl w:val="0"/>
              <w:jc w:val="center"/>
              <w:rPr>
                <w:sz w:val="18"/>
                <w:szCs w:val="18"/>
              </w:rPr>
            </w:pPr>
            <w:r w:rsidRPr="00D431B3">
              <w:rPr>
                <w:sz w:val="18"/>
                <w:szCs w:val="18"/>
              </w:rPr>
              <w:t>23</w:t>
            </w:r>
          </w:p>
        </w:tc>
      </w:tr>
      <w:tr w:rsidR="00B72640" w:rsidRPr="00D431B3" w:rsidTr="008B68EB">
        <w:trPr>
          <w:cantSplit/>
        </w:trPr>
        <w:tc>
          <w:tcPr>
            <w:tcW w:w="1121" w:type="dxa"/>
            <w:tcBorders>
              <w:top w:val="nil"/>
              <w:left w:val="single" w:sz="4" w:space="0" w:color="auto"/>
              <w:right w:val="single" w:sz="4" w:space="0" w:color="auto"/>
            </w:tcBorders>
            <w:shd w:val="clear" w:color="auto" w:fill="auto"/>
            <w:noWrap/>
          </w:tcPr>
          <w:p w:rsidR="00B72640" w:rsidRPr="00D431B3" w:rsidRDefault="00B72640" w:rsidP="003C4118">
            <w:pPr>
              <w:widowControl w:val="0"/>
              <w:rPr>
                <w:sz w:val="18"/>
                <w:szCs w:val="18"/>
              </w:rPr>
            </w:pPr>
          </w:p>
        </w:tc>
        <w:tc>
          <w:tcPr>
            <w:tcW w:w="4688" w:type="dxa"/>
            <w:tcBorders>
              <w:top w:val="nil"/>
              <w:left w:val="nil"/>
              <w:bottom w:val="single" w:sz="4" w:space="0" w:color="auto"/>
              <w:right w:val="single" w:sz="4" w:space="0" w:color="auto"/>
            </w:tcBorders>
            <w:shd w:val="clear" w:color="auto" w:fill="auto"/>
            <w:noWrap/>
            <w:hideMark/>
          </w:tcPr>
          <w:p w:rsidR="00B72640" w:rsidRPr="00D431B3" w:rsidRDefault="00B72640" w:rsidP="003C4118">
            <w:pPr>
              <w:widowControl w:val="0"/>
              <w:rPr>
                <w:sz w:val="18"/>
                <w:szCs w:val="18"/>
              </w:rPr>
            </w:pPr>
            <w:r w:rsidRPr="00D431B3">
              <w:rPr>
                <w:sz w:val="18"/>
                <w:szCs w:val="18"/>
              </w:rPr>
              <w:t>Orchards and ornamentals/nursery</w:t>
            </w:r>
          </w:p>
        </w:tc>
        <w:tc>
          <w:tcPr>
            <w:tcW w:w="2268" w:type="dxa"/>
            <w:tcBorders>
              <w:top w:val="nil"/>
              <w:left w:val="nil"/>
              <w:bottom w:val="single" w:sz="4" w:space="0" w:color="auto"/>
              <w:right w:val="single" w:sz="4" w:space="0" w:color="auto"/>
            </w:tcBorders>
            <w:shd w:val="clear" w:color="auto" w:fill="auto"/>
            <w:noWrap/>
            <w:hideMark/>
          </w:tcPr>
          <w:p w:rsidR="00B72640" w:rsidRPr="00D431B3" w:rsidRDefault="00B72640" w:rsidP="003C4118">
            <w:pPr>
              <w:widowControl w:val="0"/>
              <w:rPr>
                <w:sz w:val="18"/>
                <w:szCs w:val="18"/>
              </w:rPr>
            </w:pPr>
            <w:r w:rsidRPr="00D431B3">
              <w:rPr>
                <w:sz w:val="18"/>
                <w:szCs w:val="18"/>
              </w:rPr>
              <w:t>Small insectivorous bird</w:t>
            </w:r>
          </w:p>
        </w:tc>
        <w:tc>
          <w:tcPr>
            <w:tcW w:w="756" w:type="dxa"/>
            <w:tcBorders>
              <w:top w:val="nil"/>
              <w:left w:val="nil"/>
              <w:bottom w:val="single" w:sz="4" w:space="0" w:color="auto"/>
              <w:right w:val="single" w:sz="4" w:space="0" w:color="auto"/>
            </w:tcBorders>
            <w:shd w:val="clear" w:color="auto" w:fill="auto"/>
            <w:noWrap/>
            <w:hideMark/>
          </w:tcPr>
          <w:p w:rsidR="00B72640" w:rsidRPr="00D431B3" w:rsidRDefault="00B72640" w:rsidP="003C4118">
            <w:pPr>
              <w:widowControl w:val="0"/>
              <w:jc w:val="center"/>
              <w:rPr>
                <w:sz w:val="18"/>
                <w:szCs w:val="18"/>
              </w:rPr>
            </w:pPr>
            <w:r w:rsidRPr="00D431B3">
              <w:rPr>
                <w:sz w:val="18"/>
                <w:szCs w:val="18"/>
              </w:rPr>
              <w:t>46.8</w:t>
            </w:r>
          </w:p>
        </w:tc>
        <w:tc>
          <w:tcPr>
            <w:tcW w:w="919" w:type="dxa"/>
            <w:tcBorders>
              <w:top w:val="nil"/>
              <w:left w:val="nil"/>
              <w:bottom w:val="single" w:sz="4" w:space="0" w:color="auto"/>
              <w:right w:val="single" w:sz="4" w:space="0" w:color="auto"/>
            </w:tcBorders>
            <w:shd w:val="clear" w:color="auto" w:fill="auto"/>
            <w:noWrap/>
            <w:hideMark/>
          </w:tcPr>
          <w:p w:rsidR="00B72640" w:rsidRPr="00D431B3" w:rsidRDefault="00B72640" w:rsidP="003C4118">
            <w:pPr>
              <w:widowControl w:val="0"/>
              <w:jc w:val="center"/>
              <w:rPr>
                <w:sz w:val="18"/>
                <w:szCs w:val="18"/>
              </w:rPr>
            </w:pPr>
            <w:r w:rsidRPr="00D431B3">
              <w:rPr>
                <w:sz w:val="18"/>
                <w:szCs w:val="18"/>
              </w:rPr>
              <w:t>18.2</w:t>
            </w:r>
          </w:p>
        </w:tc>
      </w:tr>
      <w:tr w:rsidR="00B72640" w:rsidRPr="00D431B3" w:rsidTr="008B68EB">
        <w:trPr>
          <w:cantSplit/>
        </w:trPr>
        <w:tc>
          <w:tcPr>
            <w:tcW w:w="1121" w:type="dxa"/>
            <w:tcBorders>
              <w:top w:val="nil"/>
              <w:left w:val="single" w:sz="4" w:space="0" w:color="auto"/>
              <w:right w:val="single" w:sz="4" w:space="0" w:color="auto"/>
            </w:tcBorders>
            <w:shd w:val="clear" w:color="auto" w:fill="auto"/>
            <w:noWrap/>
          </w:tcPr>
          <w:p w:rsidR="00B72640" w:rsidRPr="00D431B3" w:rsidRDefault="00B72640" w:rsidP="003C4118">
            <w:pPr>
              <w:widowControl w:val="0"/>
              <w:rPr>
                <w:sz w:val="18"/>
                <w:szCs w:val="18"/>
              </w:rPr>
            </w:pPr>
          </w:p>
        </w:tc>
        <w:tc>
          <w:tcPr>
            <w:tcW w:w="4688" w:type="dxa"/>
            <w:tcBorders>
              <w:top w:val="nil"/>
              <w:left w:val="nil"/>
              <w:bottom w:val="single" w:sz="4" w:space="0" w:color="auto"/>
              <w:right w:val="single" w:sz="4" w:space="0" w:color="auto"/>
            </w:tcBorders>
            <w:shd w:val="clear" w:color="auto" w:fill="auto"/>
            <w:noWrap/>
            <w:hideMark/>
          </w:tcPr>
          <w:p w:rsidR="00B72640" w:rsidRPr="00D431B3" w:rsidRDefault="00B72640" w:rsidP="003C4118">
            <w:pPr>
              <w:widowControl w:val="0"/>
              <w:rPr>
                <w:sz w:val="18"/>
                <w:szCs w:val="18"/>
              </w:rPr>
            </w:pPr>
            <w:r w:rsidRPr="00D431B3">
              <w:rPr>
                <w:sz w:val="18"/>
                <w:szCs w:val="18"/>
              </w:rPr>
              <w:t>Vineyards</w:t>
            </w:r>
          </w:p>
        </w:tc>
        <w:tc>
          <w:tcPr>
            <w:tcW w:w="2268" w:type="dxa"/>
            <w:tcBorders>
              <w:top w:val="nil"/>
              <w:left w:val="nil"/>
              <w:bottom w:val="single" w:sz="4" w:space="0" w:color="auto"/>
              <w:right w:val="single" w:sz="4" w:space="0" w:color="auto"/>
            </w:tcBorders>
            <w:shd w:val="clear" w:color="auto" w:fill="auto"/>
            <w:noWrap/>
            <w:hideMark/>
          </w:tcPr>
          <w:p w:rsidR="00B72640" w:rsidRPr="00D431B3" w:rsidRDefault="00B72640" w:rsidP="003C4118">
            <w:pPr>
              <w:widowControl w:val="0"/>
              <w:rPr>
                <w:sz w:val="18"/>
                <w:szCs w:val="18"/>
              </w:rPr>
            </w:pPr>
            <w:r w:rsidRPr="00D431B3">
              <w:rPr>
                <w:sz w:val="18"/>
                <w:szCs w:val="18"/>
              </w:rPr>
              <w:t>Small omnivorous bird</w:t>
            </w:r>
          </w:p>
        </w:tc>
        <w:tc>
          <w:tcPr>
            <w:tcW w:w="756" w:type="dxa"/>
            <w:tcBorders>
              <w:top w:val="nil"/>
              <w:left w:val="nil"/>
              <w:bottom w:val="single" w:sz="4" w:space="0" w:color="auto"/>
              <w:right w:val="single" w:sz="4" w:space="0" w:color="auto"/>
            </w:tcBorders>
            <w:shd w:val="clear" w:color="auto" w:fill="auto"/>
            <w:noWrap/>
            <w:hideMark/>
          </w:tcPr>
          <w:p w:rsidR="00B72640" w:rsidRPr="00D431B3" w:rsidRDefault="00B72640" w:rsidP="003C4118">
            <w:pPr>
              <w:widowControl w:val="0"/>
              <w:jc w:val="center"/>
              <w:rPr>
                <w:sz w:val="18"/>
                <w:szCs w:val="18"/>
              </w:rPr>
            </w:pPr>
            <w:r w:rsidRPr="00D431B3">
              <w:rPr>
                <w:sz w:val="18"/>
                <w:szCs w:val="18"/>
              </w:rPr>
              <w:t>95.3</w:t>
            </w:r>
          </w:p>
        </w:tc>
        <w:tc>
          <w:tcPr>
            <w:tcW w:w="919" w:type="dxa"/>
            <w:tcBorders>
              <w:top w:val="nil"/>
              <w:left w:val="nil"/>
              <w:bottom w:val="single" w:sz="4" w:space="0" w:color="auto"/>
              <w:right w:val="single" w:sz="4" w:space="0" w:color="auto"/>
            </w:tcBorders>
            <w:shd w:val="clear" w:color="auto" w:fill="auto"/>
            <w:noWrap/>
            <w:hideMark/>
          </w:tcPr>
          <w:p w:rsidR="00B72640" w:rsidRPr="00D431B3" w:rsidRDefault="00B72640" w:rsidP="003C4118">
            <w:pPr>
              <w:widowControl w:val="0"/>
              <w:jc w:val="center"/>
              <w:rPr>
                <w:sz w:val="18"/>
                <w:szCs w:val="18"/>
              </w:rPr>
            </w:pPr>
            <w:r w:rsidRPr="00D431B3">
              <w:rPr>
                <w:sz w:val="18"/>
                <w:szCs w:val="18"/>
              </w:rPr>
              <w:t>38.9</w:t>
            </w:r>
          </w:p>
        </w:tc>
      </w:tr>
      <w:tr w:rsidR="00B72640" w:rsidRPr="00D431B3" w:rsidTr="008B68EB">
        <w:trPr>
          <w:cantSplit/>
        </w:trPr>
        <w:tc>
          <w:tcPr>
            <w:tcW w:w="1121" w:type="dxa"/>
            <w:tcBorders>
              <w:top w:val="nil"/>
              <w:left w:val="single" w:sz="4" w:space="0" w:color="auto"/>
              <w:right w:val="single" w:sz="4" w:space="0" w:color="auto"/>
            </w:tcBorders>
            <w:shd w:val="clear" w:color="auto" w:fill="auto"/>
            <w:noWrap/>
          </w:tcPr>
          <w:p w:rsidR="00B72640" w:rsidRPr="00D431B3" w:rsidRDefault="00B72640" w:rsidP="003C4118">
            <w:pPr>
              <w:widowControl w:val="0"/>
              <w:rPr>
                <w:sz w:val="18"/>
                <w:szCs w:val="18"/>
              </w:rPr>
            </w:pPr>
          </w:p>
        </w:tc>
        <w:tc>
          <w:tcPr>
            <w:tcW w:w="4688" w:type="dxa"/>
            <w:tcBorders>
              <w:top w:val="nil"/>
              <w:left w:val="nil"/>
              <w:bottom w:val="single" w:sz="4" w:space="0" w:color="auto"/>
              <w:right w:val="single" w:sz="4" w:space="0" w:color="auto"/>
            </w:tcBorders>
            <w:shd w:val="clear" w:color="auto" w:fill="auto"/>
            <w:noWrap/>
            <w:hideMark/>
          </w:tcPr>
          <w:p w:rsidR="00B72640" w:rsidRPr="00D431B3" w:rsidRDefault="00B72640" w:rsidP="003C4118">
            <w:pPr>
              <w:widowControl w:val="0"/>
              <w:rPr>
                <w:sz w:val="18"/>
                <w:szCs w:val="18"/>
              </w:rPr>
            </w:pPr>
            <w:r w:rsidRPr="00D431B3">
              <w:rPr>
                <w:sz w:val="18"/>
                <w:szCs w:val="18"/>
              </w:rPr>
              <w:t>Bulbs and onion like crops, cereals, fruiting vegetables, leafy vegetables, legume forage, maize, oilseed rape, potatoes, pulses, root and stem vegetables, strawberries, sugar beet, and sunflower</w:t>
            </w:r>
          </w:p>
        </w:tc>
        <w:tc>
          <w:tcPr>
            <w:tcW w:w="2268" w:type="dxa"/>
            <w:tcBorders>
              <w:top w:val="nil"/>
              <w:left w:val="nil"/>
              <w:bottom w:val="single" w:sz="4" w:space="0" w:color="auto"/>
              <w:right w:val="single" w:sz="4" w:space="0" w:color="auto"/>
            </w:tcBorders>
            <w:shd w:val="clear" w:color="auto" w:fill="auto"/>
            <w:noWrap/>
            <w:hideMark/>
          </w:tcPr>
          <w:p w:rsidR="00B72640" w:rsidRPr="00D431B3" w:rsidRDefault="00B72640" w:rsidP="003C4118">
            <w:pPr>
              <w:widowControl w:val="0"/>
              <w:rPr>
                <w:sz w:val="18"/>
                <w:szCs w:val="18"/>
              </w:rPr>
            </w:pPr>
            <w:r w:rsidRPr="00D431B3">
              <w:rPr>
                <w:sz w:val="18"/>
                <w:szCs w:val="18"/>
              </w:rPr>
              <w:t>Small omnivorous bird</w:t>
            </w:r>
          </w:p>
        </w:tc>
        <w:tc>
          <w:tcPr>
            <w:tcW w:w="756" w:type="dxa"/>
            <w:tcBorders>
              <w:top w:val="nil"/>
              <w:left w:val="nil"/>
              <w:bottom w:val="single" w:sz="4" w:space="0" w:color="auto"/>
              <w:right w:val="single" w:sz="4" w:space="0" w:color="auto"/>
            </w:tcBorders>
            <w:shd w:val="clear" w:color="auto" w:fill="auto"/>
            <w:noWrap/>
            <w:hideMark/>
          </w:tcPr>
          <w:p w:rsidR="00B72640" w:rsidRPr="00D431B3" w:rsidRDefault="00B72640" w:rsidP="003C4118">
            <w:pPr>
              <w:widowControl w:val="0"/>
              <w:jc w:val="center"/>
              <w:rPr>
                <w:sz w:val="18"/>
                <w:szCs w:val="18"/>
              </w:rPr>
            </w:pPr>
            <w:r w:rsidRPr="00D431B3">
              <w:rPr>
                <w:sz w:val="18"/>
                <w:szCs w:val="18"/>
              </w:rPr>
              <w:t>158.8</w:t>
            </w:r>
          </w:p>
        </w:tc>
        <w:tc>
          <w:tcPr>
            <w:tcW w:w="919" w:type="dxa"/>
            <w:tcBorders>
              <w:top w:val="nil"/>
              <w:left w:val="nil"/>
              <w:bottom w:val="single" w:sz="4" w:space="0" w:color="auto"/>
              <w:right w:val="single" w:sz="4" w:space="0" w:color="auto"/>
            </w:tcBorders>
            <w:shd w:val="clear" w:color="auto" w:fill="auto"/>
            <w:noWrap/>
            <w:hideMark/>
          </w:tcPr>
          <w:p w:rsidR="00B72640" w:rsidRPr="00D431B3" w:rsidRDefault="00B72640" w:rsidP="003C4118">
            <w:pPr>
              <w:widowControl w:val="0"/>
              <w:jc w:val="center"/>
              <w:rPr>
                <w:sz w:val="18"/>
                <w:szCs w:val="18"/>
              </w:rPr>
            </w:pPr>
            <w:r w:rsidRPr="00D431B3">
              <w:rPr>
                <w:sz w:val="18"/>
                <w:szCs w:val="18"/>
              </w:rPr>
              <w:t>64.8</w:t>
            </w:r>
          </w:p>
        </w:tc>
      </w:tr>
      <w:tr w:rsidR="00B72640" w:rsidRPr="00D431B3" w:rsidTr="008B68EB">
        <w:trPr>
          <w:cantSplit/>
        </w:trPr>
        <w:tc>
          <w:tcPr>
            <w:tcW w:w="1121" w:type="dxa"/>
            <w:tcBorders>
              <w:top w:val="nil"/>
              <w:left w:val="single" w:sz="4" w:space="0" w:color="auto"/>
              <w:bottom w:val="single" w:sz="4" w:space="0" w:color="auto"/>
              <w:right w:val="single" w:sz="4" w:space="0" w:color="auto"/>
            </w:tcBorders>
            <w:shd w:val="clear" w:color="auto" w:fill="auto"/>
            <w:noWrap/>
          </w:tcPr>
          <w:p w:rsidR="00B72640" w:rsidRPr="00D431B3" w:rsidRDefault="00B72640" w:rsidP="003C4118">
            <w:pPr>
              <w:widowControl w:val="0"/>
              <w:rPr>
                <w:sz w:val="18"/>
                <w:szCs w:val="18"/>
              </w:rPr>
            </w:pPr>
          </w:p>
        </w:tc>
        <w:tc>
          <w:tcPr>
            <w:tcW w:w="4688" w:type="dxa"/>
            <w:tcBorders>
              <w:top w:val="nil"/>
              <w:left w:val="nil"/>
              <w:bottom w:val="single" w:sz="4" w:space="0" w:color="auto"/>
              <w:right w:val="single" w:sz="4" w:space="0" w:color="auto"/>
            </w:tcBorders>
            <w:shd w:val="clear" w:color="auto" w:fill="auto"/>
            <w:noWrap/>
            <w:hideMark/>
          </w:tcPr>
          <w:p w:rsidR="00B72640" w:rsidRPr="00D431B3" w:rsidRDefault="00B72640" w:rsidP="003C4118">
            <w:pPr>
              <w:widowControl w:val="0"/>
              <w:rPr>
                <w:sz w:val="18"/>
                <w:szCs w:val="18"/>
              </w:rPr>
            </w:pPr>
            <w:r w:rsidRPr="00D431B3">
              <w:rPr>
                <w:sz w:val="18"/>
                <w:szCs w:val="18"/>
              </w:rPr>
              <w:t>Cotton</w:t>
            </w:r>
          </w:p>
        </w:tc>
        <w:tc>
          <w:tcPr>
            <w:tcW w:w="2268" w:type="dxa"/>
            <w:tcBorders>
              <w:top w:val="nil"/>
              <w:left w:val="nil"/>
              <w:bottom w:val="single" w:sz="4" w:space="0" w:color="auto"/>
              <w:right w:val="single" w:sz="4" w:space="0" w:color="auto"/>
            </w:tcBorders>
            <w:shd w:val="clear" w:color="auto" w:fill="auto"/>
            <w:noWrap/>
            <w:hideMark/>
          </w:tcPr>
          <w:p w:rsidR="00B72640" w:rsidRPr="00D431B3" w:rsidRDefault="00B72640" w:rsidP="003C4118">
            <w:pPr>
              <w:widowControl w:val="0"/>
              <w:rPr>
                <w:sz w:val="18"/>
                <w:szCs w:val="18"/>
              </w:rPr>
            </w:pPr>
            <w:r w:rsidRPr="00D431B3">
              <w:rPr>
                <w:sz w:val="18"/>
                <w:szCs w:val="18"/>
              </w:rPr>
              <w:t>Small omnivorous bird</w:t>
            </w:r>
          </w:p>
        </w:tc>
        <w:tc>
          <w:tcPr>
            <w:tcW w:w="756" w:type="dxa"/>
            <w:tcBorders>
              <w:top w:val="nil"/>
              <w:left w:val="nil"/>
              <w:bottom w:val="single" w:sz="4" w:space="0" w:color="auto"/>
              <w:right w:val="single" w:sz="4" w:space="0" w:color="auto"/>
            </w:tcBorders>
            <w:shd w:val="clear" w:color="auto" w:fill="auto"/>
            <w:noWrap/>
            <w:hideMark/>
          </w:tcPr>
          <w:p w:rsidR="00B72640" w:rsidRPr="00D431B3" w:rsidRDefault="00B72640" w:rsidP="003C4118">
            <w:pPr>
              <w:widowControl w:val="0"/>
              <w:jc w:val="center"/>
              <w:rPr>
                <w:sz w:val="18"/>
                <w:szCs w:val="18"/>
              </w:rPr>
            </w:pPr>
            <w:r w:rsidRPr="00D431B3">
              <w:rPr>
                <w:sz w:val="18"/>
                <w:szCs w:val="18"/>
              </w:rPr>
              <w:t>160.3</w:t>
            </w:r>
          </w:p>
        </w:tc>
        <w:tc>
          <w:tcPr>
            <w:tcW w:w="919" w:type="dxa"/>
            <w:tcBorders>
              <w:top w:val="nil"/>
              <w:left w:val="nil"/>
              <w:bottom w:val="single" w:sz="4" w:space="0" w:color="auto"/>
              <w:right w:val="single" w:sz="4" w:space="0" w:color="auto"/>
            </w:tcBorders>
            <w:shd w:val="clear" w:color="auto" w:fill="auto"/>
            <w:noWrap/>
            <w:hideMark/>
          </w:tcPr>
          <w:p w:rsidR="00B72640" w:rsidRPr="00D431B3" w:rsidRDefault="00B72640" w:rsidP="003C4118">
            <w:pPr>
              <w:widowControl w:val="0"/>
              <w:jc w:val="center"/>
              <w:rPr>
                <w:sz w:val="18"/>
                <w:szCs w:val="18"/>
              </w:rPr>
            </w:pPr>
            <w:r w:rsidRPr="00D431B3">
              <w:rPr>
                <w:sz w:val="18"/>
                <w:szCs w:val="18"/>
              </w:rPr>
              <w:t>65.4</w:t>
            </w:r>
          </w:p>
        </w:tc>
      </w:tr>
      <w:tr w:rsidR="00B72640" w:rsidRPr="00D431B3" w:rsidTr="008B68EB">
        <w:trPr>
          <w:cantSplit/>
        </w:trPr>
        <w:tc>
          <w:tcPr>
            <w:tcW w:w="1121" w:type="dxa"/>
            <w:tcBorders>
              <w:top w:val="single" w:sz="4" w:space="0" w:color="auto"/>
              <w:left w:val="single" w:sz="4" w:space="0" w:color="auto"/>
              <w:right w:val="single" w:sz="4" w:space="0" w:color="auto"/>
            </w:tcBorders>
            <w:shd w:val="clear" w:color="auto" w:fill="auto"/>
            <w:noWrap/>
            <w:hideMark/>
          </w:tcPr>
          <w:p w:rsidR="00B72640" w:rsidRPr="00D431B3" w:rsidRDefault="00B72640" w:rsidP="003C4118">
            <w:pPr>
              <w:widowControl w:val="0"/>
              <w:rPr>
                <w:sz w:val="18"/>
                <w:szCs w:val="18"/>
              </w:rPr>
            </w:pPr>
            <w:r>
              <w:rPr>
                <w:sz w:val="18"/>
                <w:szCs w:val="18"/>
              </w:rPr>
              <w:lastRenderedPageBreak/>
              <w:t>M</w:t>
            </w:r>
            <w:r w:rsidRPr="00D431B3">
              <w:rPr>
                <w:sz w:val="18"/>
                <w:szCs w:val="18"/>
              </w:rPr>
              <w:t>ammal</w:t>
            </w:r>
          </w:p>
        </w:tc>
        <w:tc>
          <w:tcPr>
            <w:tcW w:w="4688" w:type="dxa"/>
            <w:tcBorders>
              <w:top w:val="nil"/>
              <w:left w:val="nil"/>
              <w:bottom w:val="single" w:sz="4" w:space="0" w:color="auto"/>
              <w:right w:val="single" w:sz="4" w:space="0" w:color="auto"/>
            </w:tcBorders>
            <w:shd w:val="clear" w:color="auto" w:fill="auto"/>
            <w:noWrap/>
            <w:hideMark/>
          </w:tcPr>
          <w:p w:rsidR="00B72640" w:rsidRPr="00D431B3" w:rsidRDefault="00B72640" w:rsidP="003C4118">
            <w:pPr>
              <w:widowControl w:val="0"/>
              <w:rPr>
                <w:sz w:val="18"/>
                <w:szCs w:val="18"/>
              </w:rPr>
            </w:pPr>
            <w:r w:rsidRPr="00D431B3">
              <w:rPr>
                <w:sz w:val="18"/>
                <w:szCs w:val="18"/>
              </w:rPr>
              <w:t>Bare soil</w:t>
            </w:r>
          </w:p>
        </w:tc>
        <w:tc>
          <w:tcPr>
            <w:tcW w:w="2268" w:type="dxa"/>
            <w:tcBorders>
              <w:top w:val="nil"/>
              <w:left w:val="nil"/>
              <w:bottom w:val="single" w:sz="4" w:space="0" w:color="auto"/>
              <w:right w:val="single" w:sz="4" w:space="0" w:color="auto"/>
            </w:tcBorders>
            <w:shd w:val="clear" w:color="auto" w:fill="auto"/>
            <w:noWrap/>
            <w:hideMark/>
          </w:tcPr>
          <w:p w:rsidR="00B72640" w:rsidRPr="00D431B3" w:rsidRDefault="00B72640" w:rsidP="003C4118">
            <w:pPr>
              <w:widowControl w:val="0"/>
              <w:rPr>
                <w:sz w:val="18"/>
                <w:szCs w:val="18"/>
              </w:rPr>
            </w:pPr>
            <w:r>
              <w:rPr>
                <w:sz w:val="18"/>
                <w:szCs w:val="18"/>
              </w:rPr>
              <w:t>S</w:t>
            </w:r>
            <w:r w:rsidRPr="00D431B3">
              <w:rPr>
                <w:sz w:val="18"/>
                <w:szCs w:val="18"/>
              </w:rPr>
              <w:t>mall granivorous mammal</w:t>
            </w:r>
          </w:p>
        </w:tc>
        <w:tc>
          <w:tcPr>
            <w:tcW w:w="756" w:type="dxa"/>
            <w:tcBorders>
              <w:top w:val="nil"/>
              <w:left w:val="nil"/>
              <w:bottom w:val="single" w:sz="4" w:space="0" w:color="auto"/>
              <w:right w:val="single" w:sz="4" w:space="0" w:color="auto"/>
            </w:tcBorders>
            <w:shd w:val="clear" w:color="auto" w:fill="auto"/>
            <w:noWrap/>
            <w:hideMark/>
          </w:tcPr>
          <w:p w:rsidR="00B72640" w:rsidRPr="00D431B3" w:rsidRDefault="00B72640" w:rsidP="003C4118">
            <w:pPr>
              <w:widowControl w:val="0"/>
              <w:jc w:val="center"/>
              <w:rPr>
                <w:sz w:val="18"/>
                <w:szCs w:val="18"/>
              </w:rPr>
            </w:pPr>
            <w:r w:rsidRPr="00D431B3">
              <w:rPr>
                <w:sz w:val="18"/>
                <w:szCs w:val="18"/>
              </w:rPr>
              <w:t>14.4</w:t>
            </w:r>
          </w:p>
        </w:tc>
        <w:tc>
          <w:tcPr>
            <w:tcW w:w="919" w:type="dxa"/>
            <w:tcBorders>
              <w:top w:val="nil"/>
              <w:left w:val="nil"/>
              <w:bottom w:val="single" w:sz="4" w:space="0" w:color="auto"/>
              <w:right w:val="single" w:sz="4" w:space="0" w:color="auto"/>
            </w:tcBorders>
            <w:shd w:val="clear" w:color="auto" w:fill="auto"/>
            <w:noWrap/>
            <w:hideMark/>
          </w:tcPr>
          <w:p w:rsidR="00B72640" w:rsidRPr="00D431B3" w:rsidRDefault="00B72640" w:rsidP="003C4118">
            <w:pPr>
              <w:widowControl w:val="0"/>
              <w:jc w:val="center"/>
              <w:rPr>
                <w:sz w:val="18"/>
                <w:szCs w:val="18"/>
              </w:rPr>
            </w:pPr>
            <w:r w:rsidRPr="00D431B3">
              <w:rPr>
                <w:sz w:val="18"/>
                <w:szCs w:val="18"/>
              </w:rPr>
              <w:t>6.6</w:t>
            </w:r>
          </w:p>
        </w:tc>
      </w:tr>
      <w:tr w:rsidR="00B72640" w:rsidRPr="00D431B3" w:rsidTr="008B68EB">
        <w:trPr>
          <w:cantSplit/>
        </w:trPr>
        <w:tc>
          <w:tcPr>
            <w:tcW w:w="1121" w:type="dxa"/>
            <w:tcBorders>
              <w:top w:val="nil"/>
              <w:left w:val="single" w:sz="4" w:space="0" w:color="auto"/>
              <w:right w:val="single" w:sz="4" w:space="0" w:color="auto"/>
            </w:tcBorders>
            <w:shd w:val="clear" w:color="auto" w:fill="auto"/>
            <w:noWrap/>
          </w:tcPr>
          <w:p w:rsidR="00B72640" w:rsidRPr="00D431B3" w:rsidRDefault="00B72640" w:rsidP="003C4118">
            <w:pPr>
              <w:widowControl w:val="0"/>
              <w:rPr>
                <w:sz w:val="18"/>
                <w:szCs w:val="18"/>
              </w:rPr>
            </w:pPr>
          </w:p>
        </w:tc>
        <w:tc>
          <w:tcPr>
            <w:tcW w:w="4688" w:type="dxa"/>
            <w:tcBorders>
              <w:top w:val="nil"/>
              <w:left w:val="nil"/>
              <w:bottom w:val="single" w:sz="4" w:space="0" w:color="auto"/>
              <w:right w:val="single" w:sz="4" w:space="0" w:color="auto"/>
            </w:tcBorders>
            <w:shd w:val="clear" w:color="auto" w:fill="auto"/>
            <w:noWrap/>
            <w:hideMark/>
          </w:tcPr>
          <w:p w:rsidR="00B72640" w:rsidRPr="00D431B3" w:rsidRDefault="00B72640" w:rsidP="003C4118">
            <w:pPr>
              <w:widowControl w:val="0"/>
              <w:rPr>
                <w:sz w:val="18"/>
                <w:szCs w:val="18"/>
              </w:rPr>
            </w:pPr>
            <w:r w:rsidRPr="00D431B3">
              <w:rPr>
                <w:sz w:val="18"/>
                <w:szCs w:val="18"/>
              </w:rPr>
              <w:t>Bush and cane fruit</w:t>
            </w:r>
          </w:p>
        </w:tc>
        <w:tc>
          <w:tcPr>
            <w:tcW w:w="2268" w:type="dxa"/>
            <w:tcBorders>
              <w:top w:val="nil"/>
              <w:left w:val="nil"/>
              <w:bottom w:val="single" w:sz="4" w:space="0" w:color="auto"/>
              <w:right w:val="single" w:sz="4" w:space="0" w:color="auto"/>
            </w:tcBorders>
            <w:shd w:val="clear" w:color="auto" w:fill="auto"/>
            <w:noWrap/>
            <w:hideMark/>
          </w:tcPr>
          <w:p w:rsidR="00B72640" w:rsidRPr="00D431B3" w:rsidRDefault="00B72640" w:rsidP="003C4118">
            <w:pPr>
              <w:widowControl w:val="0"/>
              <w:rPr>
                <w:sz w:val="18"/>
                <w:szCs w:val="18"/>
              </w:rPr>
            </w:pPr>
            <w:r w:rsidRPr="00D431B3">
              <w:rPr>
                <w:sz w:val="18"/>
                <w:szCs w:val="18"/>
              </w:rPr>
              <w:t>Small herbivorous mammal</w:t>
            </w:r>
          </w:p>
        </w:tc>
        <w:tc>
          <w:tcPr>
            <w:tcW w:w="756" w:type="dxa"/>
            <w:tcBorders>
              <w:top w:val="nil"/>
              <w:left w:val="nil"/>
              <w:bottom w:val="single" w:sz="4" w:space="0" w:color="auto"/>
              <w:right w:val="single" w:sz="4" w:space="0" w:color="auto"/>
            </w:tcBorders>
            <w:shd w:val="clear" w:color="auto" w:fill="auto"/>
            <w:noWrap/>
            <w:hideMark/>
          </w:tcPr>
          <w:p w:rsidR="00B72640" w:rsidRPr="00D431B3" w:rsidRDefault="00B72640" w:rsidP="003C4118">
            <w:pPr>
              <w:widowControl w:val="0"/>
              <w:jc w:val="center"/>
              <w:rPr>
                <w:sz w:val="18"/>
                <w:szCs w:val="18"/>
              </w:rPr>
            </w:pPr>
            <w:r w:rsidRPr="00D431B3">
              <w:rPr>
                <w:sz w:val="18"/>
                <w:szCs w:val="18"/>
              </w:rPr>
              <w:t>81.9</w:t>
            </w:r>
          </w:p>
        </w:tc>
        <w:tc>
          <w:tcPr>
            <w:tcW w:w="919" w:type="dxa"/>
            <w:tcBorders>
              <w:top w:val="nil"/>
              <w:left w:val="nil"/>
              <w:bottom w:val="single" w:sz="4" w:space="0" w:color="auto"/>
              <w:right w:val="single" w:sz="4" w:space="0" w:color="auto"/>
            </w:tcBorders>
            <w:shd w:val="clear" w:color="auto" w:fill="auto"/>
            <w:noWrap/>
            <w:hideMark/>
          </w:tcPr>
          <w:p w:rsidR="00B72640" w:rsidRPr="00D431B3" w:rsidRDefault="00B72640" w:rsidP="003C4118">
            <w:pPr>
              <w:widowControl w:val="0"/>
              <w:jc w:val="center"/>
              <w:rPr>
                <w:sz w:val="18"/>
                <w:szCs w:val="18"/>
              </w:rPr>
            </w:pPr>
            <w:r w:rsidRPr="00D431B3">
              <w:rPr>
                <w:sz w:val="18"/>
                <w:szCs w:val="18"/>
              </w:rPr>
              <w:t>43.4</w:t>
            </w:r>
          </w:p>
        </w:tc>
      </w:tr>
      <w:tr w:rsidR="00B72640" w:rsidRPr="00D431B3" w:rsidTr="008B68EB">
        <w:trPr>
          <w:cantSplit/>
        </w:trPr>
        <w:tc>
          <w:tcPr>
            <w:tcW w:w="1121" w:type="dxa"/>
            <w:tcBorders>
              <w:top w:val="nil"/>
              <w:left w:val="single" w:sz="4" w:space="0" w:color="auto"/>
              <w:right w:val="single" w:sz="4" w:space="0" w:color="auto"/>
            </w:tcBorders>
            <w:shd w:val="clear" w:color="auto" w:fill="auto"/>
            <w:noWrap/>
          </w:tcPr>
          <w:p w:rsidR="00B72640" w:rsidRPr="00D431B3" w:rsidRDefault="00B72640" w:rsidP="003C4118">
            <w:pPr>
              <w:widowControl w:val="0"/>
              <w:rPr>
                <w:sz w:val="18"/>
                <w:szCs w:val="18"/>
              </w:rPr>
            </w:pPr>
          </w:p>
        </w:tc>
        <w:tc>
          <w:tcPr>
            <w:tcW w:w="4688" w:type="dxa"/>
            <w:tcBorders>
              <w:top w:val="nil"/>
              <w:left w:val="nil"/>
              <w:bottom w:val="single" w:sz="4" w:space="0" w:color="auto"/>
              <w:right w:val="single" w:sz="4" w:space="0" w:color="auto"/>
            </w:tcBorders>
            <w:shd w:val="clear" w:color="auto" w:fill="auto"/>
            <w:noWrap/>
            <w:hideMark/>
          </w:tcPr>
          <w:p w:rsidR="00B72640" w:rsidRPr="00D431B3" w:rsidRDefault="00B72640" w:rsidP="003C4118">
            <w:pPr>
              <w:widowControl w:val="0"/>
              <w:rPr>
                <w:sz w:val="18"/>
                <w:szCs w:val="18"/>
              </w:rPr>
            </w:pPr>
            <w:r w:rsidRPr="00D431B3">
              <w:rPr>
                <w:sz w:val="18"/>
                <w:szCs w:val="18"/>
              </w:rPr>
              <w:t>Bulbs and onion like crops, cereals, oilseed rape, potatoes, root and stem vegetables, strawberries, sugar beet, and sunflower</w:t>
            </w:r>
          </w:p>
        </w:tc>
        <w:tc>
          <w:tcPr>
            <w:tcW w:w="2268" w:type="dxa"/>
            <w:tcBorders>
              <w:top w:val="nil"/>
              <w:left w:val="nil"/>
              <w:bottom w:val="single" w:sz="4" w:space="0" w:color="auto"/>
              <w:right w:val="single" w:sz="4" w:space="0" w:color="auto"/>
            </w:tcBorders>
            <w:shd w:val="clear" w:color="auto" w:fill="auto"/>
            <w:noWrap/>
            <w:hideMark/>
          </w:tcPr>
          <w:p w:rsidR="00B72640" w:rsidRPr="00D431B3" w:rsidRDefault="00B72640" w:rsidP="003C4118">
            <w:pPr>
              <w:widowControl w:val="0"/>
              <w:rPr>
                <w:sz w:val="18"/>
                <w:szCs w:val="18"/>
              </w:rPr>
            </w:pPr>
            <w:r w:rsidRPr="00D431B3">
              <w:rPr>
                <w:sz w:val="18"/>
                <w:szCs w:val="18"/>
              </w:rPr>
              <w:t>Small herbivorous mammal</w:t>
            </w:r>
          </w:p>
        </w:tc>
        <w:tc>
          <w:tcPr>
            <w:tcW w:w="756" w:type="dxa"/>
            <w:tcBorders>
              <w:top w:val="nil"/>
              <w:left w:val="nil"/>
              <w:bottom w:val="single" w:sz="4" w:space="0" w:color="auto"/>
              <w:right w:val="single" w:sz="4" w:space="0" w:color="auto"/>
            </w:tcBorders>
            <w:shd w:val="clear" w:color="auto" w:fill="auto"/>
            <w:noWrap/>
            <w:hideMark/>
          </w:tcPr>
          <w:p w:rsidR="00B72640" w:rsidRPr="00D431B3" w:rsidRDefault="00B72640" w:rsidP="003C4118">
            <w:pPr>
              <w:widowControl w:val="0"/>
              <w:jc w:val="center"/>
              <w:rPr>
                <w:sz w:val="18"/>
                <w:szCs w:val="18"/>
              </w:rPr>
            </w:pPr>
            <w:r w:rsidRPr="00D431B3">
              <w:rPr>
                <w:sz w:val="18"/>
                <w:szCs w:val="18"/>
              </w:rPr>
              <w:t>118.4</w:t>
            </w:r>
          </w:p>
        </w:tc>
        <w:tc>
          <w:tcPr>
            <w:tcW w:w="919" w:type="dxa"/>
            <w:tcBorders>
              <w:top w:val="nil"/>
              <w:left w:val="nil"/>
              <w:bottom w:val="single" w:sz="4" w:space="0" w:color="auto"/>
              <w:right w:val="single" w:sz="4" w:space="0" w:color="auto"/>
            </w:tcBorders>
            <w:shd w:val="clear" w:color="auto" w:fill="auto"/>
            <w:noWrap/>
            <w:hideMark/>
          </w:tcPr>
          <w:p w:rsidR="00B72640" w:rsidRPr="00D431B3" w:rsidRDefault="00B72640" w:rsidP="003C4118">
            <w:pPr>
              <w:widowControl w:val="0"/>
              <w:jc w:val="center"/>
              <w:rPr>
                <w:sz w:val="18"/>
                <w:szCs w:val="18"/>
              </w:rPr>
            </w:pPr>
            <w:r w:rsidRPr="00D431B3">
              <w:rPr>
                <w:sz w:val="18"/>
                <w:szCs w:val="18"/>
              </w:rPr>
              <w:t>48.3</w:t>
            </w:r>
          </w:p>
        </w:tc>
      </w:tr>
      <w:tr w:rsidR="00B72640" w:rsidRPr="00D431B3" w:rsidTr="008B68EB">
        <w:trPr>
          <w:cantSplit/>
        </w:trPr>
        <w:tc>
          <w:tcPr>
            <w:tcW w:w="1121" w:type="dxa"/>
            <w:tcBorders>
              <w:top w:val="nil"/>
              <w:left w:val="single" w:sz="4" w:space="0" w:color="auto"/>
              <w:bottom w:val="single" w:sz="4" w:space="0" w:color="auto"/>
              <w:right w:val="single" w:sz="4" w:space="0" w:color="auto"/>
            </w:tcBorders>
            <w:shd w:val="clear" w:color="auto" w:fill="auto"/>
            <w:noWrap/>
          </w:tcPr>
          <w:p w:rsidR="00B72640" w:rsidRPr="00D431B3" w:rsidRDefault="00B72640" w:rsidP="003C4118">
            <w:pPr>
              <w:widowControl w:val="0"/>
              <w:rPr>
                <w:sz w:val="18"/>
                <w:szCs w:val="18"/>
              </w:rPr>
            </w:pPr>
          </w:p>
        </w:tc>
        <w:tc>
          <w:tcPr>
            <w:tcW w:w="4688" w:type="dxa"/>
            <w:tcBorders>
              <w:top w:val="nil"/>
              <w:left w:val="nil"/>
              <w:bottom w:val="single" w:sz="4" w:space="0" w:color="auto"/>
              <w:right w:val="single" w:sz="4" w:space="0" w:color="auto"/>
            </w:tcBorders>
            <w:shd w:val="clear" w:color="auto" w:fill="auto"/>
            <w:noWrap/>
            <w:hideMark/>
          </w:tcPr>
          <w:p w:rsidR="00B72640" w:rsidRPr="00D431B3" w:rsidRDefault="00B72640" w:rsidP="003C4118">
            <w:pPr>
              <w:widowControl w:val="0"/>
              <w:rPr>
                <w:sz w:val="18"/>
                <w:szCs w:val="18"/>
              </w:rPr>
            </w:pPr>
            <w:r w:rsidRPr="00D431B3">
              <w:rPr>
                <w:sz w:val="18"/>
                <w:szCs w:val="18"/>
              </w:rPr>
              <w:t>Cotton, fruiting vegetables, grassland, leafy vegetables, legume forage, maize, orchards, ornamentals/nursery, pulses, and vineyard</w:t>
            </w:r>
          </w:p>
        </w:tc>
        <w:tc>
          <w:tcPr>
            <w:tcW w:w="2268" w:type="dxa"/>
            <w:tcBorders>
              <w:top w:val="nil"/>
              <w:left w:val="nil"/>
              <w:bottom w:val="single" w:sz="4" w:space="0" w:color="auto"/>
              <w:right w:val="single" w:sz="4" w:space="0" w:color="auto"/>
            </w:tcBorders>
            <w:shd w:val="clear" w:color="auto" w:fill="auto"/>
            <w:noWrap/>
            <w:hideMark/>
          </w:tcPr>
          <w:p w:rsidR="00B72640" w:rsidRPr="00D431B3" w:rsidRDefault="00B72640" w:rsidP="003C4118">
            <w:pPr>
              <w:widowControl w:val="0"/>
              <w:rPr>
                <w:sz w:val="18"/>
                <w:szCs w:val="18"/>
              </w:rPr>
            </w:pPr>
            <w:r w:rsidRPr="00D431B3">
              <w:rPr>
                <w:sz w:val="18"/>
                <w:szCs w:val="18"/>
              </w:rPr>
              <w:t>Small herbivorous mammal</w:t>
            </w:r>
          </w:p>
        </w:tc>
        <w:tc>
          <w:tcPr>
            <w:tcW w:w="756" w:type="dxa"/>
            <w:tcBorders>
              <w:top w:val="nil"/>
              <w:left w:val="nil"/>
              <w:bottom w:val="single" w:sz="4" w:space="0" w:color="auto"/>
              <w:right w:val="single" w:sz="4" w:space="0" w:color="auto"/>
            </w:tcBorders>
            <w:shd w:val="clear" w:color="auto" w:fill="auto"/>
            <w:noWrap/>
            <w:hideMark/>
          </w:tcPr>
          <w:p w:rsidR="00B72640" w:rsidRPr="00D431B3" w:rsidRDefault="00B72640" w:rsidP="003C4118">
            <w:pPr>
              <w:widowControl w:val="0"/>
              <w:jc w:val="center"/>
              <w:rPr>
                <w:sz w:val="18"/>
                <w:szCs w:val="18"/>
              </w:rPr>
            </w:pPr>
            <w:r w:rsidRPr="00D431B3">
              <w:rPr>
                <w:sz w:val="18"/>
                <w:szCs w:val="18"/>
              </w:rPr>
              <w:t>136.4</w:t>
            </w:r>
          </w:p>
        </w:tc>
        <w:tc>
          <w:tcPr>
            <w:tcW w:w="919" w:type="dxa"/>
            <w:tcBorders>
              <w:top w:val="nil"/>
              <w:left w:val="nil"/>
              <w:bottom w:val="single" w:sz="4" w:space="0" w:color="auto"/>
              <w:right w:val="single" w:sz="4" w:space="0" w:color="auto"/>
            </w:tcBorders>
            <w:shd w:val="clear" w:color="auto" w:fill="auto"/>
            <w:noWrap/>
            <w:hideMark/>
          </w:tcPr>
          <w:p w:rsidR="00B72640" w:rsidRPr="00D431B3" w:rsidRDefault="00B72640" w:rsidP="003C4118">
            <w:pPr>
              <w:widowControl w:val="0"/>
              <w:jc w:val="center"/>
              <w:rPr>
                <w:sz w:val="18"/>
                <w:szCs w:val="18"/>
              </w:rPr>
            </w:pPr>
            <w:r w:rsidRPr="00D431B3">
              <w:rPr>
                <w:sz w:val="18"/>
                <w:szCs w:val="18"/>
              </w:rPr>
              <w:t>72.3</w:t>
            </w:r>
          </w:p>
        </w:tc>
      </w:tr>
    </w:tbl>
    <w:p w:rsidR="00B72640" w:rsidRPr="003B52EE" w:rsidRDefault="00B72640" w:rsidP="00B72640">
      <w:pPr>
        <w:pStyle w:val="BodyText"/>
        <w:rPr>
          <w:sz w:val="20"/>
        </w:rPr>
      </w:pPr>
    </w:p>
    <w:p w:rsidR="008B68EB" w:rsidRPr="009A4CFC" w:rsidRDefault="008B68EB" w:rsidP="008B68EB">
      <w:pPr>
        <w:pStyle w:val="Caption"/>
      </w:pPr>
      <w:r w:rsidRPr="009A4CFC">
        <w:t xml:space="preserve">Table </w:t>
      </w:r>
      <w:r w:rsidR="00EA08EB">
        <w:rPr>
          <w:noProof/>
        </w:rPr>
        <w:fldChar w:fldCharType="begin"/>
      </w:r>
      <w:r w:rsidR="00EA08EB">
        <w:rPr>
          <w:noProof/>
        </w:rPr>
        <w:instrText xml:space="preserve"> SEQ Table \* ARABIC </w:instrText>
      </w:r>
      <w:r w:rsidR="00EA08EB">
        <w:rPr>
          <w:noProof/>
        </w:rPr>
        <w:fldChar w:fldCharType="separate"/>
      </w:r>
      <w:r w:rsidR="00225D67">
        <w:rPr>
          <w:noProof/>
        </w:rPr>
        <w:t>8</w:t>
      </w:r>
      <w:r w:rsidR="00EA08EB">
        <w:rPr>
          <w:noProof/>
        </w:rPr>
        <w:fldChar w:fldCharType="end"/>
      </w:r>
      <w:r w:rsidRPr="009A4CFC">
        <w:t xml:space="preserve"> - </w:t>
      </w:r>
      <w:r w:rsidRPr="008B68EB">
        <w:t>Screening level assessment of risks to terrestrial vertebrates (crop group: orchards)</w:t>
      </w:r>
    </w:p>
    <w:tbl>
      <w:tblPr>
        <w:tblW w:w="5000" w:type="pct"/>
        <w:tblCellMar>
          <w:top w:w="57" w:type="dxa"/>
          <w:left w:w="57" w:type="dxa"/>
          <w:bottom w:w="57" w:type="dxa"/>
          <w:right w:w="57" w:type="dxa"/>
        </w:tblCellMar>
        <w:tblLook w:val="04A0" w:firstRow="1" w:lastRow="0" w:firstColumn="1" w:lastColumn="0" w:noHBand="0" w:noVBand="1"/>
      </w:tblPr>
      <w:tblGrid>
        <w:gridCol w:w="838"/>
        <w:gridCol w:w="1732"/>
        <w:gridCol w:w="972"/>
        <w:gridCol w:w="1419"/>
        <w:gridCol w:w="1534"/>
        <w:gridCol w:w="1367"/>
        <w:gridCol w:w="1367"/>
        <w:gridCol w:w="399"/>
      </w:tblGrid>
      <w:tr w:rsidR="00B72640" w:rsidRPr="009957D7" w:rsidTr="003C4118">
        <w:trPr>
          <w:cantSplit/>
          <w:trHeight w:val="300"/>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B72640" w:rsidRPr="009957D7" w:rsidRDefault="00B72640" w:rsidP="003C4118">
            <w:pPr>
              <w:widowControl w:val="0"/>
              <w:jc w:val="center"/>
              <w:rPr>
                <w:b/>
                <w:sz w:val="18"/>
                <w:lang w:eastAsia="en-AU"/>
              </w:rPr>
            </w:pPr>
            <w:r>
              <w:rPr>
                <w:b/>
                <w:sz w:val="18"/>
                <w:lang w:eastAsia="en-AU"/>
              </w:rPr>
              <w:t>Group</w:t>
            </w:r>
          </w:p>
        </w:tc>
        <w:tc>
          <w:tcPr>
            <w:tcW w:w="0" w:type="auto"/>
            <w:tcBorders>
              <w:top w:val="single" w:sz="4" w:space="0" w:color="auto"/>
              <w:left w:val="nil"/>
              <w:bottom w:val="single" w:sz="4" w:space="0" w:color="auto"/>
              <w:right w:val="single" w:sz="4" w:space="0" w:color="auto"/>
            </w:tcBorders>
            <w:shd w:val="clear" w:color="auto" w:fill="auto"/>
            <w:noWrap/>
            <w:hideMark/>
          </w:tcPr>
          <w:p w:rsidR="00B72640" w:rsidRPr="009957D7" w:rsidRDefault="00B72640" w:rsidP="003C4118">
            <w:pPr>
              <w:widowControl w:val="0"/>
              <w:jc w:val="center"/>
              <w:rPr>
                <w:b/>
                <w:sz w:val="18"/>
                <w:lang w:eastAsia="en-AU"/>
              </w:rPr>
            </w:pPr>
            <w:r w:rsidRPr="009957D7">
              <w:rPr>
                <w:b/>
                <w:sz w:val="18"/>
                <w:lang w:eastAsia="en-AU"/>
              </w:rPr>
              <w:t>Indicator species</w:t>
            </w:r>
          </w:p>
        </w:tc>
        <w:tc>
          <w:tcPr>
            <w:tcW w:w="0" w:type="auto"/>
            <w:tcBorders>
              <w:top w:val="single" w:sz="4" w:space="0" w:color="auto"/>
              <w:left w:val="nil"/>
              <w:bottom w:val="single" w:sz="4" w:space="0" w:color="auto"/>
              <w:right w:val="single" w:sz="4" w:space="0" w:color="auto"/>
            </w:tcBorders>
          </w:tcPr>
          <w:p w:rsidR="00B72640" w:rsidRPr="009957D7" w:rsidRDefault="00B72640" w:rsidP="003C4118">
            <w:pPr>
              <w:widowControl w:val="0"/>
              <w:jc w:val="center"/>
              <w:rPr>
                <w:b/>
                <w:sz w:val="18"/>
                <w:lang w:eastAsia="en-AU"/>
              </w:rPr>
            </w:pPr>
            <w:r>
              <w:rPr>
                <w:b/>
                <w:sz w:val="18"/>
                <w:lang w:eastAsia="en-AU"/>
              </w:rPr>
              <w:t>Exposure</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B72640" w:rsidRPr="009957D7" w:rsidRDefault="00B72640" w:rsidP="003C4118">
            <w:pPr>
              <w:widowControl w:val="0"/>
              <w:jc w:val="center"/>
              <w:rPr>
                <w:b/>
                <w:sz w:val="18"/>
                <w:lang w:eastAsia="en-AU"/>
              </w:rPr>
            </w:pPr>
            <w:r w:rsidRPr="009957D7">
              <w:rPr>
                <w:b/>
                <w:sz w:val="18"/>
                <w:lang w:eastAsia="en-AU"/>
              </w:rPr>
              <w:t>Shortcut value</w:t>
            </w:r>
          </w:p>
        </w:tc>
        <w:tc>
          <w:tcPr>
            <w:tcW w:w="0" w:type="auto"/>
            <w:tcBorders>
              <w:top w:val="single" w:sz="4" w:space="0" w:color="auto"/>
              <w:left w:val="nil"/>
              <w:bottom w:val="single" w:sz="4" w:space="0" w:color="auto"/>
              <w:right w:val="single" w:sz="4" w:space="0" w:color="auto"/>
            </w:tcBorders>
          </w:tcPr>
          <w:p w:rsidR="00B72640" w:rsidRDefault="00B72640" w:rsidP="003C4118">
            <w:pPr>
              <w:widowControl w:val="0"/>
              <w:jc w:val="center"/>
              <w:rPr>
                <w:b/>
                <w:sz w:val="18"/>
                <w:lang w:eastAsia="en-AU"/>
              </w:rPr>
            </w:pPr>
            <w:r>
              <w:rPr>
                <w:b/>
                <w:sz w:val="18"/>
                <w:lang w:eastAsia="en-AU"/>
              </w:rPr>
              <w:t>Application rate</w:t>
            </w:r>
          </w:p>
          <w:p w:rsidR="00B72640" w:rsidRPr="009957D7" w:rsidRDefault="00B72640" w:rsidP="003C4118">
            <w:pPr>
              <w:widowControl w:val="0"/>
              <w:jc w:val="center"/>
              <w:rPr>
                <w:b/>
                <w:sz w:val="18"/>
                <w:lang w:eastAsia="en-AU"/>
              </w:rPr>
            </w:pPr>
            <w:r>
              <w:rPr>
                <w:b/>
                <w:sz w:val="18"/>
                <w:lang w:eastAsia="en-AU"/>
              </w:rPr>
              <w:t>(kg ac/ha)</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B72640" w:rsidRPr="009957D7" w:rsidRDefault="00B72640" w:rsidP="003C4118">
            <w:pPr>
              <w:widowControl w:val="0"/>
              <w:jc w:val="center"/>
              <w:rPr>
                <w:b/>
                <w:sz w:val="18"/>
                <w:lang w:eastAsia="en-AU"/>
              </w:rPr>
            </w:pPr>
            <w:r w:rsidRPr="009957D7">
              <w:rPr>
                <w:b/>
                <w:sz w:val="18"/>
                <w:lang w:eastAsia="en-AU"/>
              </w:rPr>
              <w:t>DDD</w:t>
            </w:r>
          </w:p>
          <w:p w:rsidR="00B72640" w:rsidRPr="009957D7" w:rsidRDefault="00B72640" w:rsidP="003C4118">
            <w:pPr>
              <w:widowControl w:val="0"/>
              <w:jc w:val="center"/>
              <w:rPr>
                <w:b/>
                <w:sz w:val="18"/>
                <w:lang w:eastAsia="en-AU"/>
              </w:rPr>
            </w:pPr>
            <w:r w:rsidRPr="009957D7">
              <w:rPr>
                <w:b/>
                <w:sz w:val="18"/>
                <w:lang w:eastAsia="en-AU"/>
              </w:rPr>
              <w:t>(mg ac/kg bw)</w:t>
            </w:r>
          </w:p>
        </w:tc>
        <w:tc>
          <w:tcPr>
            <w:tcW w:w="0" w:type="auto"/>
            <w:tcBorders>
              <w:top w:val="single" w:sz="4" w:space="0" w:color="auto"/>
              <w:left w:val="nil"/>
              <w:bottom w:val="single" w:sz="4" w:space="0" w:color="auto"/>
              <w:right w:val="single" w:sz="4" w:space="0" w:color="auto"/>
            </w:tcBorders>
            <w:shd w:val="clear" w:color="auto" w:fill="auto"/>
            <w:noWrap/>
            <w:hideMark/>
          </w:tcPr>
          <w:p w:rsidR="00B72640" w:rsidRPr="009957D7" w:rsidRDefault="00B72640" w:rsidP="003C4118">
            <w:pPr>
              <w:widowControl w:val="0"/>
              <w:jc w:val="center"/>
              <w:rPr>
                <w:b/>
                <w:sz w:val="18"/>
                <w:lang w:eastAsia="en-AU"/>
              </w:rPr>
            </w:pPr>
            <w:r w:rsidRPr="009957D7">
              <w:rPr>
                <w:b/>
                <w:sz w:val="18"/>
                <w:lang w:eastAsia="en-AU"/>
              </w:rPr>
              <w:t>RAD</w:t>
            </w:r>
          </w:p>
          <w:p w:rsidR="00B72640" w:rsidRPr="009957D7" w:rsidRDefault="00B72640" w:rsidP="003C4118">
            <w:pPr>
              <w:widowControl w:val="0"/>
              <w:jc w:val="center"/>
              <w:rPr>
                <w:b/>
                <w:sz w:val="18"/>
                <w:lang w:eastAsia="en-AU"/>
              </w:rPr>
            </w:pPr>
            <w:r w:rsidRPr="009957D7">
              <w:rPr>
                <w:b/>
                <w:sz w:val="18"/>
                <w:lang w:eastAsia="en-AU"/>
              </w:rPr>
              <w:t>(mg ac/kg bw)</w:t>
            </w:r>
          </w:p>
        </w:tc>
        <w:tc>
          <w:tcPr>
            <w:tcW w:w="0" w:type="auto"/>
            <w:tcBorders>
              <w:top w:val="single" w:sz="4" w:space="0" w:color="auto"/>
              <w:left w:val="nil"/>
              <w:bottom w:val="single" w:sz="4" w:space="0" w:color="auto"/>
              <w:right w:val="single" w:sz="4" w:space="0" w:color="auto"/>
            </w:tcBorders>
            <w:shd w:val="clear" w:color="auto" w:fill="auto"/>
            <w:noWrap/>
            <w:hideMark/>
          </w:tcPr>
          <w:p w:rsidR="00B72640" w:rsidRPr="009957D7" w:rsidRDefault="00B72640" w:rsidP="003C4118">
            <w:pPr>
              <w:widowControl w:val="0"/>
              <w:jc w:val="center"/>
              <w:rPr>
                <w:b/>
                <w:sz w:val="18"/>
                <w:lang w:eastAsia="en-AU"/>
              </w:rPr>
            </w:pPr>
            <w:r w:rsidRPr="009957D7">
              <w:rPr>
                <w:b/>
                <w:sz w:val="18"/>
                <w:lang w:eastAsia="en-AU"/>
              </w:rPr>
              <w:t>RQ</w:t>
            </w:r>
          </w:p>
        </w:tc>
      </w:tr>
      <w:tr w:rsidR="00B72640" w:rsidRPr="009957D7" w:rsidTr="003C4118">
        <w:trPr>
          <w:cantSplit/>
          <w:trHeight w:val="249"/>
        </w:trPr>
        <w:tc>
          <w:tcPr>
            <w:tcW w:w="0" w:type="auto"/>
            <w:tcBorders>
              <w:top w:val="single" w:sz="4" w:space="0" w:color="auto"/>
              <w:left w:val="single" w:sz="4" w:space="0" w:color="auto"/>
              <w:right w:val="single" w:sz="4" w:space="0" w:color="auto"/>
            </w:tcBorders>
            <w:shd w:val="clear" w:color="auto" w:fill="auto"/>
            <w:noWrap/>
            <w:hideMark/>
          </w:tcPr>
          <w:p w:rsidR="00B72640" w:rsidRPr="009957D7" w:rsidRDefault="00B72640" w:rsidP="003C4118">
            <w:pPr>
              <w:widowControl w:val="0"/>
              <w:rPr>
                <w:sz w:val="18"/>
                <w:lang w:eastAsia="en-AU"/>
              </w:rPr>
            </w:pPr>
            <w:r w:rsidRPr="009957D7">
              <w:rPr>
                <w:sz w:val="18"/>
                <w:lang w:eastAsia="en-AU"/>
              </w:rPr>
              <w:t>mammal</w:t>
            </w:r>
          </w:p>
        </w:tc>
        <w:tc>
          <w:tcPr>
            <w:tcW w:w="0" w:type="auto"/>
            <w:vMerge w:val="restart"/>
            <w:tcBorders>
              <w:top w:val="nil"/>
              <w:left w:val="nil"/>
              <w:right w:val="single" w:sz="4" w:space="0" w:color="auto"/>
            </w:tcBorders>
            <w:shd w:val="clear" w:color="auto" w:fill="auto"/>
            <w:noWrap/>
            <w:hideMark/>
          </w:tcPr>
          <w:p w:rsidR="00B72640" w:rsidRDefault="00B72640" w:rsidP="003C4118">
            <w:pPr>
              <w:widowControl w:val="0"/>
              <w:rPr>
                <w:sz w:val="18"/>
                <w:lang w:eastAsia="en-AU"/>
              </w:rPr>
            </w:pPr>
            <w:r w:rsidRPr="009957D7">
              <w:rPr>
                <w:sz w:val="18"/>
                <w:lang w:eastAsia="en-AU"/>
              </w:rPr>
              <w:t xml:space="preserve">Small herbivorous </w:t>
            </w:r>
          </w:p>
          <w:p w:rsidR="00B72640" w:rsidRPr="009957D7" w:rsidRDefault="00B72640" w:rsidP="003C4118">
            <w:pPr>
              <w:widowControl w:val="0"/>
              <w:rPr>
                <w:sz w:val="18"/>
                <w:lang w:eastAsia="en-AU"/>
              </w:rPr>
            </w:pPr>
            <w:r w:rsidRPr="009957D7">
              <w:rPr>
                <w:sz w:val="18"/>
                <w:lang w:eastAsia="en-AU"/>
              </w:rPr>
              <w:t>mammal</w:t>
            </w:r>
          </w:p>
        </w:tc>
        <w:tc>
          <w:tcPr>
            <w:tcW w:w="0" w:type="auto"/>
            <w:tcBorders>
              <w:top w:val="single" w:sz="4" w:space="0" w:color="auto"/>
              <w:left w:val="nil"/>
              <w:bottom w:val="single" w:sz="4" w:space="0" w:color="auto"/>
              <w:right w:val="single" w:sz="4" w:space="0" w:color="auto"/>
            </w:tcBorders>
          </w:tcPr>
          <w:p w:rsidR="00B72640" w:rsidRPr="009957D7" w:rsidRDefault="00B72640" w:rsidP="003C4118">
            <w:pPr>
              <w:widowControl w:val="0"/>
              <w:jc w:val="center"/>
              <w:rPr>
                <w:sz w:val="18"/>
                <w:lang w:eastAsia="en-AU"/>
              </w:rPr>
            </w:pPr>
            <w:r>
              <w:rPr>
                <w:sz w:val="18"/>
                <w:lang w:eastAsia="en-AU"/>
              </w:rPr>
              <w:t>Acute</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B72640" w:rsidRPr="00B47D3D" w:rsidRDefault="00B72640" w:rsidP="003C4118">
            <w:pPr>
              <w:widowControl w:val="0"/>
              <w:jc w:val="center"/>
              <w:rPr>
                <w:color w:val="FF0000"/>
                <w:sz w:val="18"/>
                <w:lang w:eastAsia="en-AU"/>
              </w:rPr>
            </w:pPr>
            <w:r w:rsidRPr="00B47D3D">
              <w:rPr>
                <w:color w:val="FF0000"/>
                <w:sz w:val="18"/>
                <w:lang w:eastAsia="en-AU"/>
              </w:rPr>
              <w:t>136.4</w:t>
            </w:r>
          </w:p>
        </w:tc>
        <w:tc>
          <w:tcPr>
            <w:tcW w:w="0" w:type="auto"/>
            <w:tcBorders>
              <w:top w:val="single" w:sz="4" w:space="0" w:color="auto"/>
              <w:left w:val="nil"/>
              <w:bottom w:val="single" w:sz="4" w:space="0" w:color="auto"/>
              <w:right w:val="single" w:sz="4" w:space="0" w:color="auto"/>
            </w:tcBorders>
          </w:tcPr>
          <w:p w:rsidR="00B72640" w:rsidRPr="009957D7" w:rsidRDefault="00B72640" w:rsidP="003C4118">
            <w:pPr>
              <w:widowControl w:val="0"/>
              <w:jc w:val="center"/>
              <w:rPr>
                <w:sz w:val="18"/>
                <w:lang w:eastAsia="en-AU"/>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B72640" w:rsidRPr="009957D7" w:rsidRDefault="00B72640" w:rsidP="003C4118">
            <w:pPr>
              <w:widowControl w:val="0"/>
              <w:jc w:val="center"/>
              <w:rPr>
                <w:sz w:val="18"/>
                <w:lang w:eastAsia="en-AU"/>
              </w:rPr>
            </w:pPr>
          </w:p>
        </w:tc>
        <w:tc>
          <w:tcPr>
            <w:tcW w:w="0" w:type="auto"/>
            <w:tcBorders>
              <w:top w:val="single" w:sz="4" w:space="0" w:color="auto"/>
              <w:left w:val="nil"/>
              <w:bottom w:val="single" w:sz="4" w:space="0" w:color="auto"/>
              <w:right w:val="single" w:sz="4" w:space="0" w:color="auto"/>
            </w:tcBorders>
            <w:shd w:val="clear" w:color="auto" w:fill="auto"/>
            <w:noWrap/>
          </w:tcPr>
          <w:p w:rsidR="00B72640" w:rsidRPr="009957D7" w:rsidRDefault="00B72640" w:rsidP="003C4118">
            <w:pPr>
              <w:widowControl w:val="0"/>
              <w:jc w:val="center"/>
              <w:rPr>
                <w:sz w:val="18"/>
                <w:lang w:eastAsia="en-AU"/>
              </w:rPr>
            </w:pPr>
          </w:p>
        </w:tc>
        <w:tc>
          <w:tcPr>
            <w:tcW w:w="0" w:type="auto"/>
            <w:tcBorders>
              <w:top w:val="single" w:sz="4" w:space="0" w:color="auto"/>
              <w:left w:val="nil"/>
              <w:bottom w:val="single" w:sz="4" w:space="0" w:color="auto"/>
              <w:right w:val="single" w:sz="4" w:space="0" w:color="auto"/>
            </w:tcBorders>
            <w:shd w:val="clear" w:color="auto" w:fill="auto"/>
            <w:noWrap/>
          </w:tcPr>
          <w:p w:rsidR="00B72640" w:rsidRPr="009957D7" w:rsidRDefault="00B72640" w:rsidP="003C4118">
            <w:pPr>
              <w:widowControl w:val="0"/>
              <w:jc w:val="center"/>
              <w:rPr>
                <w:sz w:val="18"/>
                <w:lang w:eastAsia="en-AU"/>
              </w:rPr>
            </w:pPr>
          </w:p>
        </w:tc>
      </w:tr>
      <w:tr w:rsidR="00B72640" w:rsidRPr="009957D7" w:rsidTr="003C4118">
        <w:trPr>
          <w:cantSplit/>
          <w:trHeight w:val="23"/>
        </w:trPr>
        <w:tc>
          <w:tcPr>
            <w:tcW w:w="0" w:type="auto"/>
            <w:tcBorders>
              <w:left w:val="single" w:sz="4" w:space="0" w:color="auto"/>
              <w:bottom w:val="single" w:sz="4" w:space="0" w:color="auto"/>
              <w:right w:val="single" w:sz="4" w:space="0" w:color="auto"/>
            </w:tcBorders>
            <w:shd w:val="clear" w:color="auto" w:fill="auto"/>
            <w:noWrap/>
          </w:tcPr>
          <w:p w:rsidR="00B72640" w:rsidRPr="009957D7" w:rsidRDefault="00B72640" w:rsidP="003C4118">
            <w:pPr>
              <w:widowControl w:val="0"/>
              <w:rPr>
                <w:sz w:val="18"/>
                <w:lang w:eastAsia="en-AU"/>
              </w:rPr>
            </w:pPr>
          </w:p>
        </w:tc>
        <w:tc>
          <w:tcPr>
            <w:tcW w:w="0" w:type="auto"/>
            <w:vMerge/>
            <w:tcBorders>
              <w:left w:val="nil"/>
              <w:bottom w:val="single" w:sz="4" w:space="0" w:color="auto"/>
              <w:right w:val="single" w:sz="4" w:space="0" w:color="auto"/>
            </w:tcBorders>
            <w:shd w:val="clear" w:color="auto" w:fill="auto"/>
            <w:noWrap/>
          </w:tcPr>
          <w:p w:rsidR="00B72640" w:rsidRPr="009957D7" w:rsidRDefault="00B72640" w:rsidP="003C4118">
            <w:pPr>
              <w:widowControl w:val="0"/>
              <w:rPr>
                <w:sz w:val="18"/>
                <w:lang w:eastAsia="en-AU"/>
              </w:rPr>
            </w:pPr>
          </w:p>
        </w:tc>
        <w:tc>
          <w:tcPr>
            <w:tcW w:w="0" w:type="auto"/>
            <w:tcBorders>
              <w:top w:val="single" w:sz="4" w:space="0" w:color="auto"/>
              <w:left w:val="nil"/>
              <w:bottom w:val="single" w:sz="4" w:space="0" w:color="auto"/>
              <w:right w:val="single" w:sz="4" w:space="0" w:color="auto"/>
            </w:tcBorders>
          </w:tcPr>
          <w:p w:rsidR="00B72640" w:rsidRPr="009957D7" w:rsidRDefault="00B72640" w:rsidP="003C4118">
            <w:pPr>
              <w:widowControl w:val="0"/>
              <w:jc w:val="center"/>
              <w:rPr>
                <w:sz w:val="18"/>
                <w:lang w:eastAsia="en-AU"/>
              </w:rPr>
            </w:pPr>
            <w:r>
              <w:rPr>
                <w:sz w:val="18"/>
                <w:lang w:eastAsia="en-AU"/>
              </w:rPr>
              <w:t>Chronic</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B72640" w:rsidRPr="00B47D3D" w:rsidRDefault="00B72640" w:rsidP="003C4118">
            <w:pPr>
              <w:widowControl w:val="0"/>
              <w:jc w:val="center"/>
              <w:rPr>
                <w:color w:val="FF0000"/>
                <w:sz w:val="18"/>
                <w:lang w:eastAsia="en-AU"/>
              </w:rPr>
            </w:pPr>
            <w:r w:rsidRPr="00B47D3D">
              <w:rPr>
                <w:color w:val="FF0000"/>
                <w:sz w:val="18"/>
                <w:lang w:eastAsia="en-AU"/>
              </w:rPr>
              <w:t>72.3</w:t>
            </w:r>
          </w:p>
        </w:tc>
        <w:tc>
          <w:tcPr>
            <w:tcW w:w="0" w:type="auto"/>
            <w:tcBorders>
              <w:top w:val="single" w:sz="4" w:space="0" w:color="auto"/>
              <w:left w:val="nil"/>
              <w:bottom w:val="single" w:sz="4" w:space="0" w:color="auto"/>
              <w:right w:val="single" w:sz="4" w:space="0" w:color="auto"/>
            </w:tcBorders>
          </w:tcPr>
          <w:p w:rsidR="00B72640" w:rsidRPr="009957D7" w:rsidRDefault="00B72640" w:rsidP="003C4118">
            <w:pPr>
              <w:widowControl w:val="0"/>
              <w:jc w:val="center"/>
              <w:rPr>
                <w:sz w:val="18"/>
                <w:lang w:eastAsia="en-AU"/>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B72640" w:rsidRPr="009957D7" w:rsidRDefault="00B72640" w:rsidP="003C4118">
            <w:pPr>
              <w:widowControl w:val="0"/>
              <w:jc w:val="center"/>
              <w:rPr>
                <w:sz w:val="18"/>
                <w:lang w:eastAsia="en-AU"/>
              </w:rPr>
            </w:pPr>
          </w:p>
        </w:tc>
        <w:tc>
          <w:tcPr>
            <w:tcW w:w="0" w:type="auto"/>
            <w:tcBorders>
              <w:top w:val="single" w:sz="4" w:space="0" w:color="auto"/>
              <w:left w:val="nil"/>
              <w:bottom w:val="single" w:sz="4" w:space="0" w:color="auto"/>
              <w:right w:val="single" w:sz="4" w:space="0" w:color="auto"/>
            </w:tcBorders>
            <w:shd w:val="clear" w:color="auto" w:fill="auto"/>
            <w:noWrap/>
          </w:tcPr>
          <w:p w:rsidR="00B72640" w:rsidRPr="009957D7" w:rsidRDefault="00B72640" w:rsidP="003C4118">
            <w:pPr>
              <w:widowControl w:val="0"/>
              <w:jc w:val="center"/>
              <w:rPr>
                <w:sz w:val="18"/>
                <w:lang w:eastAsia="en-AU"/>
              </w:rPr>
            </w:pPr>
          </w:p>
        </w:tc>
        <w:tc>
          <w:tcPr>
            <w:tcW w:w="0" w:type="auto"/>
            <w:tcBorders>
              <w:top w:val="single" w:sz="4" w:space="0" w:color="auto"/>
              <w:left w:val="nil"/>
              <w:bottom w:val="single" w:sz="4" w:space="0" w:color="auto"/>
              <w:right w:val="single" w:sz="4" w:space="0" w:color="auto"/>
            </w:tcBorders>
            <w:shd w:val="clear" w:color="auto" w:fill="auto"/>
            <w:noWrap/>
          </w:tcPr>
          <w:p w:rsidR="00B72640" w:rsidRPr="009957D7" w:rsidRDefault="00B72640" w:rsidP="003C4118">
            <w:pPr>
              <w:widowControl w:val="0"/>
              <w:jc w:val="center"/>
              <w:rPr>
                <w:sz w:val="18"/>
                <w:lang w:eastAsia="en-AU"/>
              </w:rPr>
            </w:pPr>
          </w:p>
        </w:tc>
      </w:tr>
      <w:tr w:rsidR="00B72640" w:rsidRPr="009957D7" w:rsidTr="003C4118">
        <w:trPr>
          <w:cantSplit/>
          <w:trHeight w:val="23"/>
        </w:trPr>
        <w:tc>
          <w:tcPr>
            <w:tcW w:w="0" w:type="auto"/>
            <w:tcBorders>
              <w:top w:val="nil"/>
              <w:left w:val="single" w:sz="4" w:space="0" w:color="auto"/>
              <w:bottom w:val="nil"/>
              <w:right w:val="single" w:sz="4" w:space="0" w:color="auto"/>
            </w:tcBorders>
            <w:shd w:val="clear" w:color="auto" w:fill="auto"/>
            <w:noWrap/>
            <w:hideMark/>
          </w:tcPr>
          <w:p w:rsidR="00B72640" w:rsidRPr="009957D7" w:rsidRDefault="00B72640" w:rsidP="003C4118">
            <w:pPr>
              <w:widowControl w:val="0"/>
              <w:rPr>
                <w:sz w:val="18"/>
                <w:lang w:eastAsia="en-AU"/>
              </w:rPr>
            </w:pPr>
            <w:r w:rsidRPr="009957D7">
              <w:rPr>
                <w:sz w:val="18"/>
                <w:lang w:eastAsia="en-AU"/>
              </w:rPr>
              <w:t>bird</w:t>
            </w:r>
          </w:p>
        </w:tc>
        <w:tc>
          <w:tcPr>
            <w:tcW w:w="0" w:type="auto"/>
            <w:vMerge w:val="restart"/>
            <w:tcBorders>
              <w:top w:val="nil"/>
              <w:left w:val="nil"/>
              <w:right w:val="single" w:sz="4" w:space="0" w:color="auto"/>
            </w:tcBorders>
            <w:shd w:val="clear" w:color="auto" w:fill="auto"/>
            <w:noWrap/>
            <w:hideMark/>
          </w:tcPr>
          <w:p w:rsidR="00B72640" w:rsidRDefault="00B72640" w:rsidP="003C4118">
            <w:pPr>
              <w:widowControl w:val="0"/>
              <w:rPr>
                <w:sz w:val="18"/>
                <w:lang w:eastAsia="en-AU"/>
              </w:rPr>
            </w:pPr>
            <w:r>
              <w:rPr>
                <w:sz w:val="18"/>
                <w:lang w:eastAsia="en-AU"/>
              </w:rPr>
              <w:t>Small insectivorous</w:t>
            </w:r>
          </w:p>
          <w:p w:rsidR="00B72640" w:rsidRPr="009957D7" w:rsidRDefault="00B72640" w:rsidP="003C4118">
            <w:pPr>
              <w:widowControl w:val="0"/>
              <w:rPr>
                <w:sz w:val="18"/>
                <w:lang w:eastAsia="en-AU"/>
              </w:rPr>
            </w:pPr>
            <w:r w:rsidRPr="009957D7">
              <w:rPr>
                <w:sz w:val="18"/>
                <w:lang w:eastAsia="en-AU"/>
              </w:rPr>
              <w:t>bird</w:t>
            </w:r>
          </w:p>
        </w:tc>
        <w:tc>
          <w:tcPr>
            <w:tcW w:w="0" w:type="auto"/>
            <w:tcBorders>
              <w:top w:val="single" w:sz="4" w:space="0" w:color="auto"/>
              <w:left w:val="nil"/>
              <w:bottom w:val="single" w:sz="4" w:space="0" w:color="auto"/>
              <w:right w:val="single" w:sz="4" w:space="0" w:color="auto"/>
            </w:tcBorders>
          </w:tcPr>
          <w:p w:rsidR="00B72640" w:rsidRPr="009957D7" w:rsidRDefault="00B72640" w:rsidP="003C4118">
            <w:pPr>
              <w:widowControl w:val="0"/>
              <w:jc w:val="center"/>
              <w:rPr>
                <w:sz w:val="18"/>
                <w:lang w:eastAsia="en-AU"/>
              </w:rPr>
            </w:pPr>
            <w:r>
              <w:rPr>
                <w:sz w:val="18"/>
                <w:lang w:eastAsia="en-AU"/>
              </w:rPr>
              <w:t>Acute</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B72640" w:rsidRPr="00B47D3D" w:rsidRDefault="00B72640" w:rsidP="003C4118">
            <w:pPr>
              <w:widowControl w:val="0"/>
              <w:jc w:val="center"/>
              <w:rPr>
                <w:color w:val="FF0000"/>
                <w:sz w:val="18"/>
                <w:lang w:eastAsia="en-AU"/>
              </w:rPr>
            </w:pPr>
            <w:r w:rsidRPr="00B47D3D">
              <w:rPr>
                <w:color w:val="FF0000"/>
                <w:sz w:val="18"/>
                <w:lang w:eastAsia="en-AU"/>
              </w:rPr>
              <w:t>46.8</w:t>
            </w:r>
          </w:p>
        </w:tc>
        <w:tc>
          <w:tcPr>
            <w:tcW w:w="0" w:type="auto"/>
            <w:tcBorders>
              <w:top w:val="single" w:sz="4" w:space="0" w:color="auto"/>
              <w:left w:val="nil"/>
              <w:bottom w:val="single" w:sz="4" w:space="0" w:color="auto"/>
              <w:right w:val="single" w:sz="4" w:space="0" w:color="auto"/>
            </w:tcBorders>
          </w:tcPr>
          <w:p w:rsidR="00B72640" w:rsidRPr="009957D7" w:rsidRDefault="00B72640" w:rsidP="003C4118">
            <w:pPr>
              <w:widowControl w:val="0"/>
              <w:jc w:val="center"/>
              <w:rPr>
                <w:sz w:val="18"/>
                <w:lang w:eastAsia="en-AU"/>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B72640" w:rsidRPr="009957D7" w:rsidRDefault="00B72640" w:rsidP="003C4118">
            <w:pPr>
              <w:widowControl w:val="0"/>
              <w:jc w:val="center"/>
              <w:rPr>
                <w:sz w:val="18"/>
                <w:lang w:eastAsia="en-AU"/>
              </w:rPr>
            </w:pPr>
          </w:p>
        </w:tc>
        <w:tc>
          <w:tcPr>
            <w:tcW w:w="0" w:type="auto"/>
            <w:tcBorders>
              <w:top w:val="single" w:sz="4" w:space="0" w:color="auto"/>
              <w:left w:val="nil"/>
              <w:bottom w:val="single" w:sz="4" w:space="0" w:color="auto"/>
              <w:right w:val="single" w:sz="4" w:space="0" w:color="auto"/>
            </w:tcBorders>
            <w:shd w:val="clear" w:color="auto" w:fill="auto"/>
            <w:noWrap/>
          </w:tcPr>
          <w:p w:rsidR="00B72640" w:rsidRPr="009957D7" w:rsidRDefault="00B72640" w:rsidP="003C4118">
            <w:pPr>
              <w:widowControl w:val="0"/>
              <w:jc w:val="center"/>
              <w:rPr>
                <w:sz w:val="18"/>
                <w:lang w:eastAsia="en-AU"/>
              </w:rPr>
            </w:pPr>
          </w:p>
        </w:tc>
        <w:tc>
          <w:tcPr>
            <w:tcW w:w="0" w:type="auto"/>
            <w:tcBorders>
              <w:top w:val="single" w:sz="4" w:space="0" w:color="auto"/>
              <w:left w:val="nil"/>
              <w:bottom w:val="single" w:sz="4" w:space="0" w:color="auto"/>
              <w:right w:val="single" w:sz="4" w:space="0" w:color="auto"/>
            </w:tcBorders>
            <w:shd w:val="clear" w:color="auto" w:fill="auto"/>
            <w:noWrap/>
          </w:tcPr>
          <w:p w:rsidR="00B72640" w:rsidRPr="009957D7" w:rsidRDefault="00B72640" w:rsidP="003C4118">
            <w:pPr>
              <w:widowControl w:val="0"/>
              <w:jc w:val="center"/>
              <w:rPr>
                <w:sz w:val="18"/>
                <w:lang w:eastAsia="en-AU"/>
              </w:rPr>
            </w:pPr>
          </w:p>
        </w:tc>
      </w:tr>
      <w:tr w:rsidR="00B72640" w:rsidRPr="009957D7" w:rsidTr="003C4118">
        <w:trPr>
          <w:cantSplit/>
          <w:trHeight w:val="23"/>
        </w:trPr>
        <w:tc>
          <w:tcPr>
            <w:tcW w:w="0" w:type="auto"/>
            <w:tcBorders>
              <w:top w:val="nil"/>
              <w:left w:val="single" w:sz="4" w:space="0" w:color="auto"/>
              <w:bottom w:val="single" w:sz="4" w:space="0" w:color="auto"/>
              <w:right w:val="single" w:sz="4" w:space="0" w:color="auto"/>
            </w:tcBorders>
            <w:shd w:val="clear" w:color="auto" w:fill="auto"/>
            <w:noWrap/>
          </w:tcPr>
          <w:p w:rsidR="00B72640" w:rsidRPr="009957D7" w:rsidRDefault="00B72640" w:rsidP="003C4118">
            <w:pPr>
              <w:widowControl w:val="0"/>
              <w:rPr>
                <w:sz w:val="18"/>
                <w:lang w:eastAsia="en-AU"/>
              </w:rPr>
            </w:pPr>
          </w:p>
        </w:tc>
        <w:tc>
          <w:tcPr>
            <w:tcW w:w="0" w:type="auto"/>
            <w:vMerge/>
            <w:tcBorders>
              <w:left w:val="nil"/>
              <w:bottom w:val="single" w:sz="4" w:space="0" w:color="auto"/>
              <w:right w:val="single" w:sz="4" w:space="0" w:color="auto"/>
            </w:tcBorders>
            <w:shd w:val="clear" w:color="auto" w:fill="auto"/>
            <w:noWrap/>
          </w:tcPr>
          <w:p w:rsidR="00B72640" w:rsidRPr="009957D7" w:rsidRDefault="00B72640" w:rsidP="003C4118">
            <w:pPr>
              <w:widowControl w:val="0"/>
              <w:rPr>
                <w:sz w:val="18"/>
                <w:lang w:eastAsia="en-AU"/>
              </w:rPr>
            </w:pPr>
          </w:p>
        </w:tc>
        <w:tc>
          <w:tcPr>
            <w:tcW w:w="0" w:type="auto"/>
            <w:tcBorders>
              <w:top w:val="single" w:sz="4" w:space="0" w:color="auto"/>
              <w:left w:val="nil"/>
              <w:bottom w:val="single" w:sz="4" w:space="0" w:color="auto"/>
              <w:right w:val="single" w:sz="4" w:space="0" w:color="auto"/>
            </w:tcBorders>
          </w:tcPr>
          <w:p w:rsidR="00B72640" w:rsidRPr="009957D7" w:rsidRDefault="00B72640" w:rsidP="003C4118">
            <w:pPr>
              <w:widowControl w:val="0"/>
              <w:jc w:val="center"/>
              <w:rPr>
                <w:sz w:val="18"/>
                <w:lang w:eastAsia="en-AU"/>
              </w:rPr>
            </w:pPr>
            <w:r>
              <w:rPr>
                <w:sz w:val="18"/>
                <w:lang w:eastAsia="en-AU"/>
              </w:rPr>
              <w:t>Chronic</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B72640" w:rsidRPr="00B47D3D" w:rsidRDefault="00B72640" w:rsidP="003C4118">
            <w:pPr>
              <w:widowControl w:val="0"/>
              <w:jc w:val="center"/>
              <w:rPr>
                <w:color w:val="FF0000"/>
                <w:sz w:val="18"/>
                <w:lang w:eastAsia="en-AU"/>
              </w:rPr>
            </w:pPr>
            <w:r w:rsidRPr="00B47D3D">
              <w:rPr>
                <w:color w:val="FF0000"/>
                <w:sz w:val="18"/>
                <w:lang w:eastAsia="en-AU"/>
              </w:rPr>
              <w:t>18.2</w:t>
            </w:r>
          </w:p>
        </w:tc>
        <w:tc>
          <w:tcPr>
            <w:tcW w:w="0" w:type="auto"/>
            <w:tcBorders>
              <w:top w:val="single" w:sz="4" w:space="0" w:color="auto"/>
              <w:left w:val="nil"/>
              <w:bottom w:val="single" w:sz="4" w:space="0" w:color="auto"/>
              <w:right w:val="single" w:sz="4" w:space="0" w:color="auto"/>
            </w:tcBorders>
          </w:tcPr>
          <w:p w:rsidR="00B72640" w:rsidRPr="009957D7" w:rsidRDefault="00B72640" w:rsidP="003C4118">
            <w:pPr>
              <w:widowControl w:val="0"/>
              <w:jc w:val="center"/>
              <w:rPr>
                <w:sz w:val="18"/>
                <w:lang w:eastAsia="en-AU"/>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B72640" w:rsidRPr="009957D7" w:rsidRDefault="00B72640" w:rsidP="003C4118">
            <w:pPr>
              <w:widowControl w:val="0"/>
              <w:jc w:val="center"/>
              <w:rPr>
                <w:sz w:val="18"/>
                <w:lang w:eastAsia="en-AU"/>
              </w:rPr>
            </w:pPr>
          </w:p>
        </w:tc>
        <w:tc>
          <w:tcPr>
            <w:tcW w:w="0" w:type="auto"/>
            <w:tcBorders>
              <w:top w:val="single" w:sz="4" w:space="0" w:color="auto"/>
              <w:left w:val="nil"/>
              <w:bottom w:val="single" w:sz="4" w:space="0" w:color="auto"/>
              <w:right w:val="single" w:sz="4" w:space="0" w:color="auto"/>
            </w:tcBorders>
            <w:shd w:val="clear" w:color="auto" w:fill="auto"/>
            <w:noWrap/>
          </w:tcPr>
          <w:p w:rsidR="00B72640" w:rsidRPr="009957D7" w:rsidRDefault="00B72640" w:rsidP="003C4118">
            <w:pPr>
              <w:widowControl w:val="0"/>
              <w:jc w:val="center"/>
              <w:rPr>
                <w:sz w:val="18"/>
                <w:lang w:eastAsia="en-AU"/>
              </w:rPr>
            </w:pPr>
          </w:p>
        </w:tc>
        <w:tc>
          <w:tcPr>
            <w:tcW w:w="0" w:type="auto"/>
            <w:tcBorders>
              <w:top w:val="single" w:sz="4" w:space="0" w:color="auto"/>
              <w:left w:val="nil"/>
              <w:bottom w:val="single" w:sz="4" w:space="0" w:color="auto"/>
              <w:right w:val="single" w:sz="4" w:space="0" w:color="auto"/>
            </w:tcBorders>
            <w:shd w:val="clear" w:color="auto" w:fill="auto"/>
            <w:noWrap/>
          </w:tcPr>
          <w:p w:rsidR="00B72640" w:rsidRPr="009957D7" w:rsidRDefault="00B72640" w:rsidP="003C4118">
            <w:pPr>
              <w:widowControl w:val="0"/>
              <w:jc w:val="center"/>
              <w:rPr>
                <w:sz w:val="18"/>
                <w:lang w:eastAsia="en-AU"/>
              </w:rPr>
            </w:pPr>
          </w:p>
        </w:tc>
      </w:tr>
    </w:tbl>
    <w:p w:rsidR="00B72640" w:rsidRPr="009957D7" w:rsidRDefault="00B72640" w:rsidP="00B72640">
      <w:pPr>
        <w:widowControl w:val="0"/>
        <w:rPr>
          <w:sz w:val="18"/>
        </w:rPr>
      </w:pPr>
      <w:r w:rsidRPr="009957D7">
        <w:rPr>
          <w:sz w:val="18"/>
        </w:rPr>
        <w:t xml:space="preserve">Shortcut value from </w:t>
      </w:r>
      <w:r>
        <w:rPr>
          <w:sz w:val="18"/>
        </w:rPr>
        <w:t>Table X</w:t>
      </w:r>
    </w:p>
    <w:p w:rsidR="00B72640" w:rsidRDefault="00B72640" w:rsidP="00B72640">
      <w:pPr>
        <w:widowControl w:val="0"/>
        <w:rPr>
          <w:sz w:val="18"/>
        </w:rPr>
      </w:pPr>
      <w:r>
        <w:rPr>
          <w:sz w:val="18"/>
        </w:rPr>
        <w:t xml:space="preserve">Acute </w:t>
      </w:r>
      <w:r w:rsidRPr="009957D7">
        <w:rPr>
          <w:sz w:val="18"/>
        </w:rPr>
        <w:t>DDD = daily dietary dose (mg/kg bw/d) = shortcut value * rate (kg</w:t>
      </w:r>
      <w:r>
        <w:rPr>
          <w:sz w:val="18"/>
        </w:rPr>
        <w:t xml:space="preserve"> ac</w:t>
      </w:r>
      <w:r w:rsidRPr="009957D7">
        <w:rPr>
          <w:sz w:val="18"/>
        </w:rPr>
        <w:t>/ha)</w:t>
      </w:r>
    </w:p>
    <w:p w:rsidR="00B72640" w:rsidRPr="009957D7" w:rsidRDefault="00B72640" w:rsidP="00B72640">
      <w:pPr>
        <w:widowControl w:val="0"/>
        <w:rPr>
          <w:sz w:val="18"/>
        </w:rPr>
      </w:pPr>
      <w:r>
        <w:rPr>
          <w:sz w:val="18"/>
        </w:rPr>
        <w:t xml:space="preserve">Chronic </w:t>
      </w:r>
      <w:r w:rsidRPr="009957D7">
        <w:rPr>
          <w:sz w:val="18"/>
        </w:rPr>
        <w:t>DDD = daily dietary dose (mg/kg bw/d) = shortcut value * rate (kg</w:t>
      </w:r>
      <w:r>
        <w:rPr>
          <w:sz w:val="18"/>
        </w:rPr>
        <w:t xml:space="preserve"> ac</w:t>
      </w:r>
      <w:r w:rsidRPr="009957D7">
        <w:rPr>
          <w:sz w:val="18"/>
        </w:rPr>
        <w:t>/ha)</w:t>
      </w:r>
      <w:r>
        <w:rPr>
          <w:sz w:val="18"/>
        </w:rPr>
        <w:t xml:space="preserve"> * </w:t>
      </w:r>
      <w:r w:rsidRPr="009957D7">
        <w:rPr>
          <w:sz w:val="18"/>
        </w:rPr>
        <w:t>time-weighted average factor 0.53</w:t>
      </w:r>
    </w:p>
    <w:p w:rsidR="00B72640" w:rsidRPr="009957D7" w:rsidRDefault="00B72640" w:rsidP="00B72640">
      <w:pPr>
        <w:widowControl w:val="0"/>
        <w:rPr>
          <w:sz w:val="18"/>
        </w:rPr>
      </w:pPr>
      <w:r w:rsidRPr="009957D7">
        <w:rPr>
          <w:sz w:val="18"/>
        </w:rPr>
        <w:t>RA</w:t>
      </w:r>
      <w:r>
        <w:rPr>
          <w:sz w:val="18"/>
        </w:rPr>
        <w:t>D</w:t>
      </w:r>
      <w:r w:rsidRPr="009957D7">
        <w:rPr>
          <w:sz w:val="18"/>
        </w:rPr>
        <w:t xml:space="preserve"> = regulatory acceptable dose </w:t>
      </w:r>
      <w:r>
        <w:rPr>
          <w:sz w:val="18"/>
        </w:rPr>
        <w:t>(from Table X)</w:t>
      </w:r>
    </w:p>
    <w:p w:rsidR="00B72640" w:rsidRPr="009957D7" w:rsidRDefault="00B72640" w:rsidP="00B72640">
      <w:pPr>
        <w:widowControl w:val="0"/>
      </w:pPr>
      <w:r w:rsidRPr="009957D7">
        <w:rPr>
          <w:sz w:val="18"/>
        </w:rPr>
        <w:t xml:space="preserve">RQ = risk quotient = DDD/RAD, where acceptable RQ </w:t>
      </w:r>
      <w:r>
        <w:rPr>
          <w:sz w:val="18"/>
        </w:rPr>
        <w:t>≤</w:t>
      </w:r>
      <w:r w:rsidRPr="009957D7">
        <w:rPr>
          <w:sz w:val="18"/>
        </w:rPr>
        <w:t>1</w:t>
      </w:r>
    </w:p>
    <w:p w:rsidR="008B68EB" w:rsidRPr="009A4CFC" w:rsidRDefault="008B68EB" w:rsidP="008B68EB">
      <w:pPr>
        <w:pStyle w:val="Caption"/>
      </w:pPr>
      <w:bookmarkStart w:id="193" w:name="_Ref522027558"/>
      <w:r w:rsidRPr="009A4CFC">
        <w:t xml:space="preserve">Table </w:t>
      </w:r>
      <w:r w:rsidR="00EA08EB">
        <w:rPr>
          <w:noProof/>
        </w:rPr>
        <w:fldChar w:fldCharType="begin"/>
      </w:r>
      <w:r w:rsidR="00EA08EB">
        <w:rPr>
          <w:noProof/>
        </w:rPr>
        <w:instrText xml:space="preserve"> SEQ Table \* ARABIC </w:instrText>
      </w:r>
      <w:r w:rsidR="00EA08EB">
        <w:rPr>
          <w:noProof/>
        </w:rPr>
        <w:fldChar w:fldCharType="separate"/>
      </w:r>
      <w:r w:rsidR="00225D67">
        <w:rPr>
          <w:noProof/>
        </w:rPr>
        <w:t>9</w:t>
      </w:r>
      <w:r w:rsidR="00EA08EB">
        <w:rPr>
          <w:noProof/>
        </w:rPr>
        <w:fldChar w:fldCharType="end"/>
      </w:r>
      <w:bookmarkEnd w:id="193"/>
      <w:r w:rsidRPr="009A4CFC">
        <w:t xml:space="preserve"> - </w:t>
      </w:r>
      <w:r w:rsidRPr="008B68EB">
        <w:t>Screening level assessment of risks to birds directly ingesting granules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4189"/>
        <w:gridCol w:w="1357"/>
        <w:gridCol w:w="1360"/>
        <w:gridCol w:w="1360"/>
        <w:gridCol w:w="1362"/>
      </w:tblGrid>
      <w:tr w:rsidR="00B72640" w:rsidRPr="00FA63F3" w:rsidTr="003C4118">
        <w:trPr>
          <w:trHeight w:val="28"/>
        </w:trPr>
        <w:tc>
          <w:tcPr>
            <w:tcW w:w="0" w:type="auto"/>
            <w:shd w:val="clear" w:color="auto" w:fill="auto"/>
          </w:tcPr>
          <w:p w:rsidR="00B72640" w:rsidRPr="00FA63F3" w:rsidRDefault="00B72640" w:rsidP="003C4118">
            <w:pPr>
              <w:pStyle w:val="Default"/>
              <w:widowControl w:val="0"/>
              <w:jc w:val="right"/>
              <w:rPr>
                <w:sz w:val="18"/>
                <w:szCs w:val="18"/>
              </w:rPr>
            </w:pPr>
            <w:r w:rsidRPr="00FA63F3">
              <w:rPr>
                <w:b/>
                <w:bCs/>
                <w:sz w:val="18"/>
                <w:szCs w:val="18"/>
              </w:rPr>
              <w:t>Application rate (kg granules/ha)</w:t>
            </w:r>
          </w:p>
        </w:tc>
        <w:tc>
          <w:tcPr>
            <w:tcW w:w="5330" w:type="dxa"/>
            <w:gridSpan w:val="4"/>
          </w:tcPr>
          <w:p w:rsidR="00B72640" w:rsidRPr="00FA63F3" w:rsidRDefault="00B72640" w:rsidP="003C4118">
            <w:pPr>
              <w:pStyle w:val="BodyText"/>
              <w:jc w:val="center"/>
              <w:rPr>
                <w:sz w:val="18"/>
                <w:szCs w:val="18"/>
              </w:rPr>
            </w:pPr>
          </w:p>
        </w:tc>
      </w:tr>
      <w:tr w:rsidR="00B72640" w:rsidTr="003C4118">
        <w:trPr>
          <w:trHeight w:val="244"/>
        </w:trPr>
        <w:tc>
          <w:tcPr>
            <w:tcW w:w="0" w:type="auto"/>
            <w:shd w:val="clear" w:color="auto" w:fill="auto"/>
          </w:tcPr>
          <w:p w:rsidR="00B72640" w:rsidRPr="00FA63F3" w:rsidRDefault="00B72640" w:rsidP="003C4118">
            <w:pPr>
              <w:pStyle w:val="Default"/>
              <w:widowControl w:val="0"/>
              <w:jc w:val="right"/>
              <w:rPr>
                <w:b/>
                <w:bCs/>
                <w:sz w:val="18"/>
                <w:szCs w:val="18"/>
              </w:rPr>
            </w:pPr>
            <w:r>
              <w:rPr>
                <w:b/>
                <w:bCs/>
                <w:sz w:val="18"/>
                <w:szCs w:val="18"/>
              </w:rPr>
              <w:t>Active constituent content (mg acs/kg granules)</w:t>
            </w:r>
          </w:p>
        </w:tc>
        <w:tc>
          <w:tcPr>
            <w:tcW w:w="5330" w:type="dxa"/>
            <w:gridSpan w:val="4"/>
          </w:tcPr>
          <w:p w:rsidR="00B72640" w:rsidRDefault="00B72640" w:rsidP="003C4118">
            <w:pPr>
              <w:widowControl w:val="0"/>
              <w:jc w:val="center"/>
              <w:rPr>
                <w:sz w:val="18"/>
                <w:szCs w:val="18"/>
              </w:rPr>
            </w:pPr>
          </w:p>
        </w:tc>
      </w:tr>
      <w:tr w:rsidR="00B72640" w:rsidRPr="00FA63F3" w:rsidTr="003C4118">
        <w:trPr>
          <w:trHeight w:val="244"/>
        </w:trPr>
        <w:tc>
          <w:tcPr>
            <w:tcW w:w="0" w:type="auto"/>
            <w:shd w:val="clear" w:color="auto" w:fill="auto"/>
          </w:tcPr>
          <w:p w:rsidR="00B72640" w:rsidRPr="00FA63F3" w:rsidRDefault="00B72640" w:rsidP="003C4118">
            <w:pPr>
              <w:pStyle w:val="Default"/>
              <w:widowControl w:val="0"/>
              <w:jc w:val="right"/>
              <w:rPr>
                <w:sz w:val="18"/>
                <w:szCs w:val="18"/>
              </w:rPr>
            </w:pPr>
            <w:r w:rsidRPr="00FA63F3">
              <w:rPr>
                <w:b/>
                <w:bCs/>
                <w:sz w:val="18"/>
                <w:szCs w:val="18"/>
              </w:rPr>
              <w:t>Granular density (granules/kg)</w:t>
            </w:r>
          </w:p>
        </w:tc>
        <w:tc>
          <w:tcPr>
            <w:tcW w:w="5330" w:type="dxa"/>
            <w:gridSpan w:val="4"/>
          </w:tcPr>
          <w:p w:rsidR="00B72640" w:rsidRPr="00FA63F3" w:rsidRDefault="00B72640" w:rsidP="003C4118">
            <w:pPr>
              <w:widowControl w:val="0"/>
              <w:jc w:val="center"/>
              <w:rPr>
                <w:sz w:val="18"/>
                <w:szCs w:val="18"/>
              </w:rPr>
            </w:pPr>
          </w:p>
        </w:tc>
      </w:tr>
      <w:tr w:rsidR="00B72640" w:rsidRPr="00FA63F3" w:rsidTr="003C4118">
        <w:trPr>
          <w:trHeight w:val="28"/>
        </w:trPr>
        <w:tc>
          <w:tcPr>
            <w:tcW w:w="0" w:type="auto"/>
            <w:shd w:val="clear" w:color="auto" w:fill="auto"/>
          </w:tcPr>
          <w:p w:rsidR="00B72640" w:rsidRPr="00FA63F3" w:rsidRDefault="00B72640" w:rsidP="003C4118">
            <w:pPr>
              <w:pStyle w:val="Default"/>
              <w:widowControl w:val="0"/>
              <w:jc w:val="right"/>
              <w:rPr>
                <w:sz w:val="18"/>
                <w:szCs w:val="18"/>
              </w:rPr>
            </w:pPr>
            <w:r w:rsidRPr="00FA63F3">
              <w:rPr>
                <w:b/>
                <w:bCs/>
                <w:sz w:val="18"/>
                <w:szCs w:val="18"/>
              </w:rPr>
              <w:t>G</w:t>
            </w:r>
            <w:r w:rsidRPr="00FA63F3">
              <w:rPr>
                <w:b/>
                <w:bCs/>
                <w:sz w:val="18"/>
                <w:szCs w:val="18"/>
                <w:vertAlign w:val="subscript"/>
              </w:rPr>
              <w:t>surface</w:t>
            </w:r>
            <w:r w:rsidRPr="00FA63F3">
              <w:rPr>
                <w:b/>
                <w:bCs/>
                <w:sz w:val="18"/>
                <w:szCs w:val="18"/>
              </w:rPr>
              <w:t xml:space="preserve"> (number of granules/m</w:t>
            </w:r>
            <w:r w:rsidRPr="00FA63F3">
              <w:rPr>
                <w:b/>
                <w:bCs/>
                <w:sz w:val="18"/>
                <w:szCs w:val="18"/>
                <w:vertAlign w:val="superscript"/>
              </w:rPr>
              <w:t>2</w:t>
            </w:r>
            <w:r w:rsidRPr="00FA63F3">
              <w:rPr>
                <w:b/>
                <w:bCs/>
                <w:sz w:val="18"/>
                <w:szCs w:val="18"/>
              </w:rPr>
              <w:t>)</w:t>
            </w:r>
          </w:p>
        </w:tc>
        <w:tc>
          <w:tcPr>
            <w:tcW w:w="5330" w:type="dxa"/>
            <w:gridSpan w:val="4"/>
          </w:tcPr>
          <w:p w:rsidR="00B72640" w:rsidRPr="00FA63F3" w:rsidRDefault="00B72640" w:rsidP="003C4118">
            <w:pPr>
              <w:pStyle w:val="BodyText"/>
              <w:jc w:val="center"/>
              <w:rPr>
                <w:sz w:val="18"/>
                <w:szCs w:val="18"/>
              </w:rPr>
            </w:pPr>
          </w:p>
        </w:tc>
      </w:tr>
      <w:tr w:rsidR="00B72640" w:rsidRPr="00FA63F3" w:rsidTr="003C4118">
        <w:trPr>
          <w:trHeight w:val="28"/>
        </w:trPr>
        <w:tc>
          <w:tcPr>
            <w:tcW w:w="0" w:type="auto"/>
            <w:shd w:val="clear" w:color="auto" w:fill="auto"/>
          </w:tcPr>
          <w:p w:rsidR="00B72640" w:rsidRPr="00FA63F3" w:rsidRDefault="00B72640" w:rsidP="003C4118">
            <w:pPr>
              <w:pStyle w:val="Default"/>
              <w:widowControl w:val="0"/>
              <w:jc w:val="right"/>
              <w:rPr>
                <w:sz w:val="18"/>
                <w:szCs w:val="18"/>
              </w:rPr>
            </w:pPr>
            <w:r w:rsidRPr="00FA63F3">
              <w:rPr>
                <w:b/>
                <w:bCs/>
                <w:sz w:val="18"/>
                <w:szCs w:val="18"/>
              </w:rPr>
              <w:t>G</w:t>
            </w:r>
            <w:r w:rsidRPr="00FA63F3">
              <w:rPr>
                <w:b/>
                <w:bCs/>
                <w:sz w:val="18"/>
                <w:szCs w:val="18"/>
                <w:vertAlign w:val="subscript"/>
              </w:rPr>
              <w:t>loading</w:t>
            </w:r>
            <w:r w:rsidRPr="00FA63F3">
              <w:rPr>
                <w:b/>
                <w:bCs/>
                <w:sz w:val="18"/>
                <w:szCs w:val="18"/>
              </w:rPr>
              <w:t xml:space="preserve"> (mg ac</w:t>
            </w:r>
            <w:r>
              <w:rPr>
                <w:b/>
                <w:bCs/>
                <w:sz w:val="18"/>
                <w:szCs w:val="18"/>
              </w:rPr>
              <w:t>s</w:t>
            </w:r>
            <w:r w:rsidRPr="00FA63F3">
              <w:rPr>
                <w:b/>
                <w:bCs/>
                <w:sz w:val="18"/>
                <w:szCs w:val="18"/>
              </w:rPr>
              <w:t>/granule)</w:t>
            </w:r>
          </w:p>
        </w:tc>
        <w:tc>
          <w:tcPr>
            <w:tcW w:w="5330" w:type="dxa"/>
            <w:gridSpan w:val="4"/>
          </w:tcPr>
          <w:p w:rsidR="00B72640" w:rsidRPr="00FA63F3" w:rsidRDefault="00B72640" w:rsidP="003C4118">
            <w:pPr>
              <w:pStyle w:val="BodyText"/>
              <w:jc w:val="center"/>
              <w:rPr>
                <w:sz w:val="18"/>
                <w:szCs w:val="18"/>
              </w:rPr>
            </w:pPr>
          </w:p>
        </w:tc>
      </w:tr>
      <w:tr w:rsidR="00B72640" w:rsidRPr="00E06522" w:rsidTr="003C4118">
        <w:trPr>
          <w:trHeight w:val="95"/>
        </w:trPr>
        <w:tc>
          <w:tcPr>
            <w:tcW w:w="0" w:type="auto"/>
            <w:shd w:val="clear" w:color="auto" w:fill="auto"/>
          </w:tcPr>
          <w:p w:rsidR="00B72640" w:rsidRPr="00FA63F3" w:rsidRDefault="00B72640" w:rsidP="003C4118">
            <w:pPr>
              <w:pStyle w:val="Default"/>
              <w:widowControl w:val="0"/>
              <w:jc w:val="right"/>
              <w:rPr>
                <w:b/>
                <w:bCs/>
                <w:sz w:val="18"/>
                <w:szCs w:val="18"/>
              </w:rPr>
            </w:pPr>
            <w:r>
              <w:rPr>
                <w:b/>
                <w:bCs/>
                <w:sz w:val="18"/>
                <w:szCs w:val="18"/>
              </w:rPr>
              <w:t>Indicator species</w:t>
            </w:r>
          </w:p>
        </w:tc>
        <w:tc>
          <w:tcPr>
            <w:tcW w:w="2663" w:type="dxa"/>
            <w:gridSpan w:val="2"/>
            <w:shd w:val="clear" w:color="auto" w:fill="auto"/>
          </w:tcPr>
          <w:p w:rsidR="00B72640" w:rsidRPr="00FA63F3" w:rsidRDefault="00B72640" w:rsidP="003C4118">
            <w:pPr>
              <w:pStyle w:val="BodyText"/>
              <w:jc w:val="center"/>
              <w:rPr>
                <w:b/>
                <w:sz w:val="18"/>
                <w:szCs w:val="18"/>
              </w:rPr>
            </w:pPr>
            <w:r>
              <w:rPr>
                <w:b/>
                <w:sz w:val="18"/>
                <w:szCs w:val="18"/>
              </w:rPr>
              <w:t>Small granivorous bird</w:t>
            </w:r>
          </w:p>
        </w:tc>
        <w:tc>
          <w:tcPr>
            <w:tcW w:w="2667" w:type="dxa"/>
            <w:gridSpan w:val="2"/>
          </w:tcPr>
          <w:p w:rsidR="00B72640" w:rsidRPr="00C16F1E" w:rsidRDefault="00B72640" w:rsidP="003C4118">
            <w:pPr>
              <w:pStyle w:val="BodyText"/>
              <w:jc w:val="center"/>
              <w:rPr>
                <w:b/>
                <w:sz w:val="18"/>
                <w:szCs w:val="18"/>
              </w:rPr>
            </w:pPr>
            <w:r>
              <w:rPr>
                <w:b/>
                <w:sz w:val="18"/>
                <w:szCs w:val="18"/>
              </w:rPr>
              <w:t>Large granivorous bird</w:t>
            </w:r>
          </w:p>
        </w:tc>
      </w:tr>
      <w:tr w:rsidR="00B72640" w:rsidRPr="00E06522" w:rsidTr="003C4118">
        <w:trPr>
          <w:trHeight w:val="95"/>
        </w:trPr>
        <w:tc>
          <w:tcPr>
            <w:tcW w:w="0" w:type="auto"/>
            <w:shd w:val="clear" w:color="auto" w:fill="auto"/>
          </w:tcPr>
          <w:p w:rsidR="00B72640" w:rsidRDefault="00B72640" w:rsidP="003C4118">
            <w:pPr>
              <w:pStyle w:val="Default"/>
              <w:widowControl w:val="0"/>
              <w:jc w:val="right"/>
              <w:rPr>
                <w:b/>
                <w:bCs/>
                <w:sz w:val="18"/>
                <w:szCs w:val="18"/>
              </w:rPr>
            </w:pPr>
            <w:r>
              <w:rPr>
                <w:b/>
                <w:bCs/>
                <w:sz w:val="18"/>
                <w:szCs w:val="18"/>
              </w:rPr>
              <w:t>Granular size preference</w:t>
            </w:r>
          </w:p>
        </w:tc>
        <w:tc>
          <w:tcPr>
            <w:tcW w:w="2663" w:type="dxa"/>
            <w:gridSpan w:val="2"/>
          </w:tcPr>
          <w:p w:rsidR="00B72640" w:rsidRPr="00027C83" w:rsidRDefault="00B72640" w:rsidP="003C4118">
            <w:pPr>
              <w:pStyle w:val="BodyText"/>
              <w:jc w:val="center"/>
              <w:rPr>
                <w:sz w:val="18"/>
                <w:szCs w:val="18"/>
              </w:rPr>
            </w:pPr>
            <w:r>
              <w:rPr>
                <w:sz w:val="18"/>
                <w:szCs w:val="18"/>
              </w:rPr>
              <w:t>0.75 to 2 mm</w:t>
            </w:r>
          </w:p>
        </w:tc>
        <w:tc>
          <w:tcPr>
            <w:tcW w:w="2667" w:type="dxa"/>
            <w:gridSpan w:val="2"/>
          </w:tcPr>
          <w:p w:rsidR="00B72640" w:rsidRPr="00027C83" w:rsidRDefault="00B72640" w:rsidP="003C4118">
            <w:pPr>
              <w:pStyle w:val="BodyText"/>
              <w:jc w:val="center"/>
              <w:rPr>
                <w:sz w:val="18"/>
                <w:szCs w:val="18"/>
              </w:rPr>
            </w:pPr>
            <w:r>
              <w:rPr>
                <w:sz w:val="18"/>
                <w:szCs w:val="18"/>
              </w:rPr>
              <w:t>2 to 6 mm</w:t>
            </w:r>
          </w:p>
        </w:tc>
      </w:tr>
      <w:tr w:rsidR="00B72640" w:rsidRPr="00E06522" w:rsidTr="003C4118">
        <w:trPr>
          <w:trHeight w:val="95"/>
        </w:trPr>
        <w:tc>
          <w:tcPr>
            <w:tcW w:w="0" w:type="auto"/>
            <w:shd w:val="clear" w:color="auto" w:fill="auto"/>
          </w:tcPr>
          <w:p w:rsidR="00B72640" w:rsidRDefault="00B72640" w:rsidP="003C4118">
            <w:pPr>
              <w:pStyle w:val="Default"/>
              <w:widowControl w:val="0"/>
              <w:jc w:val="right"/>
              <w:rPr>
                <w:b/>
                <w:bCs/>
                <w:sz w:val="18"/>
                <w:szCs w:val="18"/>
              </w:rPr>
            </w:pPr>
            <w:r>
              <w:rPr>
                <w:b/>
                <w:bCs/>
                <w:sz w:val="18"/>
                <w:szCs w:val="18"/>
              </w:rPr>
              <w:t>BW (kg)</w:t>
            </w:r>
          </w:p>
        </w:tc>
        <w:tc>
          <w:tcPr>
            <w:tcW w:w="2663" w:type="dxa"/>
            <w:gridSpan w:val="2"/>
          </w:tcPr>
          <w:p w:rsidR="00B72640" w:rsidRPr="00027C83" w:rsidRDefault="00B72640" w:rsidP="003C4118">
            <w:pPr>
              <w:pStyle w:val="BodyText"/>
              <w:jc w:val="center"/>
              <w:rPr>
                <w:sz w:val="18"/>
                <w:szCs w:val="18"/>
              </w:rPr>
            </w:pPr>
            <w:r>
              <w:rPr>
                <w:sz w:val="18"/>
                <w:szCs w:val="18"/>
              </w:rPr>
              <w:t>0.025</w:t>
            </w:r>
          </w:p>
        </w:tc>
        <w:tc>
          <w:tcPr>
            <w:tcW w:w="2667" w:type="dxa"/>
            <w:gridSpan w:val="2"/>
          </w:tcPr>
          <w:p w:rsidR="00B72640" w:rsidRPr="00027C83" w:rsidRDefault="00B72640" w:rsidP="003C4118">
            <w:pPr>
              <w:pStyle w:val="BodyText"/>
              <w:jc w:val="center"/>
              <w:rPr>
                <w:sz w:val="18"/>
                <w:szCs w:val="18"/>
              </w:rPr>
            </w:pPr>
            <w:r>
              <w:rPr>
                <w:sz w:val="18"/>
                <w:szCs w:val="18"/>
              </w:rPr>
              <w:t>0.30</w:t>
            </w:r>
          </w:p>
        </w:tc>
      </w:tr>
      <w:tr w:rsidR="00B72640" w:rsidRPr="00E06522" w:rsidTr="003C4118">
        <w:trPr>
          <w:trHeight w:val="95"/>
        </w:trPr>
        <w:tc>
          <w:tcPr>
            <w:tcW w:w="0" w:type="auto"/>
            <w:shd w:val="clear" w:color="auto" w:fill="auto"/>
          </w:tcPr>
          <w:p w:rsidR="00B72640" w:rsidRPr="00FA63F3" w:rsidRDefault="00B72640" w:rsidP="003C4118">
            <w:pPr>
              <w:pStyle w:val="Default"/>
              <w:widowControl w:val="0"/>
              <w:jc w:val="right"/>
              <w:rPr>
                <w:b/>
                <w:bCs/>
                <w:sz w:val="18"/>
                <w:szCs w:val="18"/>
              </w:rPr>
            </w:pPr>
            <w:r>
              <w:rPr>
                <w:b/>
                <w:bCs/>
                <w:sz w:val="18"/>
                <w:szCs w:val="18"/>
              </w:rPr>
              <w:t>Exposure</w:t>
            </w:r>
          </w:p>
        </w:tc>
        <w:tc>
          <w:tcPr>
            <w:tcW w:w="1330" w:type="dxa"/>
          </w:tcPr>
          <w:p w:rsidR="00B72640" w:rsidRPr="00027C83" w:rsidRDefault="00B72640" w:rsidP="003C4118">
            <w:pPr>
              <w:pStyle w:val="BodyText"/>
              <w:jc w:val="center"/>
              <w:rPr>
                <w:sz w:val="18"/>
                <w:szCs w:val="18"/>
              </w:rPr>
            </w:pPr>
            <w:r w:rsidRPr="00027C83">
              <w:rPr>
                <w:sz w:val="18"/>
                <w:szCs w:val="18"/>
              </w:rPr>
              <w:t>Acute</w:t>
            </w:r>
          </w:p>
        </w:tc>
        <w:tc>
          <w:tcPr>
            <w:tcW w:w="1333" w:type="dxa"/>
          </w:tcPr>
          <w:p w:rsidR="00B72640" w:rsidRPr="00027C83" w:rsidRDefault="00B72640" w:rsidP="003C4118">
            <w:pPr>
              <w:pStyle w:val="BodyText"/>
              <w:jc w:val="center"/>
              <w:rPr>
                <w:sz w:val="18"/>
                <w:szCs w:val="18"/>
              </w:rPr>
            </w:pPr>
            <w:r w:rsidRPr="00027C83">
              <w:rPr>
                <w:sz w:val="18"/>
                <w:szCs w:val="18"/>
              </w:rPr>
              <w:t>Chronic</w:t>
            </w:r>
          </w:p>
        </w:tc>
        <w:tc>
          <w:tcPr>
            <w:tcW w:w="1333" w:type="dxa"/>
          </w:tcPr>
          <w:p w:rsidR="00B72640" w:rsidRPr="00027C83" w:rsidRDefault="00B72640" w:rsidP="003C4118">
            <w:pPr>
              <w:pStyle w:val="BodyText"/>
              <w:jc w:val="center"/>
              <w:rPr>
                <w:sz w:val="18"/>
                <w:szCs w:val="18"/>
              </w:rPr>
            </w:pPr>
            <w:r w:rsidRPr="00027C83">
              <w:rPr>
                <w:sz w:val="18"/>
                <w:szCs w:val="18"/>
              </w:rPr>
              <w:t>Acute</w:t>
            </w:r>
          </w:p>
        </w:tc>
        <w:tc>
          <w:tcPr>
            <w:tcW w:w="1334" w:type="dxa"/>
          </w:tcPr>
          <w:p w:rsidR="00B72640" w:rsidRPr="00027C83" w:rsidRDefault="00B72640" w:rsidP="003C4118">
            <w:pPr>
              <w:pStyle w:val="BodyText"/>
              <w:jc w:val="center"/>
              <w:rPr>
                <w:sz w:val="18"/>
                <w:szCs w:val="18"/>
              </w:rPr>
            </w:pPr>
            <w:r w:rsidRPr="00027C83">
              <w:rPr>
                <w:sz w:val="18"/>
                <w:szCs w:val="18"/>
              </w:rPr>
              <w:t>Chronic</w:t>
            </w:r>
          </w:p>
        </w:tc>
      </w:tr>
      <w:tr w:rsidR="00B72640" w:rsidRPr="00E06522" w:rsidTr="003C4118">
        <w:trPr>
          <w:trHeight w:val="95"/>
        </w:trPr>
        <w:tc>
          <w:tcPr>
            <w:tcW w:w="0" w:type="auto"/>
            <w:shd w:val="clear" w:color="auto" w:fill="auto"/>
          </w:tcPr>
          <w:p w:rsidR="00B72640" w:rsidRDefault="00B72640" w:rsidP="003C4118">
            <w:pPr>
              <w:pStyle w:val="Default"/>
              <w:widowControl w:val="0"/>
              <w:jc w:val="right"/>
              <w:rPr>
                <w:b/>
                <w:bCs/>
                <w:sz w:val="18"/>
                <w:szCs w:val="18"/>
              </w:rPr>
            </w:pPr>
            <w:r w:rsidRPr="00FA63F3">
              <w:rPr>
                <w:b/>
                <w:bCs/>
                <w:sz w:val="18"/>
                <w:szCs w:val="18"/>
              </w:rPr>
              <w:t>RA</w:t>
            </w:r>
            <w:r>
              <w:rPr>
                <w:b/>
                <w:bCs/>
                <w:sz w:val="18"/>
                <w:szCs w:val="18"/>
              </w:rPr>
              <w:t>D</w:t>
            </w:r>
            <w:r w:rsidRPr="00FA63F3">
              <w:rPr>
                <w:b/>
                <w:bCs/>
                <w:sz w:val="18"/>
                <w:szCs w:val="18"/>
              </w:rPr>
              <w:t xml:space="preserve"> (mg ac/kg bw/d)</w:t>
            </w:r>
          </w:p>
        </w:tc>
        <w:tc>
          <w:tcPr>
            <w:tcW w:w="1330" w:type="dxa"/>
          </w:tcPr>
          <w:p w:rsidR="00B72640" w:rsidRPr="00027C83" w:rsidRDefault="00B72640" w:rsidP="003C4118">
            <w:pPr>
              <w:pStyle w:val="BodyText"/>
              <w:jc w:val="center"/>
              <w:rPr>
                <w:sz w:val="18"/>
                <w:szCs w:val="18"/>
              </w:rPr>
            </w:pPr>
          </w:p>
        </w:tc>
        <w:tc>
          <w:tcPr>
            <w:tcW w:w="1333" w:type="dxa"/>
          </w:tcPr>
          <w:p w:rsidR="00B72640" w:rsidRPr="00027C83" w:rsidRDefault="00B72640" w:rsidP="003C4118">
            <w:pPr>
              <w:pStyle w:val="BodyText"/>
              <w:jc w:val="center"/>
              <w:rPr>
                <w:sz w:val="18"/>
                <w:szCs w:val="18"/>
              </w:rPr>
            </w:pPr>
          </w:p>
        </w:tc>
        <w:tc>
          <w:tcPr>
            <w:tcW w:w="1333" w:type="dxa"/>
          </w:tcPr>
          <w:p w:rsidR="00B72640" w:rsidRPr="00027C83" w:rsidRDefault="00B72640" w:rsidP="003C4118">
            <w:pPr>
              <w:pStyle w:val="BodyText"/>
              <w:jc w:val="center"/>
              <w:rPr>
                <w:sz w:val="18"/>
                <w:szCs w:val="18"/>
              </w:rPr>
            </w:pPr>
          </w:p>
        </w:tc>
        <w:tc>
          <w:tcPr>
            <w:tcW w:w="1334" w:type="dxa"/>
          </w:tcPr>
          <w:p w:rsidR="00B72640" w:rsidRPr="00027C83" w:rsidRDefault="00B72640" w:rsidP="003C4118">
            <w:pPr>
              <w:pStyle w:val="BodyText"/>
              <w:jc w:val="center"/>
              <w:rPr>
                <w:sz w:val="18"/>
                <w:szCs w:val="18"/>
              </w:rPr>
            </w:pPr>
          </w:p>
        </w:tc>
      </w:tr>
      <w:tr w:rsidR="00B72640" w:rsidRPr="00E06522" w:rsidTr="008B68EB">
        <w:trPr>
          <w:trHeight w:val="28"/>
        </w:trPr>
        <w:tc>
          <w:tcPr>
            <w:tcW w:w="9752" w:type="dxa"/>
            <w:gridSpan w:val="5"/>
            <w:shd w:val="clear" w:color="auto" w:fill="auto"/>
          </w:tcPr>
          <w:p w:rsidR="00B72640" w:rsidRPr="008D7850" w:rsidRDefault="00B72640" w:rsidP="003C4118">
            <w:pPr>
              <w:pStyle w:val="BodyText"/>
              <w:jc w:val="center"/>
              <w:rPr>
                <w:b/>
                <w:sz w:val="18"/>
                <w:szCs w:val="18"/>
              </w:rPr>
            </w:pPr>
            <w:r w:rsidRPr="008D7850">
              <w:rPr>
                <w:b/>
                <w:sz w:val="18"/>
                <w:szCs w:val="18"/>
              </w:rPr>
              <w:t>Birds ingesting granules with as/grit</w:t>
            </w:r>
          </w:p>
        </w:tc>
      </w:tr>
      <w:tr w:rsidR="00B72640" w:rsidRPr="00E06522" w:rsidTr="003C4118">
        <w:trPr>
          <w:trHeight w:val="28"/>
        </w:trPr>
        <w:tc>
          <w:tcPr>
            <w:tcW w:w="0" w:type="auto"/>
            <w:shd w:val="clear" w:color="auto" w:fill="auto"/>
          </w:tcPr>
          <w:p w:rsidR="00B72640" w:rsidRPr="00FA63F3" w:rsidRDefault="00B72640" w:rsidP="003C4118">
            <w:pPr>
              <w:pStyle w:val="Default"/>
              <w:widowControl w:val="0"/>
              <w:jc w:val="right"/>
              <w:rPr>
                <w:sz w:val="18"/>
                <w:szCs w:val="18"/>
              </w:rPr>
            </w:pPr>
            <w:r w:rsidRPr="00FA63F3">
              <w:rPr>
                <w:b/>
                <w:bCs/>
                <w:sz w:val="18"/>
                <w:szCs w:val="18"/>
              </w:rPr>
              <w:t>DGritD</w:t>
            </w:r>
            <w:r w:rsidRPr="00FA63F3">
              <w:rPr>
                <w:b/>
                <w:bCs/>
                <w:sz w:val="18"/>
                <w:szCs w:val="18"/>
                <w:vertAlign w:val="subscript"/>
              </w:rPr>
              <w:t xml:space="preserve"> </w:t>
            </w:r>
            <w:r w:rsidRPr="00FA63F3">
              <w:rPr>
                <w:b/>
                <w:bCs/>
                <w:sz w:val="18"/>
                <w:szCs w:val="18"/>
              </w:rPr>
              <w:t>(mg ac/kg bw/d)</w:t>
            </w:r>
          </w:p>
        </w:tc>
        <w:tc>
          <w:tcPr>
            <w:tcW w:w="1330" w:type="dxa"/>
          </w:tcPr>
          <w:p w:rsidR="00B72640" w:rsidRPr="00E01A48" w:rsidRDefault="00B72640" w:rsidP="003C4118">
            <w:pPr>
              <w:pStyle w:val="BodyText"/>
              <w:jc w:val="center"/>
              <w:rPr>
                <w:sz w:val="18"/>
                <w:szCs w:val="18"/>
              </w:rPr>
            </w:pPr>
          </w:p>
        </w:tc>
        <w:tc>
          <w:tcPr>
            <w:tcW w:w="1333" w:type="dxa"/>
          </w:tcPr>
          <w:p w:rsidR="00B72640" w:rsidRPr="00E01A48" w:rsidRDefault="00B72640" w:rsidP="003C4118">
            <w:pPr>
              <w:pStyle w:val="BodyText"/>
              <w:jc w:val="center"/>
              <w:rPr>
                <w:sz w:val="18"/>
                <w:szCs w:val="18"/>
              </w:rPr>
            </w:pPr>
          </w:p>
        </w:tc>
        <w:tc>
          <w:tcPr>
            <w:tcW w:w="1333" w:type="dxa"/>
          </w:tcPr>
          <w:p w:rsidR="00B72640" w:rsidRPr="00E01A48" w:rsidRDefault="00B72640" w:rsidP="003C4118">
            <w:pPr>
              <w:pStyle w:val="BodyText"/>
              <w:jc w:val="center"/>
              <w:rPr>
                <w:sz w:val="18"/>
                <w:szCs w:val="18"/>
              </w:rPr>
            </w:pPr>
          </w:p>
        </w:tc>
        <w:tc>
          <w:tcPr>
            <w:tcW w:w="1334" w:type="dxa"/>
          </w:tcPr>
          <w:p w:rsidR="00B72640" w:rsidRPr="00E01A48" w:rsidRDefault="00B72640" w:rsidP="003C4118">
            <w:pPr>
              <w:pStyle w:val="BodyText"/>
              <w:jc w:val="center"/>
              <w:rPr>
                <w:sz w:val="18"/>
                <w:szCs w:val="18"/>
              </w:rPr>
            </w:pPr>
          </w:p>
        </w:tc>
      </w:tr>
      <w:tr w:rsidR="00B72640" w:rsidRPr="00E06522" w:rsidTr="003C4118">
        <w:trPr>
          <w:trHeight w:val="28"/>
        </w:trPr>
        <w:tc>
          <w:tcPr>
            <w:tcW w:w="0" w:type="auto"/>
            <w:shd w:val="clear" w:color="auto" w:fill="auto"/>
          </w:tcPr>
          <w:p w:rsidR="00B72640" w:rsidRPr="00FA63F3" w:rsidRDefault="00B72640" w:rsidP="003C4118">
            <w:pPr>
              <w:pStyle w:val="Default"/>
              <w:widowControl w:val="0"/>
              <w:jc w:val="right"/>
              <w:rPr>
                <w:sz w:val="18"/>
                <w:szCs w:val="18"/>
              </w:rPr>
            </w:pPr>
            <w:r w:rsidRPr="00FA63F3">
              <w:rPr>
                <w:b/>
                <w:bCs/>
                <w:sz w:val="18"/>
                <w:szCs w:val="18"/>
              </w:rPr>
              <w:t>RQ</w:t>
            </w:r>
          </w:p>
        </w:tc>
        <w:tc>
          <w:tcPr>
            <w:tcW w:w="1330" w:type="dxa"/>
          </w:tcPr>
          <w:p w:rsidR="00B72640" w:rsidRPr="00E01A48" w:rsidRDefault="00B72640" w:rsidP="003C4118">
            <w:pPr>
              <w:pStyle w:val="BodyText"/>
              <w:jc w:val="center"/>
              <w:rPr>
                <w:sz w:val="18"/>
                <w:szCs w:val="18"/>
              </w:rPr>
            </w:pPr>
          </w:p>
        </w:tc>
        <w:tc>
          <w:tcPr>
            <w:tcW w:w="1333" w:type="dxa"/>
          </w:tcPr>
          <w:p w:rsidR="00B72640" w:rsidRPr="00E01A48" w:rsidRDefault="00B72640" w:rsidP="003C4118">
            <w:pPr>
              <w:pStyle w:val="BodyText"/>
              <w:jc w:val="center"/>
              <w:rPr>
                <w:sz w:val="18"/>
                <w:szCs w:val="18"/>
              </w:rPr>
            </w:pPr>
          </w:p>
        </w:tc>
        <w:tc>
          <w:tcPr>
            <w:tcW w:w="1333" w:type="dxa"/>
          </w:tcPr>
          <w:p w:rsidR="00B72640" w:rsidRPr="00E01A48" w:rsidRDefault="00B72640" w:rsidP="003C4118">
            <w:pPr>
              <w:pStyle w:val="BodyText"/>
              <w:jc w:val="center"/>
              <w:rPr>
                <w:sz w:val="18"/>
                <w:szCs w:val="18"/>
              </w:rPr>
            </w:pPr>
          </w:p>
        </w:tc>
        <w:tc>
          <w:tcPr>
            <w:tcW w:w="1334" w:type="dxa"/>
          </w:tcPr>
          <w:p w:rsidR="00B72640" w:rsidRPr="00E01A48" w:rsidRDefault="00B72640" w:rsidP="003C4118">
            <w:pPr>
              <w:pStyle w:val="BodyText"/>
              <w:jc w:val="center"/>
              <w:rPr>
                <w:sz w:val="18"/>
                <w:szCs w:val="18"/>
              </w:rPr>
            </w:pPr>
          </w:p>
        </w:tc>
      </w:tr>
      <w:tr w:rsidR="00B72640" w:rsidRPr="00E06522" w:rsidTr="008B68EB">
        <w:trPr>
          <w:trHeight w:val="28"/>
        </w:trPr>
        <w:tc>
          <w:tcPr>
            <w:tcW w:w="9752" w:type="dxa"/>
            <w:gridSpan w:val="5"/>
            <w:shd w:val="clear" w:color="auto" w:fill="auto"/>
          </w:tcPr>
          <w:p w:rsidR="00B72640" w:rsidRPr="008D7850" w:rsidRDefault="00B72640" w:rsidP="003C4118">
            <w:pPr>
              <w:pStyle w:val="BodyText"/>
              <w:jc w:val="center"/>
              <w:rPr>
                <w:b/>
                <w:sz w:val="18"/>
                <w:szCs w:val="18"/>
              </w:rPr>
            </w:pPr>
            <w:r w:rsidRPr="008D7850">
              <w:rPr>
                <w:b/>
                <w:sz w:val="18"/>
                <w:szCs w:val="18"/>
              </w:rPr>
              <w:lastRenderedPageBreak/>
              <w:t>Birds ingesting granules when seeking seeds as food</w:t>
            </w:r>
          </w:p>
        </w:tc>
      </w:tr>
      <w:tr w:rsidR="00B72640" w:rsidRPr="00E06522" w:rsidTr="003C4118">
        <w:trPr>
          <w:trHeight w:val="28"/>
        </w:trPr>
        <w:tc>
          <w:tcPr>
            <w:tcW w:w="0" w:type="auto"/>
            <w:shd w:val="clear" w:color="auto" w:fill="auto"/>
          </w:tcPr>
          <w:p w:rsidR="00B72640" w:rsidRPr="00FA63F3" w:rsidRDefault="00B72640" w:rsidP="003C4118">
            <w:pPr>
              <w:pStyle w:val="Default"/>
              <w:widowControl w:val="0"/>
              <w:jc w:val="right"/>
              <w:rPr>
                <w:b/>
                <w:bCs/>
                <w:sz w:val="18"/>
                <w:szCs w:val="18"/>
              </w:rPr>
            </w:pPr>
            <w:r>
              <w:rPr>
                <w:b/>
                <w:bCs/>
                <w:sz w:val="18"/>
                <w:szCs w:val="18"/>
              </w:rPr>
              <w:t>DGD (mg ac/kg bw/d)</w:t>
            </w:r>
          </w:p>
        </w:tc>
        <w:tc>
          <w:tcPr>
            <w:tcW w:w="1330" w:type="dxa"/>
          </w:tcPr>
          <w:p w:rsidR="00B72640" w:rsidRPr="00E01A48" w:rsidRDefault="00B72640" w:rsidP="003C4118">
            <w:pPr>
              <w:pStyle w:val="BodyText"/>
              <w:jc w:val="center"/>
              <w:rPr>
                <w:sz w:val="18"/>
                <w:szCs w:val="18"/>
              </w:rPr>
            </w:pPr>
          </w:p>
        </w:tc>
        <w:tc>
          <w:tcPr>
            <w:tcW w:w="1333" w:type="dxa"/>
          </w:tcPr>
          <w:p w:rsidR="00B72640" w:rsidRPr="00E01A48" w:rsidRDefault="00B72640" w:rsidP="003C4118">
            <w:pPr>
              <w:pStyle w:val="BodyText"/>
              <w:jc w:val="center"/>
              <w:rPr>
                <w:sz w:val="18"/>
                <w:szCs w:val="18"/>
              </w:rPr>
            </w:pPr>
          </w:p>
        </w:tc>
        <w:tc>
          <w:tcPr>
            <w:tcW w:w="1333" w:type="dxa"/>
          </w:tcPr>
          <w:p w:rsidR="00B72640" w:rsidRPr="00E01A48" w:rsidRDefault="00B72640" w:rsidP="003C4118">
            <w:pPr>
              <w:pStyle w:val="BodyText"/>
              <w:jc w:val="center"/>
              <w:rPr>
                <w:sz w:val="18"/>
                <w:szCs w:val="18"/>
              </w:rPr>
            </w:pPr>
            <w:r w:rsidRPr="00E01A48">
              <w:rPr>
                <w:sz w:val="18"/>
                <w:szCs w:val="18"/>
              </w:rPr>
              <w:t>n/a</w:t>
            </w:r>
          </w:p>
        </w:tc>
        <w:tc>
          <w:tcPr>
            <w:tcW w:w="1334" w:type="dxa"/>
          </w:tcPr>
          <w:p w:rsidR="00B72640" w:rsidRPr="00E01A48" w:rsidRDefault="00B72640" w:rsidP="003C4118">
            <w:pPr>
              <w:pStyle w:val="BodyText"/>
              <w:jc w:val="center"/>
              <w:rPr>
                <w:sz w:val="18"/>
                <w:szCs w:val="18"/>
              </w:rPr>
            </w:pPr>
            <w:r w:rsidRPr="00E01A48">
              <w:rPr>
                <w:sz w:val="18"/>
                <w:szCs w:val="18"/>
              </w:rPr>
              <w:t>n/a</w:t>
            </w:r>
          </w:p>
        </w:tc>
      </w:tr>
      <w:tr w:rsidR="00B72640" w:rsidRPr="00E06522" w:rsidTr="003C4118">
        <w:trPr>
          <w:trHeight w:val="28"/>
        </w:trPr>
        <w:tc>
          <w:tcPr>
            <w:tcW w:w="0" w:type="auto"/>
            <w:shd w:val="clear" w:color="auto" w:fill="auto"/>
          </w:tcPr>
          <w:p w:rsidR="00B72640" w:rsidRPr="00FA63F3" w:rsidRDefault="00B72640" w:rsidP="003C4118">
            <w:pPr>
              <w:pStyle w:val="Default"/>
              <w:widowControl w:val="0"/>
              <w:jc w:val="right"/>
              <w:rPr>
                <w:b/>
                <w:bCs/>
                <w:sz w:val="18"/>
                <w:szCs w:val="18"/>
              </w:rPr>
            </w:pPr>
            <w:r>
              <w:rPr>
                <w:b/>
                <w:bCs/>
                <w:sz w:val="18"/>
                <w:szCs w:val="18"/>
              </w:rPr>
              <w:t>RQ</w:t>
            </w:r>
          </w:p>
        </w:tc>
        <w:tc>
          <w:tcPr>
            <w:tcW w:w="1330" w:type="dxa"/>
          </w:tcPr>
          <w:p w:rsidR="00B72640" w:rsidRPr="00E01A48" w:rsidRDefault="00B72640" w:rsidP="003C4118">
            <w:pPr>
              <w:pStyle w:val="BodyText"/>
              <w:jc w:val="center"/>
              <w:rPr>
                <w:sz w:val="18"/>
                <w:szCs w:val="18"/>
              </w:rPr>
            </w:pPr>
          </w:p>
        </w:tc>
        <w:tc>
          <w:tcPr>
            <w:tcW w:w="1333" w:type="dxa"/>
          </w:tcPr>
          <w:p w:rsidR="00B72640" w:rsidRPr="00E01A48" w:rsidRDefault="00B72640" w:rsidP="003C4118">
            <w:pPr>
              <w:pStyle w:val="BodyText"/>
              <w:jc w:val="center"/>
              <w:rPr>
                <w:sz w:val="18"/>
                <w:szCs w:val="18"/>
              </w:rPr>
            </w:pPr>
          </w:p>
        </w:tc>
        <w:tc>
          <w:tcPr>
            <w:tcW w:w="1333" w:type="dxa"/>
          </w:tcPr>
          <w:p w:rsidR="00B72640" w:rsidRPr="00E01A48" w:rsidRDefault="00B72640" w:rsidP="003C4118">
            <w:pPr>
              <w:pStyle w:val="BodyText"/>
              <w:jc w:val="center"/>
              <w:rPr>
                <w:sz w:val="18"/>
                <w:szCs w:val="18"/>
              </w:rPr>
            </w:pPr>
            <w:r w:rsidRPr="00E01A48">
              <w:rPr>
                <w:sz w:val="18"/>
                <w:szCs w:val="18"/>
              </w:rPr>
              <w:t>n/a</w:t>
            </w:r>
          </w:p>
        </w:tc>
        <w:tc>
          <w:tcPr>
            <w:tcW w:w="1334" w:type="dxa"/>
          </w:tcPr>
          <w:p w:rsidR="00B72640" w:rsidRPr="00E01A48" w:rsidRDefault="00B72640" w:rsidP="003C4118">
            <w:pPr>
              <w:pStyle w:val="BodyText"/>
              <w:jc w:val="center"/>
              <w:rPr>
                <w:sz w:val="18"/>
                <w:szCs w:val="18"/>
              </w:rPr>
            </w:pPr>
            <w:r w:rsidRPr="00E01A48">
              <w:rPr>
                <w:sz w:val="18"/>
                <w:szCs w:val="18"/>
              </w:rPr>
              <w:t>n/a</w:t>
            </w:r>
          </w:p>
        </w:tc>
      </w:tr>
    </w:tbl>
    <w:p w:rsidR="00B72640" w:rsidRDefault="00B72640" w:rsidP="00B72640">
      <w:pPr>
        <w:pStyle w:val="BodyText"/>
        <w:contextualSpacing/>
        <w:rPr>
          <w:sz w:val="18"/>
          <w:szCs w:val="18"/>
        </w:rPr>
      </w:pPr>
      <w:r>
        <w:rPr>
          <w:sz w:val="18"/>
          <w:szCs w:val="18"/>
        </w:rPr>
        <w:t>Assessment method according to EFSA (2009)</w:t>
      </w:r>
    </w:p>
    <w:p w:rsidR="00B72640" w:rsidRPr="00AA1F64" w:rsidRDefault="00B72640" w:rsidP="00B72640">
      <w:pPr>
        <w:pStyle w:val="BodyText"/>
        <w:contextualSpacing/>
        <w:rPr>
          <w:sz w:val="18"/>
          <w:szCs w:val="18"/>
        </w:rPr>
      </w:pPr>
      <w:r w:rsidRPr="00AA1F64">
        <w:rPr>
          <w:sz w:val="18"/>
          <w:szCs w:val="18"/>
        </w:rPr>
        <w:t>G</w:t>
      </w:r>
      <w:r w:rsidRPr="00977548">
        <w:rPr>
          <w:sz w:val="18"/>
          <w:szCs w:val="18"/>
          <w:vertAlign w:val="subscript"/>
        </w:rPr>
        <w:t>surface</w:t>
      </w:r>
      <w:r w:rsidRPr="00AA1F64">
        <w:rPr>
          <w:sz w:val="18"/>
          <w:szCs w:val="18"/>
        </w:rPr>
        <w:t xml:space="preserve"> = number of granules on soil surface per m</w:t>
      </w:r>
      <w:r w:rsidRPr="00977548">
        <w:rPr>
          <w:sz w:val="18"/>
          <w:szCs w:val="18"/>
          <w:vertAlign w:val="superscript"/>
        </w:rPr>
        <w:t>2</w:t>
      </w:r>
      <w:r w:rsidRPr="00AA1F64">
        <w:rPr>
          <w:sz w:val="18"/>
          <w:szCs w:val="18"/>
        </w:rPr>
        <w:t xml:space="preserve"> = application rate (kg granules/ha) / granular density (granules/kg) /10000 </w:t>
      </w:r>
    </w:p>
    <w:p w:rsidR="00B72640" w:rsidRDefault="00B72640" w:rsidP="00B72640">
      <w:pPr>
        <w:pStyle w:val="BodyText"/>
        <w:contextualSpacing/>
        <w:rPr>
          <w:sz w:val="18"/>
          <w:szCs w:val="18"/>
        </w:rPr>
      </w:pPr>
      <w:r w:rsidRPr="00AA1F64">
        <w:rPr>
          <w:sz w:val="18"/>
          <w:szCs w:val="18"/>
        </w:rPr>
        <w:t>G</w:t>
      </w:r>
      <w:r w:rsidRPr="00977548">
        <w:rPr>
          <w:sz w:val="18"/>
          <w:szCs w:val="18"/>
          <w:vertAlign w:val="subscript"/>
        </w:rPr>
        <w:t xml:space="preserve">loading </w:t>
      </w:r>
      <w:r w:rsidRPr="00AA1F64">
        <w:rPr>
          <w:sz w:val="18"/>
          <w:szCs w:val="18"/>
        </w:rPr>
        <w:t xml:space="preserve">= </w:t>
      </w:r>
      <w:r>
        <w:rPr>
          <w:sz w:val="18"/>
          <w:szCs w:val="18"/>
        </w:rPr>
        <w:t>active constituent content</w:t>
      </w:r>
      <w:r w:rsidRPr="005F2A87">
        <w:rPr>
          <w:sz w:val="18"/>
          <w:szCs w:val="18"/>
        </w:rPr>
        <w:t xml:space="preserve"> </w:t>
      </w:r>
      <w:r>
        <w:rPr>
          <w:sz w:val="18"/>
          <w:szCs w:val="18"/>
        </w:rPr>
        <w:t>(</w:t>
      </w:r>
      <w:r w:rsidRPr="005F2A87">
        <w:rPr>
          <w:sz w:val="18"/>
          <w:szCs w:val="18"/>
        </w:rPr>
        <w:t>mg acs/kg</w:t>
      </w:r>
      <w:r>
        <w:rPr>
          <w:sz w:val="18"/>
          <w:szCs w:val="18"/>
        </w:rPr>
        <w:t xml:space="preserve"> granules) </w:t>
      </w:r>
      <w:r w:rsidRPr="005F2A87">
        <w:rPr>
          <w:sz w:val="18"/>
          <w:szCs w:val="18"/>
        </w:rPr>
        <w:t>/</w:t>
      </w:r>
      <w:r>
        <w:rPr>
          <w:sz w:val="18"/>
          <w:szCs w:val="18"/>
        </w:rPr>
        <w:t xml:space="preserve"> granular density (granules/kg) </w:t>
      </w:r>
    </w:p>
    <w:p w:rsidR="00B72640" w:rsidRDefault="00B72640" w:rsidP="00B72640">
      <w:pPr>
        <w:pStyle w:val="BodyText"/>
        <w:contextualSpacing/>
        <w:rPr>
          <w:sz w:val="18"/>
          <w:szCs w:val="18"/>
        </w:rPr>
      </w:pPr>
      <w:r>
        <w:rPr>
          <w:sz w:val="18"/>
          <w:szCs w:val="18"/>
        </w:rPr>
        <w:t>BW = body weight (default values)</w:t>
      </w:r>
    </w:p>
    <w:p w:rsidR="00B72640" w:rsidRPr="00AA1F64" w:rsidRDefault="00B72640" w:rsidP="00B72640">
      <w:pPr>
        <w:pStyle w:val="BodyText"/>
        <w:contextualSpacing/>
        <w:rPr>
          <w:sz w:val="18"/>
          <w:szCs w:val="18"/>
        </w:rPr>
      </w:pPr>
      <w:r w:rsidRPr="00AA1F64">
        <w:rPr>
          <w:sz w:val="18"/>
          <w:szCs w:val="18"/>
        </w:rPr>
        <w:t>RA</w:t>
      </w:r>
      <w:r>
        <w:rPr>
          <w:sz w:val="18"/>
          <w:szCs w:val="18"/>
        </w:rPr>
        <w:t>D</w:t>
      </w:r>
      <w:r w:rsidRPr="00AA1F64">
        <w:rPr>
          <w:sz w:val="18"/>
          <w:szCs w:val="18"/>
        </w:rPr>
        <w:t xml:space="preserve"> = regulatory a</w:t>
      </w:r>
      <w:r>
        <w:rPr>
          <w:sz w:val="18"/>
          <w:szCs w:val="18"/>
        </w:rPr>
        <w:t>cceptable dose (from Table X)</w:t>
      </w:r>
    </w:p>
    <w:p w:rsidR="00B72640" w:rsidRPr="00E01A48" w:rsidRDefault="00B72640" w:rsidP="00B72640">
      <w:pPr>
        <w:pStyle w:val="BodyText"/>
        <w:contextualSpacing/>
        <w:rPr>
          <w:sz w:val="18"/>
          <w:szCs w:val="18"/>
        </w:rPr>
      </w:pPr>
      <w:r>
        <w:rPr>
          <w:sz w:val="18"/>
          <w:szCs w:val="18"/>
        </w:rPr>
        <w:t xml:space="preserve">Small bird acute </w:t>
      </w:r>
      <w:r w:rsidRPr="00AA1F64">
        <w:rPr>
          <w:sz w:val="18"/>
          <w:szCs w:val="18"/>
        </w:rPr>
        <w:t>DGritD</w:t>
      </w:r>
      <w:r>
        <w:rPr>
          <w:sz w:val="18"/>
          <w:szCs w:val="18"/>
        </w:rPr>
        <w:t xml:space="preserve"> </w:t>
      </w:r>
      <w:r w:rsidRPr="00AA1F64">
        <w:rPr>
          <w:sz w:val="18"/>
          <w:szCs w:val="18"/>
        </w:rPr>
        <w:t>= daily</w:t>
      </w:r>
      <w:r>
        <w:rPr>
          <w:sz w:val="18"/>
          <w:szCs w:val="18"/>
        </w:rPr>
        <w:t xml:space="preserve"> grit dose (mg ac/kg bw/d) = 651/BW</w:t>
      </w:r>
      <w:r w:rsidRPr="00AA1F64">
        <w:rPr>
          <w:sz w:val="18"/>
          <w:szCs w:val="18"/>
        </w:rPr>
        <w:t xml:space="preserve"> * (G</w:t>
      </w:r>
      <w:r w:rsidRPr="00977548">
        <w:rPr>
          <w:sz w:val="18"/>
          <w:szCs w:val="18"/>
          <w:vertAlign w:val="subscript"/>
        </w:rPr>
        <w:t>surface</w:t>
      </w:r>
      <w:r w:rsidRPr="00AA1F64">
        <w:rPr>
          <w:sz w:val="18"/>
          <w:szCs w:val="18"/>
        </w:rPr>
        <w:t xml:space="preserve"> / (</w:t>
      </w:r>
      <w:r>
        <w:rPr>
          <w:sz w:val="18"/>
          <w:szCs w:val="18"/>
        </w:rPr>
        <w:t>15200</w:t>
      </w:r>
      <w:r w:rsidRPr="00AA1F64">
        <w:rPr>
          <w:sz w:val="18"/>
          <w:szCs w:val="18"/>
        </w:rPr>
        <w:t xml:space="preserve"> + G</w:t>
      </w:r>
      <w:r w:rsidRPr="00977548">
        <w:rPr>
          <w:sz w:val="18"/>
          <w:szCs w:val="18"/>
          <w:vertAlign w:val="subscript"/>
        </w:rPr>
        <w:t>surface</w:t>
      </w:r>
      <w:r w:rsidRPr="00AA1F64">
        <w:rPr>
          <w:sz w:val="18"/>
          <w:szCs w:val="18"/>
        </w:rPr>
        <w:t>)) * G</w:t>
      </w:r>
      <w:r w:rsidRPr="00977548">
        <w:rPr>
          <w:sz w:val="18"/>
          <w:szCs w:val="18"/>
          <w:vertAlign w:val="subscript"/>
        </w:rPr>
        <w:t xml:space="preserve">loading </w:t>
      </w:r>
    </w:p>
    <w:p w:rsidR="00B72640" w:rsidRDefault="00B72640" w:rsidP="00B72640">
      <w:pPr>
        <w:pStyle w:val="BodyText"/>
        <w:contextualSpacing/>
        <w:rPr>
          <w:sz w:val="18"/>
          <w:szCs w:val="18"/>
        </w:rPr>
      </w:pPr>
      <w:r>
        <w:rPr>
          <w:sz w:val="18"/>
          <w:szCs w:val="18"/>
        </w:rPr>
        <w:t xml:space="preserve">Large bird acute </w:t>
      </w:r>
      <w:r w:rsidRPr="00AA1F64">
        <w:rPr>
          <w:sz w:val="18"/>
          <w:szCs w:val="18"/>
        </w:rPr>
        <w:t>DGritD = daily</w:t>
      </w:r>
      <w:r>
        <w:rPr>
          <w:sz w:val="18"/>
          <w:szCs w:val="18"/>
        </w:rPr>
        <w:t xml:space="preserve"> grit dose (mg ac/kg bw/d) = 2453/BW</w:t>
      </w:r>
      <w:r w:rsidRPr="00AA1F64">
        <w:rPr>
          <w:sz w:val="18"/>
          <w:szCs w:val="18"/>
        </w:rPr>
        <w:t xml:space="preserve"> * (G</w:t>
      </w:r>
      <w:r w:rsidRPr="00977548">
        <w:rPr>
          <w:sz w:val="18"/>
          <w:szCs w:val="18"/>
          <w:vertAlign w:val="subscript"/>
        </w:rPr>
        <w:t>surface</w:t>
      </w:r>
      <w:r w:rsidRPr="00AA1F64">
        <w:rPr>
          <w:sz w:val="18"/>
          <w:szCs w:val="18"/>
        </w:rPr>
        <w:t xml:space="preserve"> / (</w:t>
      </w:r>
      <w:r>
        <w:rPr>
          <w:sz w:val="18"/>
          <w:szCs w:val="18"/>
        </w:rPr>
        <w:t>71</w:t>
      </w:r>
      <w:r w:rsidRPr="00AA1F64">
        <w:rPr>
          <w:sz w:val="18"/>
          <w:szCs w:val="18"/>
        </w:rPr>
        <w:t xml:space="preserve"> + G</w:t>
      </w:r>
      <w:r w:rsidRPr="00977548">
        <w:rPr>
          <w:sz w:val="18"/>
          <w:szCs w:val="18"/>
          <w:vertAlign w:val="subscript"/>
        </w:rPr>
        <w:t>surface</w:t>
      </w:r>
      <w:r w:rsidRPr="00AA1F64">
        <w:rPr>
          <w:sz w:val="18"/>
          <w:szCs w:val="18"/>
        </w:rPr>
        <w:t>)) * G</w:t>
      </w:r>
      <w:r w:rsidRPr="00977548">
        <w:rPr>
          <w:sz w:val="18"/>
          <w:szCs w:val="18"/>
          <w:vertAlign w:val="subscript"/>
        </w:rPr>
        <w:t xml:space="preserve">loading </w:t>
      </w:r>
    </w:p>
    <w:p w:rsidR="00B72640" w:rsidRPr="00AA1F64" w:rsidRDefault="00B72640" w:rsidP="00B72640">
      <w:pPr>
        <w:pStyle w:val="BodyText"/>
        <w:contextualSpacing/>
        <w:rPr>
          <w:sz w:val="18"/>
          <w:szCs w:val="18"/>
        </w:rPr>
      </w:pPr>
      <w:r>
        <w:rPr>
          <w:sz w:val="18"/>
          <w:szCs w:val="18"/>
        </w:rPr>
        <w:t xml:space="preserve">Small bird chronic </w:t>
      </w:r>
      <w:r w:rsidRPr="00AA1F64">
        <w:rPr>
          <w:sz w:val="18"/>
          <w:szCs w:val="18"/>
        </w:rPr>
        <w:t>DGritD</w:t>
      </w:r>
      <w:r>
        <w:rPr>
          <w:sz w:val="18"/>
          <w:szCs w:val="18"/>
        </w:rPr>
        <w:t xml:space="preserve"> </w:t>
      </w:r>
      <w:r w:rsidRPr="00AA1F64">
        <w:rPr>
          <w:sz w:val="18"/>
          <w:szCs w:val="18"/>
        </w:rPr>
        <w:t>= daily</w:t>
      </w:r>
      <w:r>
        <w:rPr>
          <w:sz w:val="18"/>
          <w:szCs w:val="18"/>
        </w:rPr>
        <w:t xml:space="preserve"> grit dose (mg ac/kg bw/d) = 386</w:t>
      </w:r>
      <w:r w:rsidRPr="00AA1F64">
        <w:rPr>
          <w:sz w:val="18"/>
          <w:szCs w:val="18"/>
        </w:rPr>
        <w:t xml:space="preserve"> * (G</w:t>
      </w:r>
      <w:r w:rsidRPr="00977548">
        <w:rPr>
          <w:sz w:val="18"/>
          <w:szCs w:val="18"/>
          <w:vertAlign w:val="subscript"/>
        </w:rPr>
        <w:t>surface</w:t>
      </w:r>
      <w:r w:rsidRPr="00AA1F64">
        <w:rPr>
          <w:sz w:val="18"/>
          <w:szCs w:val="18"/>
        </w:rPr>
        <w:t xml:space="preserve"> / (</w:t>
      </w:r>
      <w:r>
        <w:rPr>
          <w:sz w:val="18"/>
          <w:szCs w:val="18"/>
        </w:rPr>
        <w:t>15200</w:t>
      </w:r>
      <w:r w:rsidRPr="00AA1F64">
        <w:rPr>
          <w:sz w:val="18"/>
          <w:szCs w:val="18"/>
        </w:rPr>
        <w:t xml:space="preserve"> + G</w:t>
      </w:r>
      <w:r w:rsidRPr="00977548">
        <w:rPr>
          <w:sz w:val="18"/>
          <w:szCs w:val="18"/>
          <w:vertAlign w:val="subscript"/>
        </w:rPr>
        <w:t>surface</w:t>
      </w:r>
      <w:r w:rsidRPr="00AA1F64">
        <w:rPr>
          <w:sz w:val="18"/>
          <w:szCs w:val="18"/>
        </w:rPr>
        <w:t>)) * G</w:t>
      </w:r>
      <w:r w:rsidRPr="00977548">
        <w:rPr>
          <w:sz w:val="18"/>
          <w:szCs w:val="18"/>
          <w:vertAlign w:val="subscript"/>
        </w:rPr>
        <w:t xml:space="preserve">loading </w:t>
      </w:r>
      <w:r>
        <w:rPr>
          <w:sz w:val="18"/>
        </w:rPr>
        <w:t xml:space="preserve">* </w:t>
      </w:r>
      <w:r w:rsidRPr="009957D7">
        <w:rPr>
          <w:sz w:val="18"/>
        </w:rPr>
        <w:t>time-weighted average factor 0.53</w:t>
      </w:r>
    </w:p>
    <w:p w:rsidR="00B72640" w:rsidRPr="00E01A48" w:rsidRDefault="00B72640" w:rsidP="00B72640">
      <w:pPr>
        <w:pStyle w:val="BodyText"/>
        <w:contextualSpacing/>
        <w:rPr>
          <w:b/>
          <w:sz w:val="18"/>
          <w:szCs w:val="18"/>
        </w:rPr>
      </w:pPr>
      <w:r>
        <w:rPr>
          <w:sz w:val="18"/>
          <w:szCs w:val="18"/>
        </w:rPr>
        <w:t xml:space="preserve">Large bird chronic </w:t>
      </w:r>
      <w:r w:rsidRPr="00AA1F64">
        <w:rPr>
          <w:sz w:val="18"/>
          <w:szCs w:val="18"/>
        </w:rPr>
        <w:t>DGritD = daily</w:t>
      </w:r>
      <w:r>
        <w:rPr>
          <w:sz w:val="18"/>
          <w:szCs w:val="18"/>
        </w:rPr>
        <w:t xml:space="preserve"> grit dose (mg ac/kg bw/d) = 1306</w:t>
      </w:r>
      <w:r w:rsidRPr="00AA1F64">
        <w:rPr>
          <w:sz w:val="18"/>
          <w:szCs w:val="18"/>
        </w:rPr>
        <w:t xml:space="preserve"> * (G</w:t>
      </w:r>
      <w:r w:rsidRPr="00977548">
        <w:rPr>
          <w:sz w:val="18"/>
          <w:szCs w:val="18"/>
          <w:vertAlign w:val="subscript"/>
        </w:rPr>
        <w:t>surface</w:t>
      </w:r>
      <w:r w:rsidRPr="00AA1F64">
        <w:rPr>
          <w:sz w:val="18"/>
          <w:szCs w:val="18"/>
        </w:rPr>
        <w:t xml:space="preserve"> / (</w:t>
      </w:r>
      <w:r>
        <w:rPr>
          <w:sz w:val="18"/>
          <w:szCs w:val="18"/>
        </w:rPr>
        <w:t>71</w:t>
      </w:r>
      <w:r w:rsidRPr="00AA1F64">
        <w:rPr>
          <w:sz w:val="18"/>
          <w:szCs w:val="18"/>
        </w:rPr>
        <w:t xml:space="preserve"> + G</w:t>
      </w:r>
      <w:r w:rsidRPr="00977548">
        <w:rPr>
          <w:sz w:val="18"/>
          <w:szCs w:val="18"/>
          <w:vertAlign w:val="subscript"/>
        </w:rPr>
        <w:t>surface</w:t>
      </w:r>
      <w:r w:rsidRPr="00AA1F64">
        <w:rPr>
          <w:sz w:val="18"/>
          <w:szCs w:val="18"/>
        </w:rPr>
        <w:t>)) * G</w:t>
      </w:r>
      <w:r w:rsidRPr="00977548">
        <w:rPr>
          <w:sz w:val="18"/>
          <w:szCs w:val="18"/>
          <w:vertAlign w:val="subscript"/>
        </w:rPr>
        <w:t xml:space="preserve">loading </w:t>
      </w:r>
      <w:r>
        <w:rPr>
          <w:sz w:val="18"/>
        </w:rPr>
        <w:t xml:space="preserve">* </w:t>
      </w:r>
      <w:r w:rsidRPr="009957D7">
        <w:rPr>
          <w:sz w:val="18"/>
        </w:rPr>
        <w:t>time-weighted average factor 0.53</w:t>
      </w:r>
    </w:p>
    <w:p w:rsidR="00B72640" w:rsidRDefault="00B72640" w:rsidP="00B72640">
      <w:pPr>
        <w:pStyle w:val="BodyText"/>
        <w:contextualSpacing/>
        <w:rPr>
          <w:sz w:val="18"/>
          <w:szCs w:val="18"/>
          <w:vertAlign w:val="subscript"/>
        </w:rPr>
      </w:pPr>
      <w:r>
        <w:rPr>
          <w:sz w:val="18"/>
          <w:szCs w:val="18"/>
        </w:rPr>
        <w:t>Acute DGD = daily granule dose (mg ac/kg bw/d) = 620</w:t>
      </w:r>
      <w:r w:rsidRPr="00AA1F64">
        <w:rPr>
          <w:sz w:val="18"/>
          <w:szCs w:val="18"/>
        </w:rPr>
        <w:t xml:space="preserve"> * (G</w:t>
      </w:r>
      <w:r w:rsidRPr="00977548">
        <w:rPr>
          <w:sz w:val="18"/>
          <w:szCs w:val="18"/>
          <w:vertAlign w:val="subscript"/>
        </w:rPr>
        <w:t>surface</w:t>
      </w:r>
      <w:r w:rsidRPr="00AA1F64">
        <w:rPr>
          <w:sz w:val="18"/>
          <w:szCs w:val="18"/>
        </w:rPr>
        <w:t xml:space="preserve"> / (</w:t>
      </w:r>
      <w:r>
        <w:rPr>
          <w:sz w:val="18"/>
          <w:szCs w:val="18"/>
        </w:rPr>
        <w:t>100</w:t>
      </w:r>
      <w:r w:rsidRPr="00AA1F64">
        <w:rPr>
          <w:sz w:val="18"/>
          <w:szCs w:val="18"/>
        </w:rPr>
        <w:t xml:space="preserve"> + G</w:t>
      </w:r>
      <w:r w:rsidRPr="00977548">
        <w:rPr>
          <w:sz w:val="18"/>
          <w:szCs w:val="18"/>
          <w:vertAlign w:val="subscript"/>
        </w:rPr>
        <w:t>surface</w:t>
      </w:r>
      <w:r w:rsidRPr="00AA1F64">
        <w:rPr>
          <w:sz w:val="18"/>
          <w:szCs w:val="18"/>
        </w:rPr>
        <w:t>)) * G</w:t>
      </w:r>
      <w:r w:rsidRPr="00977548">
        <w:rPr>
          <w:sz w:val="18"/>
          <w:szCs w:val="18"/>
          <w:vertAlign w:val="subscript"/>
        </w:rPr>
        <w:t xml:space="preserve">loading </w:t>
      </w:r>
    </w:p>
    <w:p w:rsidR="00B72640" w:rsidRPr="008D7850" w:rsidRDefault="00B72640" w:rsidP="00B72640">
      <w:pPr>
        <w:pStyle w:val="BodyText"/>
        <w:contextualSpacing/>
        <w:rPr>
          <w:sz w:val="18"/>
          <w:szCs w:val="18"/>
        </w:rPr>
      </w:pPr>
      <w:r>
        <w:rPr>
          <w:sz w:val="18"/>
          <w:szCs w:val="18"/>
        </w:rPr>
        <w:t>Chronic DGD = daily granule dose (mg ac/kg bw/d) = 620</w:t>
      </w:r>
      <w:r w:rsidRPr="00AA1F64">
        <w:rPr>
          <w:sz w:val="18"/>
          <w:szCs w:val="18"/>
        </w:rPr>
        <w:t xml:space="preserve"> * (G</w:t>
      </w:r>
      <w:r w:rsidRPr="00977548">
        <w:rPr>
          <w:sz w:val="18"/>
          <w:szCs w:val="18"/>
          <w:vertAlign w:val="subscript"/>
        </w:rPr>
        <w:t>surface</w:t>
      </w:r>
      <w:r w:rsidRPr="00AA1F64">
        <w:rPr>
          <w:sz w:val="18"/>
          <w:szCs w:val="18"/>
        </w:rPr>
        <w:t xml:space="preserve"> / (</w:t>
      </w:r>
      <w:r>
        <w:rPr>
          <w:sz w:val="18"/>
          <w:szCs w:val="18"/>
        </w:rPr>
        <w:t>100</w:t>
      </w:r>
      <w:r w:rsidRPr="00AA1F64">
        <w:rPr>
          <w:sz w:val="18"/>
          <w:szCs w:val="18"/>
        </w:rPr>
        <w:t xml:space="preserve"> + G</w:t>
      </w:r>
      <w:r w:rsidRPr="00977548">
        <w:rPr>
          <w:sz w:val="18"/>
          <w:szCs w:val="18"/>
          <w:vertAlign w:val="subscript"/>
        </w:rPr>
        <w:t>surface</w:t>
      </w:r>
      <w:r w:rsidRPr="00AA1F64">
        <w:rPr>
          <w:sz w:val="18"/>
          <w:szCs w:val="18"/>
        </w:rPr>
        <w:t>)) * G</w:t>
      </w:r>
      <w:r w:rsidRPr="00977548">
        <w:rPr>
          <w:sz w:val="18"/>
          <w:szCs w:val="18"/>
          <w:vertAlign w:val="subscript"/>
        </w:rPr>
        <w:t xml:space="preserve">loading </w:t>
      </w:r>
      <w:r>
        <w:rPr>
          <w:sz w:val="18"/>
        </w:rPr>
        <w:t xml:space="preserve">* </w:t>
      </w:r>
      <w:r w:rsidRPr="009957D7">
        <w:rPr>
          <w:sz w:val="18"/>
        </w:rPr>
        <w:t>time-weighted average factor 0.53</w:t>
      </w:r>
    </w:p>
    <w:p w:rsidR="00B72640" w:rsidRPr="00AA1F64" w:rsidRDefault="00B72640" w:rsidP="00B72640">
      <w:pPr>
        <w:pStyle w:val="BodyText"/>
        <w:contextualSpacing/>
        <w:rPr>
          <w:sz w:val="18"/>
          <w:szCs w:val="18"/>
        </w:rPr>
      </w:pPr>
      <w:r w:rsidRPr="00AA1F64">
        <w:rPr>
          <w:sz w:val="18"/>
          <w:szCs w:val="18"/>
        </w:rPr>
        <w:t xml:space="preserve">RQ = risk quotient = DGritD/RAC where acceptable </w:t>
      </w:r>
      <w:r w:rsidRPr="009957D7">
        <w:rPr>
          <w:sz w:val="18"/>
        </w:rPr>
        <w:t xml:space="preserve">RQ </w:t>
      </w:r>
      <w:r>
        <w:rPr>
          <w:sz w:val="18"/>
        </w:rPr>
        <w:t>≤</w:t>
      </w:r>
      <w:r w:rsidRPr="009957D7">
        <w:rPr>
          <w:sz w:val="18"/>
        </w:rPr>
        <w:t>1</w:t>
      </w:r>
    </w:p>
    <w:p w:rsidR="008B68EB" w:rsidRPr="009A4CFC" w:rsidRDefault="008B68EB" w:rsidP="008B68EB">
      <w:pPr>
        <w:pStyle w:val="Caption"/>
      </w:pPr>
      <w:bookmarkStart w:id="194" w:name="_Ref522027563"/>
      <w:r w:rsidRPr="009A4CFC">
        <w:t xml:space="preserve">Table </w:t>
      </w:r>
      <w:r w:rsidR="00EA08EB">
        <w:rPr>
          <w:noProof/>
        </w:rPr>
        <w:fldChar w:fldCharType="begin"/>
      </w:r>
      <w:r w:rsidR="00EA08EB">
        <w:rPr>
          <w:noProof/>
        </w:rPr>
        <w:instrText xml:space="preserve"> SEQ Table \* ARABIC </w:instrText>
      </w:r>
      <w:r w:rsidR="00EA08EB">
        <w:rPr>
          <w:noProof/>
        </w:rPr>
        <w:fldChar w:fldCharType="separate"/>
      </w:r>
      <w:r w:rsidR="00225D67">
        <w:rPr>
          <w:noProof/>
        </w:rPr>
        <w:t>10</w:t>
      </w:r>
      <w:r w:rsidR="00EA08EB">
        <w:rPr>
          <w:noProof/>
        </w:rPr>
        <w:fldChar w:fldCharType="end"/>
      </w:r>
      <w:bookmarkEnd w:id="194"/>
      <w:r w:rsidRPr="009A4CFC">
        <w:t xml:space="preserve"> - </w:t>
      </w:r>
      <w:r w:rsidRPr="008B68EB">
        <w:t>Screening level assessment of risks to terrestrial vertebrates ingesting granules when eating soil-contaminated food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781"/>
        <w:gridCol w:w="1708"/>
        <w:gridCol w:w="1712"/>
        <w:gridCol w:w="1712"/>
        <w:gridCol w:w="1715"/>
      </w:tblGrid>
      <w:tr w:rsidR="00B72640" w:rsidRPr="00FA63F3" w:rsidTr="003C4118">
        <w:trPr>
          <w:trHeight w:val="28"/>
        </w:trPr>
        <w:tc>
          <w:tcPr>
            <w:tcW w:w="0" w:type="auto"/>
            <w:shd w:val="clear" w:color="auto" w:fill="auto"/>
          </w:tcPr>
          <w:p w:rsidR="00B72640" w:rsidRPr="00FA63F3" w:rsidRDefault="00B72640" w:rsidP="003C4118">
            <w:pPr>
              <w:pStyle w:val="Default"/>
              <w:widowControl w:val="0"/>
              <w:jc w:val="right"/>
              <w:rPr>
                <w:sz w:val="18"/>
                <w:szCs w:val="18"/>
              </w:rPr>
            </w:pPr>
            <w:r w:rsidRPr="00FA63F3">
              <w:rPr>
                <w:b/>
                <w:bCs/>
                <w:sz w:val="18"/>
                <w:szCs w:val="18"/>
              </w:rPr>
              <w:t xml:space="preserve">Application rate (kg </w:t>
            </w:r>
            <w:r>
              <w:rPr>
                <w:b/>
                <w:bCs/>
                <w:sz w:val="18"/>
                <w:szCs w:val="18"/>
              </w:rPr>
              <w:t>ac</w:t>
            </w:r>
            <w:r w:rsidRPr="00FA63F3">
              <w:rPr>
                <w:b/>
                <w:bCs/>
                <w:sz w:val="18"/>
                <w:szCs w:val="18"/>
              </w:rPr>
              <w:t>/ha)</w:t>
            </w:r>
          </w:p>
        </w:tc>
        <w:tc>
          <w:tcPr>
            <w:tcW w:w="6847" w:type="dxa"/>
            <w:gridSpan w:val="4"/>
          </w:tcPr>
          <w:p w:rsidR="00B72640" w:rsidRPr="00FA63F3" w:rsidRDefault="00B72640" w:rsidP="003C4118">
            <w:pPr>
              <w:pStyle w:val="BodyText"/>
              <w:jc w:val="center"/>
              <w:rPr>
                <w:sz w:val="18"/>
                <w:szCs w:val="18"/>
              </w:rPr>
            </w:pPr>
          </w:p>
        </w:tc>
      </w:tr>
      <w:tr w:rsidR="00B72640" w:rsidRPr="00E06522" w:rsidTr="003C4118">
        <w:trPr>
          <w:trHeight w:val="95"/>
        </w:trPr>
        <w:tc>
          <w:tcPr>
            <w:tcW w:w="0" w:type="auto"/>
            <w:shd w:val="clear" w:color="auto" w:fill="auto"/>
          </w:tcPr>
          <w:p w:rsidR="00B72640" w:rsidRPr="00FA63F3" w:rsidRDefault="00B72640" w:rsidP="003C4118">
            <w:pPr>
              <w:pStyle w:val="Default"/>
              <w:widowControl w:val="0"/>
              <w:jc w:val="right"/>
              <w:rPr>
                <w:b/>
                <w:bCs/>
                <w:sz w:val="18"/>
                <w:szCs w:val="18"/>
              </w:rPr>
            </w:pPr>
            <w:r>
              <w:rPr>
                <w:b/>
                <w:bCs/>
                <w:sz w:val="18"/>
                <w:szCs w:val="18"/>
              </w:rPr>
              <w:t>Taxonomic group</w:t>
            </w:r>
          </w:p>
        </w:tc>
        <w:tc>
          <w:tcPr>
            <w:tcW w:w="3420" w:type="dxa"/>
            <w:gridSpan w:val="2"/>
            <w:shd w:val="clear" w:color="auto" w:fill="auto"/>
          </w:tcPr>
          <w:p w:rsidR="00B72640" w:rsidRPr="001B1F2B" w:rsidRDefault="00B72640" w:rsidP="003C4118">
            <w:pPr>
              <w:pStyle w:val="BodyText"/>
              <w:jc w:val="center"/>
              <w:rPr>
                <w:b/>
                <w:sz w:val="18"/>
                <w:szCs w:val="18"/>
              </w:rPr>
            </w:pPr>
            <w:r w:rsidRPr="001B1F2B">
              <w:rPr>
                <w:b/>
                <w:sz w:val="18"/>
                <w:szCs w:val="18"/>
              </w:rPr>
              <w:t>Mammal</w:t>
            </w:r>
          </w:p>
        </w:tc>
        <w:tc>
          <w:tcPr>
            <w:tcW w:w="3427" w:type="dxa"/>
            <w:gridSpan w:val="2"/>
          </w:tcPr>
          <w:p w:rsidR="00B72640" w:rsidRPr="001B1F2B" w:rsidRDefault="00B72640" w:rsidP="003C4118">
            <w:pPr>
              <w:pStyle w:val="BodyText"/>
              <w:jc w:val="center"/>
              <w:rPr>
                <w:b/>
                <w:sz w:val="18"/>
                <w:szCs w:val="18"/>
              </w:rPr>
            </w:pPr>
            <w:r w:rsidRPr="001B1F2B">
              <w:rPr>
                <w:b/>
                <w:sz w:val="18"/>
                <w:szCs w:val="18"/>
              </w:rPr>
              <w:t>Bird</w:t>
            </w:r>
          </w:p>
        </w:tc>
      </w:tr>
      <w:tr w:rsidR="00B72640" w:rsidRPr="00E06522" w:rsidTr="003C4118">
        <w:trPr>
          <w:trHeight w:val="95"/>
        </w:trPr>
        <w:tc>
          <w:tcPr>
            <w:tcW w:w="0" w:type="auto"/>
            <w:shd w:val="clear" w:color="auto" w:fill="auto"/>
          </w:tcPr>
          <w:p w:rsidR="00B72640" w:rsidRPr="00FA63F3" w:rsidRDefault="00B72640" w:rsidP="003C4118">
            <w:pPr>
              <w:pStyle w:val="Default"/>
              <w:widowControl w:val="0"/>
              <w:jc w:val="right"/>
              <w:rPr>
                <w:b/>
                <w:bCs/>
                <w:sz w:val="18"/>
                <w:szCs w:val="18"/>
              </w:rPr>
            </w:pPr>
            <w:r>
              <w:rPr>
                <w:b/>
                <w:bCs/>
                <w:sz w:val="18"/>
                <w:szCs w:val="18"/>
              </w:rPr>
              <w:t>Exposure</w:t>
            </w:r>
          </w:p>
        </w:tc>
        <w:tc>
          <w:tcPr>
            <w:tcW w:w="1708" w:type="dxa"/>
          </w:tcPr>
          <w:p w:rsidR="00B72640" w:rsidRPr="00027C83" w:rsidRDefault="00B72640" w:rsidP="003C4118">
            <w:pPr>
              <w:pStyle w:val="BodyText"/>
              <w:jc w:val="center"/>
              <w:rPr>
                <w:sz w:val="18"/>
                <w:szCs w:val="18"/>
              </w:rPr>
            </w:pPr>
            <w:r w:rsidRPr="00027C83">
              <w:rPr>
                <w:sz w:val="18"/>
                <w:szCs w:val="18"/>
              </w:rPr>
              <w:t>Acute</w:t>
            </w:r>
          </w:p>
        </w:tc>
        <w:tc>
          <w:tcPr>
            <w:tcW w:w="1712" w:type="dxa"/>
          </w:tcPr>
          <w:p w:rsidR="00B72640" w:rsidRPr="00027C83" w:rsidRDefault="00B72640" w:rsidP="003C4118">
            <w:pPr>
              <w:pStyle w:val="BodyText"/>
              <w:jc w:val="center"/>
              <w:rPr>
                <w:sz w:val="18"/>
                <w:szCs w:val="18"/>
              </w:rPr>
            </w:pPr>
            <w:r w:rsidRPr="00027C83">
              <w:rPr>
                <w:sz w:val="18"/>
                <w:szCs w:val="18"/>
              </w:rPr>
              <w:t>Chronic</w:t>
            </w:r>
          </w:p>
        </w:tc>
        <w:tc>
          <w:tcPr>
            <w:tcW w:w="1712" w:type="dxa"/>
          </w:tcPr>
          <w:p w:rsidR="00B72640" w:rsidRPr="00027C83" w:rsidRDefault="00B72640" w:rsidP="003C4118">
            <w:pPr>
              <w:pStyle w:val="BodyText"/>
              <w:jc w:val="center"/>
              <w:rPr>
                <w:sz w:val="18"/>
                <w:szCs w:val="18"/>
              </w:rPr>
            </w:pPr>
            <w:r w:rsidRPr="00027C83">
              <w:rPr>
                <w:sz w:val="18"/>
                <w:szCs w:val="18"/>
              </w:rPr>
              <w:t>Acute</w:t>
            </w:r>
          </w:p>
        </w:tc>
        <w:tc>
          <w:tcPr>
            <w:tcW w:w="1715" w:type="dxa"/>
          </w:tcPr>
          <w:p w:rsidR="00B72640" w:rsidRPr="00027C83" w:rsidRDefault="00B72640" w:rsidP="003C4118">
            <w:pPr>
              <w:pStyle w:val="BodyText"/>
              <w:jc w:val="center"/>
              <w:rPr>
                <w:sz w:val="18"/>
                <w:szCs w:val="18"/>
              </w:rPr>
            </w:pPr>
            <w:r w:rsidRPr="00027C83">
              <w:rPr>
                <w:sz w:val="18"/>
                <w:szCs w:val="18"/>
              </w:rPr>
              <w:t>Chronic</w:t>
            </w:r>
          </w:p>
        </w:tc>
      </w:tr>
      <w:tr w:rsidR="00B72640" w:rsidRPr="00E06522" w:rsidTr="003C4118">
        <w:trPr>
          <w:trHeight w:val="95"/>
        </w:trPr>
        <w:tc>
          <w:tcPr>
            <w:tcW w:w="0" w:type="auto"/>
            <w:shd w:val="clear" w:color="auto" w:fill="auto"/>
          </w:tcPr>
          <w:p w:rsidR="00B72640" w:rsidRPr="00FA63F3" w:rsidRDefault="00B72640" w:rsidP="003C4118">
            <w:pPr>
              <w:pStyle w:val="Default"/>
              <w:widowControl w:val="0"/>
              <w:jc w:val="right"/>
              <w:rPr>
                <w:b/>
                <w:bCs/>
                <w:sz w:val="18"/>
                <w:szCs w:val="18"/>
              </w:rPr>
            </w:pPr>
            <w:r>
              <w:rPr>
                <w:b/>
                <w:bCs/>
                <w:sz w:val="18"/>
                <w:szCs w:val="18"/>
              </w:rPr>
              <w:t>Application rate (kg ac/ha)</w:t>
            </w:r>
          </w:p>
        </w:tc>
        <w:tc>
          <w:tcPr>
            <w:tcW w:w="1708" w:type="dxa"/>
          </w:tcPr>
          <w:p w:rsidR="00B72640" w:rsidRPr="00027C83" w:rsidRDefault="00B72640" w:rsidP="003C4118">
            <w:pPr>
              <w:pStyle w:val="BodyText"/>
              <w:jc w:val="center"/>
              <w:rPr>
                <w:sz w:val="18"/>
                <w:szCs w:val="18"/>
              </w:rPr>
            </w:pPr>
          </w:p>
        </w:tc>
        <w:tc>
          <w:tcPr>
            <w:tcW w:w="1712" w:type="dxa"/>
          </w:tcPr>
          <w:p w:rsidR="00B72640" w:rsidRPr="00027C83" w:rsidRDefault="00B72640" w:rsidP="003C4118">
            <w:pPr>
              <w:pStyle w:val="BodyText"/>
              <w:jc w:val="center"/>
              <w:rPr>
                <w:sz w:val="18"/>
                <w:szCs w:val="18"/>
              </w:rPr>
            </w:pPr>
          </w:p>
        </w:tc>
        <w:tc>
          <w:tcPr>
            <w:tcW w:w="1712" w:type="dxa"/>
          </w:tcPr>
          <w:p w:rsidR="00B72640" w:rsidRPr="00027C83" w:rsidRDefault="00B72640" w:rsidP="003C4118">
            <w:pPr>
              <w:pStyle w:val="BodyText"/>
              <w:jc w:val="center"/>
              <w:rPr>
                <w:sz w:val="18"/>
                <w:szCs w:val="18"/>
              </w:rPr>
            </w:pPr>
          </w:p>
        </w:tc>
        <w:tc>
          <w:tcPr>
            <w:tcW w:w="1715" w:type="dxa"/>
          </w:tcPr>
          <w:p w:rsidR="00B72640" w:rsidRPr="00027C83" w:rsidRDefault="00B72640" w:rsidP="003C4118">
            <w:pPr>
              <w:pStyle w:val="BodyText"/>
              <w:jc w:val="center"/>
              <w:rPr>
                <w:sz w:val="18"/>
                <w:szCs w:val="18"/>
              </w:rPr>
            </w:pPr>
          </w:p>
        </w:tc>
      </w:tr>
      <w:tr w:rsidR="00B72640" w:rsidRPr="00E06522" w:rsidTr="003C4118">
        <w:trPr>
          <w:trHeight w:val="95"/>
        </w:trPr>
        <w:tc>
          <w:tcPr>
            <w:tcW w:w="0" w:type="auto"/>
            <w:shd w:val="clear" w:color="auto" w:fill="auto"/>
          </w:tcPr>
          <w:p w:rsidR="00B72640" w:rsidRDefault="00B72640" w:rsidP="003C4118">
            <w:pPr>
              <w:pStyle w:val="Default"/>
              <w:widowControl w:val="0"/>
              <w:jc w:val="right"/>
              <w:rPr>
                <w:b/>
                <w:bCs/>
                <w:sz w:val="18"/>
                <w:szCs w:val="18"/>
              </w:rPr>
            </w:pPr>
            <w:r w:rsidRPr="00FA63F3">
              <w:rPr>
                <w:b/>
                <w:bCs/>
                <w:sz w:val="18"/>
                <w:szCs w:val="18"/>
              </w:rPr>
              <w:t>RA</w:t>
            </w:r>
            <w:r>
              <w:rPr>
                <w:b/>
                <w:bCs/>
                <w:sz w:val="18"/>
                <w:szCs w:val="18"/>
              </w:rPr>
              <w:t>D</w:t>
            </w:r>
            <w:r w:rsidRPr="00FA63F3">
              <w:rPr>
                <w:b/>
                <w:bCs/>
                <w:sz w:val="18"/>
                <w:szCs w:val="18"/>
              </w:rPr>
              <w:t xml:space="preserve"> (mg ac/kg bw/d)</w:t>
            </w:r>
          </w:p>
        </w:tc>
        <w:tc>
          <w:tcPr>
            <w:tcW w:w="1708" w:type="dxa"/>
          </w:tcPr>
          <w:p w:rsidR="00B72640" w:rsidRPr="00027C83" w:rsidRDefault="00B72640" w:rsidP="003C4118">
            <w:pPr>
              <w:pStyle w:val="BodyText"/>
              <w:jc w:val="center"/>
              <w:rPr>
                <w:sz w:val="18"/>
                <w:szCs w:val="18"/>
              </w:rPr>
            </w:pPr>
          </w:p>
        </w:tc>
        <w:tc>
          <w:tcPr>
            <w:tcW w:w="1712" w:type="dxa"/>
          </w:tcPr>
          <w:p w:rsidR="00B72640" w:rsidRPr="00027C83" w:rsidRDefault="00B72640" w:rsidP="003C4118">
            <w:pPr>
              <w:pStyle w:val="BodyText"/>
              <w:jc w:val="center"/>
              <w:rPr>
                <w:sz w:val="18"/>
                <w:szCs w:val="18"/>
              </w:rPr>
            </w:pPr>
          </w:p>
        </w:tc>
        <w:tc>
          <w:tcPr>
            <w:tcW w:w="1712" w:type="dxa"/>
          </w:tcPr>
          <w:p w:rsidR="00B72640" w:rsidRPr="00027C83" w:rsidRDefault="00B72640" w:rsidP="003C4118">
            <w:pPr>
              <w:pStyle w:val="BodyText"/>
              <w:jc w:val="center"/>
              <w:rPr>
                <w:sz w:val="18"/>
                <w:szCs w:val="18"/>
              </w:rPr>
            </w:pPr>
          </w:p>
        </w:tc>
        <w:tc>
          <w:tcPr>
            <w:tcW w:w="1715" w:type="dxa"/>
          </w:tcPr>
          <w:p w:rsidR="00B72640" w:rsidRPr="00027C83" w:rsidRDefault="00B72640" w:rsidP="003C4118">
            <w:pPr>
              <w:pStyle w:val="BodyText"/>
              <w:jc w:val="center"/>
              <w:rPr>
                <w:sz w:val="18"/>
                <w:szCs w:val="18"/>
              </w:rPr>
            </w:pPr>
          </w:p>
        </w:tc>
      </w:tr>
      <w:tr w:rsidR="00B72640" w:rsidRPr="00E06522" w:rsidTr="003C4118">
        <w:trPr>
          <w:trHeight w:val="28"/>
        </w:trPr>
        <w:tc>
          <w:tcPr>
            <w:tcW w:w="0" w:type="auto"/>
            <w:shd w:val="clear" w:color="auto" w:fill="auto"/>
          </w:tcPr>
          <w:p w:rsidR="00B72640" w:rsidRPr="00FA63F3" w:rsidRDefault="00B72640" w:rsidP="003C4118">
            <w:pPr>
              <w:pStyle w:val="Default"/>
              <w:widowControl w:val="0"/>
              <w:jc w:val="right"/>
              <w:rPr>
                <w:sz w:val="18"/>
                <w:szCs w:val="18"/>
              </w:rPr>
            </w:pPr>
            <w:r w:rsidRPr="00FA63F3">
              <w:rPr>
                <w:b/>
                <w:bCs/>
                <w:sz w:val="18"/>
                <w:szCs w:val="18"/>
              </w:rPr>
              <w:t>DGD</w:t>
            </w:r>
            <w:r w:rsidRPr="00FA63F3">
              <w:rPr>
                <w:b/>
                <w:bCs/>
                <w:sz w:val="18"/>
                <w:szCs w:val="18"/>
                <w:vertAlign w:val="subscript"/>
              </w:rPr>
              <w:t xml:space="preserve"> </w:t>
            </w:r>
            <w:r w:rsidRPr="00FA63F3">
              <w:rPr>
                <w:b/>
                <w:bCs/>
                <w:sz w:val="18"/>
                <w:szCs w:val="18"/>
              </w:rPr>
              <w:t>(mg ac/kg bw/d)</w:t>
            </w:r>
          </w:p>
        </w:tc>
        <w:tc>
          <w:tcPr>
            <w:tcW w:w="1708" w:type="dxa"/>
          </w:tcPr>
          <w:p w:rsidR="00B72640" w:rsidRPr="00E01A48" w:rsidRDefault="00B72640" w:rsidP="003C4118">
            <w:pPr>
              <w:pStyle w:val="BodyText"/>
              <w:jc w:val="center"/>
              <w:rPr>
                <w:sz w:val="18"/>
                <w:szCs w:val="18"/>
              </w:rPr>
            </w:pPr>
          </w:p>
        </w:tc>
        <w:tc>
          <w:tcPr>
            <w:tcW w:w="1712" w:type="dxa"/>
          </w:tcPr>
          <w:p w:rsidR="00B72640" w:rsidRPr="00E01A48" w:rsidRDefault="00B72640" w:rsidP="003C4118">
            <w:pPr>
              <w:pStyle w:val="BodyText"/>
              <w:jc w:val="center"/>
              <w:rPr>
                <w:sz w:val="18"/>
                <w:szCs w:val="18"/>
              </w:rPr>
            </w:pPr>
          </w:p>
        </w:tc>
        <w:tc>
          <w:tcPr>
            <w:tcW w:w="1712" w:type="dxa"/>
          </w:tcPr>
          <w:p w:rsidR="00B72640" w:rsidRPr="00E01A48" w:rsidRDefault="00B72640" w:rsidP="003C4118">
            <w:pPr>
              <w:pStyle w:val="BodyText"/>
              <w:jc w:val="center"/>
              <w:rPr>
                <w:sz w:val="18"/>
                <w:szCs w:val="18"/>
              </w:rPr>
            </w:pPr>
          </w:p>
        </w:tc>
        <w:tc>
          <w:tcPr>
            <w:tcW w:w="1715" w:type="dxa"/>
          </w:tcPr>
          <w:p w:rsidR="00B72640" w:rsidRPr="00E01A48" w:rsidRDefault="00B72640" w:rsidP="003C4118">
            <w:pPr>
              <w:pStyle w:val="BodyText"/>
              <w:jc w:val="center"/>
              <w:rPr>
                <w:sz w:val="18"/>
                <w:szCs w:val="18"/>
              </w:rPr>
            </w:pPr>
          </w:p>
        </w:tc>
      </w:tr>
      <w:tr w:rsidR="00B72640" w:rsidRPr="00E06522" w:rsidTr="003C4118">
        <w:trPr>
          <w:trHeight w:val="28"/>
        </w:trPr>
        <w:tc>
          <w:tcPr>
            <w:tcW w:w="0" w:type="auto"/>
            <w:shd w:val="clear" w:color="auto" w:fill="auto"/>
          </w:tcPr>
          <w:p w:rsidR="00B72640" w:rsidRPr="00FA63F3" w:rsidRDefault="00B72640" w:rsidP="003C4118">
            <w:pPr>
              <w:pStyle w:val="Default"/>
              <w:widowControl w:val="0"/>
              <w:jc w:val="right"/>
              <w:rPr>
                <w:sz w:val="18"/>
                <w:szCs w:val="18"/>
              </w:rPr>
            </w:pPr>
            <w:r w:rsidRPr="00FA63F3">
              <w:rPr>
                <w:b/>
                <w:bCs/>
                <w:sz w:val="18"/>
                <w:szCs w:val="18"/>
              </w:rPr>
              <w:t>RQ</w:t>
            </w:r>
          </w:p>
        </w:tc>
        <w:tc>
          <w:tcPr>
            <w:tcW w:w="1708" w:type="dxa"/>
          </w:tcPr>
          <w:p w:rsidR="00B72640" w:rsidRPr="00E01A48" w:rsidRDefault="00B72640" w:rsidP="003C4118">
            <w:pPr>
              <w:pStyle w:val="BodyText"/>
              <w:jc w:val="center"/>
              <w:rPr>
                <w:sz w:val="18"/>
                <w:szCs w:val="18"/>
              </w:rPr>
            </w:pPr>
          </w:p>
        </w:tc>
        <w:tc>
          <w:tcPr>
            <w:tcW w:w="1712" w:type="dxa"/>
          </w:tcPr>
          <w:p w:rsidR="00B72640" w:rsidRPr="00E01A48" w:rsidRDefault="00B72640" w:rsidP="003C4118">
            <w:pPr>
              <w:pStyle w:val="BodyText"/>
              <w:jc w:val="center"/>
              <w:rPr>
                <w:sz w:val="18"/>
                <w:szCs w:val="18"/>
              </w:rPr>
            </w:pPr>
          </w:p>
        </w:tc>
        <w:tc>
          <w:tcPr>
            <w:tcW w:w="1712" w:type="dxa"/>
          </w:tcPr>
          <w:p w:rsidR="00B72640" w:rsidRPr="00E01A48" w:rsidRDefault="00B72640" w:rsidP="003C4118">
            <w:pPr>
              <w:pStyle w:val="BodyText"/>
              <w:jc w:val="center"/>
              <w:rPr>
                <w:sz w:val="18"/>
                <w:szCs w:val="18"/>
              </w:rPr>
            </w:pPr>
          </w:p>
        </w:tc>
        <w:tc>
          <w:tcPr>
            <w:tcW w:w="1715" w:type="dxa"/>
          </w:tcPr>
          <w:p w:rsidR="00B72640" w:rsidRPr="00E01A48" w:rsidRDefault="00B72640" w:rsidP="003C4118">
            <w:pPr>
              <w:pStyle w:val="BodyText"/>
              <w:jc w:val="center"/>
              <w:rPr>
                <w:sz w:val="18"/>
                <w:szCs w:val="18"/>
              </w:rPr>
            </w:pPr>
          </w:p>
        </w:tc>
      </w:tr>
    </w:tbl>
    <w:p w:rsidR="00B72640" w:rsidRDefault="00B72640" w:rsidP="00B72640">
      <w:pPr>
        <w:pStyle w:val="BodyText"/>
        <w:contextualSpacing/>
        <w:rPr>
          <w:sz w:val="18"/>
          <w:szCs w:val="18"/>
        </w:rPr>
      </w:pPr>
      <w:r>
        <w:rPr>
          <w:sz w:val="18"/>
          <w:szCs w:val="18"/>
        </w:rPr>
        <w:t>Assessment method according to EFSA (2009)</w:t>
      </w:r>
    </w:p>
    <w:p w:rsidR="00B72640" w:rsidRPr="00AA1F64" w:rsidRDefault="00B72640" w:rsidP="00B72640">
      <w:pPr>
        <w:pStyle w:val="BodyText"/>
        <w:contextualSpacing/>
        <w:rPr>
          <w:sz w:val="18"/>
          <w:szCs w:val="18"/>
        </w:rPr>
      </w:pPr>
      <w:r w:rsidRPr="00AA1F64">
        <w:rPr>
          <w:sz w:val="18"/>
          <w:szCs w:val="18"/>
        </w:rPr>
        <w:t>RA</w:t>
      </w:r>
      <w:r>
        <w:rPr>
          <w:sz w:val="18"/>
          <w:szCs w:val="18"/>
        </w:rPr>
        <w:t>D</w:t>
      </w:r>
      <w:r w:rsidRPr="00AA1F64">
        <w:rPr>
          <w:sz w:val="18"/>
          <w:szCs w:val="18"/>
        </w:rPr>
        <w:t xml:space="preserve"> = regulatory a</w:t>
      </w:r>
      <w:r>
        <w:rPr>
          <w:sz w:val="18"/>
          <w:szCs w:val="18"/>
        </w:rPr>
        <w:t>cceptable dose (from Table X)</w:t>
      </w:r>
    </w:p>
    <w:p w:rsidR="00B72640" w:rsidRPr="00E01A48" w:rsidRDefault="00B72640" w:rsidP="00B72640">
      <w:pPr>
        <w:pStyle w:val="BodyText"/>
        <w:contextualSpacing/>
        <w:rPr>
          <w:sz w:val="18"/>
          <w:szCs w:val="18"/>
        </w:rPr>
      </w:pPr>
      <w:r>
        <w:rPr>
          <w:sz w:val="18"/>
          <w:szCs w:val="18"/>
        </w:rPr>
        <w:t xml:space="preserve">Mammal acute DDSD </w:t>
      </w:r>
      <w:r w:rsidRPr="00AA1F64">
        <w:rPr>
          <w:sz w:val="18"/>
          <w:szCs w:val="18"/>
        </w:rPr>
        <w:t xml:space="preserve">= </w:t>
      </w:r>
      <w:r>
        <w:rPr>
          <w:sz w:val="18"/>
          <w:szCs w:val="18"/>
        </w:rPr>
        <w:t>daily dry soil dose (mg ac/kg bw/d) = 0.097 * application rate (kg ac/ha)</w:t>
      </w:r>
    </w:p>
    <w:p w:rsidR="00B72640" w:rsidRDefault="00B72640" w:rsidP="00B72640">
      <w:pPr>
        <w:pStyle w:val="BodyText"/>
        <w:contextualSpacing/>
        <w:rPr>
          <w:sz w:val="18"/>
          <w:szCs w:val="18"/>
        </w:rPr>
      </w:pPr>
      <w:r>
        <w:rPr>
          <w:sz w:val="18"/>
          <w:szCs w:val="18"/>
        </w:rPr>
        <w:t xml:space="preserve">Bird acute DDSD </w:t>
      </w:r>
      <w:r w:rsidRPr="00AA1F64">
        <w:rPr>
          <w:sz w:val="18"/>
          <w:szCs w:val="18"/>
        </w:rPr>
        <w:t xml:space="preserve">= </w:t>
      </w:r>
      <w:r>
        <w:rPr>
          <w:sz w:val="18"/>
          <w:szCs w:val="18"/>
        </w:rPr>
        <w:t>daily dry soil dose (mg ac/kg bw/d) = 0.283 * application rate (kg ac/ha)</w:t>
      </w:r>
    </w:p>
    <w:p w:rsidR="00B72640" w:rsidRPr="00E01A48" w:rsidRDefault="00B72640" w:rsidP="00B72640">
      <w:pPr>
        <w:pStyle w:val="BodyText"/>
        <w:contextualSpacing/>
        <w:rPr>
          <w:sz w:val="18"/>
          <w:szCs w:val="18"/>
        </w:rPr>
      </w:pPr>
      <w:r>
        <w:rPr>
          <w:sz w:val="18"/>
          <w:szCs w:val="18"/>
        </w:rPr>
        <w:t xml:space="preserve">Mammal acute DDSD </w:t>
      </w:r>
      <w:r w:rsidRPr="00AA1F64">
        <w:rPr>
          <w:sz w:val="18"/>
          <w:szCs w:val="18"/>
        </w:rPr>
        <w:t xml:space="preserve">= </w:t>
      </w:r>
      <w:r>
        <w:rPr>
          <w:sz w:val="18"/>
          <w:szCs w:val="18"/>
        </w:rPr>
        <w:t>daily dry soil dose (mg ac/kg bw/d) = 0.005 * application rate (kg ac/ha)</w:t>
      </w:r>
      <w:r w:rsidRPr="000E1BF0">
        <w:rPr>
          <w:sz w:val="18"/>
        </w:rPr>
        <w:t xml:space="preserve"> </w:t>
      </w:r>
      <w:r>
        <w:rPr>
          <w:sz w:val="18"/>
        </w:rPr>
        <w:t xml:space="preserve">* </w:t>
      </w:r>
      <w:r w:rsidRPr="009957D7">
        <w:rPr>
          <w:sz w:val="18"/>
        </w:rPr>
        <w:t>time-weighted average factor 0.53</w:t>
      </w:r>
    </w:p>
    <w:p w:rsidR="00B72640" w:rsidRDefault="00B72640" w:rsidP="00B72640">
      <w:pPr>
        <w:pStyle w:val="BodyText"/>
        <w:contextualSpacing/>
        <w:rPr>
          <w:sz w:val="18"/>
          <w:szCs w:val="18"/>
        </w:rPr>
      </w:pPr>
      <w:r>
        <w:rPr>
          <w:sz w:val="18"/>
          <w:szCs w:val="18"/>
        </w:rPr>
        <w:t xml:space="preserve">Bird chronic DDSD </w:t>
      </w:r>
      <w:r w:rsidRPr="00AA1F64">
        <w:rPr>
          <w:sz w:val="18"/>
          <w:szCs w:val="18"/>
        </w:rPr>
        <w:t xml:space="preserve">= </w:t>
      </w:r>
      <w:r>
        <w:rPr>
          <w:sz w:val="18"/>
          <w:szCs w:val="18"/>
        </w:rPr>
        <w:t>daily dry soil dose (mg ac/kg bw/d) = 0.025 * application rate (kg ac/ha)</w:t>
      </w:r>
      <w:r w:rsidRPr="000E1BF0">
        <w:rPr>
          <w:sz w:val="18"/>
        </w:rPr>
        <w:t xml:space="preserve"> </w:t>
      </w:r>
      <w:r>
        <w:rPr>
          <w:sz w:val="18"/>
        </w:rPr>
        <w:t xml:space="preserve">* </w:t>
      </w:r>
      <w:r w:rsidRPr="009957D7">
        <w:rPr>
          <w:sz w:val="18"/>
        </w:rPr>
        <w:t>time-weighted average factor 0.53</w:t>
      </w:r>
    </w:p>
    <w:p w:rsidR="00B72640" w:rsidRPr="00AA1F64" w:rsidRDefault="00B72640" w:rsidP="00B72640">
      <w:pPr>
        <w:pStyle w:val="BodyText"/>
        <w:contextualSpacing/>
        <w:rPr>
          <w:sz w:val="18"/>
          <w:szCs w:val="18"/>
        </w:rPr>
      </w:pPr>
      <w:r w:rsidRPr="00AA1F64">
        <w:rPr>
          <w:sz w:val="18"/>
          <w:szCs w:val="18"/>
        </w:rPr>
        <w:t xml:space="preserve">RQ = risk quotient = DGD/RAC where acceptable </w:t>
      </w:r>
      <w:r w:rsidRPr="009957D7">
        <w:rPr>
          <w:sz w:val="18"/>
        </w:rPr>
        <w:t xml:space="preserve">RQ </w:t>
      </w:r>
      <w:r>
        <w:rPr>
          <w:sz w:val="18"/>
        </w:rPr>
        <w:t>≤</w:t>
      </w:r>
      <w:r w:rsidRPr="009957D7">
        <w:rPr>
          <w:sz w:val="18"/>
        </w:rPr>
        <w:t>1</w:t>
      </w:r>
    </w:p>
    <w:p w:rsidR="007E5F4F" w:rsidRDefault="007E5F4F" w:rsidP="008B68EB">
      <w:pPr>
        <w:pStyle w:val="Caption"/>
        <w:sectPr w:rsidR="007E5F4F" w:rsidSect="001A19FE">
          <w:endnotePr>
            <w:numFmt w:val="decimal"/>
          </w:endnotePr>
          <w:pgSz w:w="11906" w:h="16838" w:code="9"/>
          <w:pgMar w:top="2552" w:right="1134" w:bottom="1134" w:left="1134" w:header="1758" w:footer="680" w:gutter="0"/>
          <w:cols w:space="708"/>
          <w:docGrid w:linePitch="360"/>
        </w:sectPr>
      </w:pPr>
      <w:bookmarkStart w:id="195" w:name="_Ref522027569"/>
    </w:p>
    <w:p w:rsidR="008B68EB" w:rsidRPr="009A4CFC" w:rsidRDefault="008B68EB" w:rsidP="008B68EB">
      <w:pPr>
        <w:pStyle w:val="Caption"/>
      </w:pPr>
      <w:bookmarkStart w:id="196" w:name="_Ref528656877"/>
      <w:r w:rsidRPr="009A4CFC">
        <w:lastRenderedPageBreak/>
        <w:t xml:space="preserve">Table </w:t>
      </w:r>
      <w:r w:rsidR="00EA08EB">
        <w:rPr>
          <w:noProof/>
        </w:rPr>
        <w:fldChar w:fldCharType="begin"/>
      </w:r>
      <w:r w:rsidR="00EA08EB">
        <w:rPr>
          <w:noProof/>
        </w:rPr>
        <w:instrText xml:space="preserve"> SEQ Table \* ARABIC </w:instrText>
      </w:r>
      <w:r w:rsidR="00EA08EB">
        <w:rPr>
          <w:noProof/>
        </w:rPr>
        <w:fldChar w:fldCharType="separate"/>
      </w:r>
      <w:r w:rsidR="00225D67">
        <w:rPr>
          <w:noProof/>
        </w:rPr>
        <w:t>11</w:t>
      </w:r>
      <w:r w:rsidR="00EA08EB">
        <w:rPr>
          <w:noProof/>
        </w:rPr>
        <w:fldChar w:fldCharType="end"/>
      </w:r>
      <w:bookmarkEnd w:id="195"/>
      <w:bookmarkEnd w:id="196"/>
      <w:r w:rsidRPr="009A4CFC">
        <w:t xml:space="preserve"> - </w:t>
      </w:r>
      <w:r w:rsidRPr="008B68EB">
        <w:t>Screening level assessment of risks to terrestrial vertebrates feeding on freshly drilled seeds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408"/>
        <w:gridCol w:w="1203"/>
        <w:gridCol w:w="1204"/>
        <w:gridCol w:w="1204"/>
        <w:gridCol w:w="1205"/>
        <w:gridCol w:w="1204"/>
        <w:gridCol w:w="1200"/>
      </w:tblGrid>
      <w:tr w:rsidR="00B72640" w:rsidRPr="007209D6" w:rsidTr="003C4118">
        <w:trPr>
          <w:cantSplit/>
        </w:trPr>
        <w:tc>
          <w:tcPr>
            <w:tcW w:w="1251" w:type="pct"/>
            <w:shd w:val="clear" w:color="auto" w:fill="auto"/>
          </w:tcPr>
          <w:p w:rsidR="00B72640" w:rsidRPr="007209D6" w:rsidRDefault="00B72640" w:rsidP="003C4118">
            <w:pPr>
              <w:pStyle w:val="BodyText"/>
              <w:jc w:val="right"/>
              <w:rPr>
                <w:sz w:val="18"/>
                <w:szCs w:val="18"/>
              </w:rPr>
            </w:pPr>
            <w:r w:rsidRPr="007209D6">
              <w:rPr>
                <w:b/>
                <w:sz w:val="18"/>
                <w:szCs w:val="18"/>
              </w:rPr>
              <w:t>NAR (mg acs/kg seed)</w:t>
            </w:r>
          </w:p>
        </w:tc>
        <w:tc>
          <w:tcPr>
            <w:tcW w:w="3749" w:type="pct"/>
            <w:gridSpan w:val="6"/>
            <w:shd w:val="clear" w:color="auto" w:fill="auto"/>
          </w:tcPr>
          <w:p w:rsidR="00B72640" w:rsidRPr="007209D6" w:rsidRDefault="00B72640" w:rsidP="003C4118">
            <w:pPr>
              <w:pStyle w:val="BodyText"/>
              <w:jc w:val="center"/>
              <w:rPr>
                <w:sz w:val="18"/>
                <w:szCs w:val="18"/>
              </w:rPr>
            </w:pPr>
          </w:p>
        </w:tc>
      </w:tr>
      <w:tr w:rsidR="00B72640" w:rsidRPr="007209D6" w:rsidTr="003C4118">
        <w:trPr>
          <w:cantSplit/>
        </w:trPr>
        <w:tc>
          <w:tcPr>
            <w:tcW w:w="1251" w:type="pct"/>
            <w:shd w:val="clear" w:color="auto" w:fill="auto"/>
          </w:tcPr>
          <w:p w:rsidR="00B72640" w:rsidRPr="007209D6" w:rsidRDefault="00B72640" w:rsidP="003C4118">
            <w:pPr>
              <w:pStyle w:val="BodyText"/>
              <w:jc w:val="right"/>
              <w:rPr>
                <w:b/>
                <w:sz w:val="18"/>
                <w:szCs w:val="18"/>
              </w:rPr>
            </w:pPr>
            <w:r w:rsidRPr="007209D6">
              <w:rPr>
                <w:b/>
                <w:sz w:val="18"/>
                <w:szCs w:val="18"/>
              </w:rPr>
              <w:t>Indicator species</w:t>
            </w:r>
          </w:p>
        </w:tc>
        <w:tc>
          <w:tcPr>
            <w:tcW w:w="1250" w:type="pct"/>
            <w:gridSpan w:val="2"/>
            <w:shd w:val="clear" w:color="auto" w:fill="auto"/>
          </w:tcPr>
          <w:p w:rsidR="00B72640" w:rsidRPr="007209D6" w:rsidRDefault="00B72640" w:rsidP="003C4118">
            <w:pPr>
              <w:pStyle w:val="BodyText"/>
              <w:jc w:val="center"/>
              <w:rPr>
                <w:b/>
                <w:sz w:val="18"/>
                <w:szCs w:val="18"/>
              </w:rPr>
            </w:pPr>
            <w:r w:rsidRPr="007209D6">
              <w:rPr>
                <w:b/>
                <w:sz w:val="18"/>
                <w:szCs w:val="18"/>
              </w:rPr>
              <w:t>Small omnivorous mammal</w:t>
            </w:r>
          </w:p>
        </w:tc>
        <w:tc>
          <w:tcPr>
            <w:tcW w:w="1251" w:type="pct"/>
            <w:gridSpan w:val="2"/>
            <w:shd w:val="clear" w:color="auto" w:fill="auto"/>
          </w:tcPr>
          <w:p w:rsidR="00B72640" w:rsidRPr="007209D6" w:rsidRDefault="00B72640" w:rsidP="003C4118">
            <w:pPr>
              <w:pStyle w:val="BodyText"/>
              <w:jc w:val="center"/>
              <w:rPr>
                <w:b/>
                <w:sz w:val="18"/>
                <w:szCs w:val="18"/>
              </w:rPr>
            </w:pPr>
            <w:r w:rsidRPr="007209D6">
              <w:rPr>
                <w:b/>
                <w:sz w:val="18"/>
                <w:szCs w:val="18"/>
              </w:rPr>
              <w:t>Small granivorous bird</w:t>
            </w:r>
          </w:p>
        </w:tc>
        <w:tc>
          <w:tcPr>
            <w:tcW w:w="1248" w:type="pct"/>
            <w:gridSpan w:val="2"/>
          </w:tcPr>
          <w:p w:rsidR="00B72640" w:rsidRPr="007209D6" w:rsidRDefault="00B72640" w:rsidP="003C4118">
            <w:pPr>
              <w:pStyle w:val="BodyText"/>
              <w:jc w:val="center"/>
              <w:rPr>
                <w:b/>
                <w:sz w:val="18"/>
                <w:szCs w:val="18"/>
              </w:rPr>
            </w:pPr>
            <w:r w:rsidRPr="007209D6">
              <w:rPr>
                <w:b/>
                <w:sz w:val="18"/>
                <w:szCs w:val="18"/>
              </w:rPr>
              <w:t>Large granivorous bird</w:t>
            </w:r>
            <w:r>
              <w:rPr>
                <w:rStyle w:val="FootnoteReference"/>
                <w:b/>
                <w:sz w:val="18"/>
                <w:szCs w:val="18"/>
              </w:rPr>
              <w:footnoteReference w:id="2"/>
            </w:r>
          </w:p>
        </w:tc>
      </w:tr>
      <w:tr w:rsidR="00B72640" w:rsidRPr="007209D6" w:rsidTr="003C4118">
        <w:trPr>
          <w:cantSplit/>
        </w:trPr>
        <w:tc>
          <w:tcPr>
            <w:tcW w:w="1251" w:type="pct"/>
            <w:shd w:val="clear" w:color="auto" w:fill="auto"/>
          </w:tcPr>
          <w:p w:rsidR="00B72640" w:rsidRPr="007209D6" w:rsidRDefault="00B72640" w:rsidP="003C4118">
            <w:pPr>
              <w:pStyle w:val="BodyText"/>
              <w:jc w:val="right"/>
              <w:rPr>
                <w:b/>
                <w:sz w:val="18"/>
                <w:szCs w:val="18"/>
              </w:rPr>
            </w:pPr>
            <w:r w:rsidRPr="007209D6">
              <w:rPr>
                <w:b/>
                <w:sz w:val="18"/>
                <w:szCs w:val="18"/>
              </w:rPr>
              <w:t>Type of seeds</w:t>
            </w:r>
          </w:p>
        </w:tc>
        <w:tc>
          <w:tcPr>
            <w:tcW w:w="1250" w:type="pct"/>
            <w:gridSpan w:val="2"/>
            <w:shd w:val="clear" w:color="auto" w:fill="auto"/>
          </w:tcPr>
          <w:p w:rsidR="00B72640" w:rsidRPr="007209D6" w:rsidRDefault="00B72640" w:rsidP="003C4118">
            <w:pPr>
              <w:pStyle w:val="BodyText"/>
              <w:jc w:val="center"/>
              <w:rPr>
                <w:sz w:val="18"/>
                <w:szCs w:val="18"/>
              </w:rPr>
            </w:pPr>
            <w:r w:rsidRPr="007209D6">
              <w:rPr>
                <w:sz w:val="18"/>
                <w:szCs w:val="18"/>
              </w:rPr>
              <w:t>Any</w:t>
            </w:r>
          </w:p>
        </w:tc>
        <w:tc>
          <w:tcPr>
            <w:tcW w:w="1251" w:type="pct"/>
            <w:gridSpan w:val="2"/>
            <w:shd w:val="clear" w:color="auto" w:fill="auto"/>
          </w:tcPr>
          <w:p w:rsidR="00B72640" w:rsidRPr="007209D6" w:rsidRDefault="00B72640" w:rsidP="003C4118">
            <w:pPr>
              <w:pStyle w:val="BodyText"/>
              <w:jc w:val="center"/>
              <w:rPr>
                <w:sz w:val="18"/>
                <w:szCs w:val="18"/>
              </w:rPr>
            </w:pPr>
            <w:r w:rsidRPr="007209D6">
              <w:rPr>
                <w:sz w:val="18"/>
                <w:szCs w:val="18"/>
              </w:rPr>
              <w:t>Small seeds</w:t>
            </w:r>
          </w:p>
          <w:p w:rsidR="00B72640" w:rsidRPr="007209D6" w:rsidRDefault="00B72640" w:rsidP="003C4118">
            <w:pPr>
              <w:pStyle w:val="BodyText"/>
              <w:jc w:val="center"/>
              <w:rPr>
                <w:sz w:val="18"/>
                <w:szCs w:val="18"/>
              </w:rPr>
            </w:pPr>
            <w:r w:rsidRPr="007209D6">
              <w:rPr>
                <w:sz w:val="18"/>
                <w:szCs w:val="18"/>
              </w:rPr>
              <w:t>(not maize, beans or peas)</w:t>
            </w:r>
          </w:p>
        </w:tc>
        <w:tc>
          <w:tcPr>
            <w:tcW w:w="1248" w:type="pct"/>
            <w:gridSpan w:val="2"/>
          </w:tcPr>
          <w:p w:rsidR="00B72640" w:rsidRPr="007209D6" w:rsidRDefault="00B72640" w:rsidP="003C4118">
            <w:pPr>
              <w:pStyle w:val="BodyText"/>
              <w:jc w:val="center"/>
              <w:rPr>
                <w:sz w:val="18"/>
                <w:szCs w:val="18"/>
              </w:rPr>
            </w:pPr>
            <w:r w:rsidRPr="007209D6">
              <w:rPr>
                <w:sz w:val="18"/>
                <w:szCs w:val="18"/>
              </w:rPr>
              <w:t>Large seeds</w:t>
            </w:r>
          </w:p>
          <w:p w:rsidR="00B72640" w:rsidRPr="007209D6" w:rsidRDefault="00B72640" w:rsidP="003C4118">
            <w:pPr>
              <w:pStyle w:val="BodyText"/>
              <w:jc w:val="center"/>
              <w:rPr>
                <w:sz w:val="18"/>
                <w:szCs w:val="18"/>
              </w:rPr>
            </w:pPr>
            <w:r w:rsidRPr="007209D6">
              <w:rPr>
                <w:sz w:val="18"/>
                <w:szCs w:val="18"/>
              </w:rPr>
              <w:t>(maize, beans or peas)</w:t>
            </w:r>
          </w:p>
        </w:tc>
      </w:tr>
      <w:tr w:rsidR="00B72640" w:rsidRPr="007209D6" w:rsidTr="003C4118">
        <w:trPr>
          <w:cantSplit/>
        </w:trPr>
        <w:tc>
          <w:tcPr>
            <w:tcW w:w="1251" w:type="pct"/>
            <w:shd w:val="clear" w:color="auto" w:fill="auto"/>
          </w:tcPr>
          <w:p w:rsidR="00B72640" w:rsidRPr="007209D6" w:rsidRDefault="00B72640" w:rsidP="003C4118">
            <w:pPr>
              <w:pStyle w:val="BodyText"/>
              <w:jc w:val="right"/>
              <w:rPr>
                <w:b/>
                <w:sz w:val="18"/>
                <w:szCs w:val="18"/>
              </w:rPr>
            </w:pPr>
            <w:r w:rsidRPr="007209D6">
              <w:rPr>
                <w:b/>
                <w:sz w:val="18"/>
                <w:szCs w:val="18"/>
              </w:rPr>
              <w:t>FIR/bw (kg seed/kg bw)</w:t>
            </w:r>
          </w:p>
        </w:tc>
        <w:tc>
          <w:tcPr>
            <w:tcW w:w="1250" w:type="pct"/>
            <w:gridSpan w:val="2"/>
            <w:shd w:val="clear" w:color="auto" w:fill="auto"/>
          </w:tcPr>
          <w:p w:rsidR="00B72640" w:rsidRPr="007209D6" w:rsidRDefault="00B72640" w:rsidP="003C4118">
            <w:pPr>
              <w:pStyle w:val="BodyText"/>
              <w:jc w:val="center"/>
              <w:rPr>
                <w:sz w:val="18"/>
                <w:szCs w:val="18"/>
              </w:rPr>
            </w:pPr>
            <w:r w:rsidRPr="007209D6">
              <w:rPr>
                <w:sz w:val="18"/>
                <w:szCs w:val="18"/>
              </w:rPr>
              <w:t>0.24</w:t>
            </w:r>
          </w:p>
        </w:tc>
        <w:tc>
          <w:tcPr>
            <w:tcW w:w="1251" w:type="pct"/>
            <w:gridSpan w:val="2"/>
            <w:shd w:val="clear" w:color="auto" w:fill="auto"/>
          </w:tcPr>
          <w:p w:rsidR="00B72640" w:rsidRPr="007209D6" w:rsidRDefault="00B72640" w:rsidP="003C4118">
            <w:pPr>
              <w:pStyle w:val="BodyText"/>
              <w:jc w:val="center"/>
              <w:rPr>
                <w:sz w:val="18"/>
                <w:szCs w:val="18"/>
              </w:rPr>
            </w:pPr>
            <w:r w:rsidRPr="007209D6">
              <w:rPr>
                <w:sz w:val="18"/>
                <w:szCs w:val="18"/>
              </w:rPr>
              <w:t>0.30</w:t>
            </w:r>
          </w:p>
        </w:tc>
        <w:tc>
          <w:tcPr>
            <w:tcW w:w="1248" w:type="pct"/>
            <w:gridSpan w:val="2"/>
          </w:tcPr>
          <w:p w:rsidR="00B72640" w:rsidRPr="007209D6" w:rsidRDefault="00B72640" w:rsidP="003C4118">
            <w:pPr>
              <w:pStyle w:val="BodyText"/>
              <w:jc w:val="center"/>
              <w:rPr>
                <w:sz w:val="18"/>
                <w:szCs w:val="18"/>
              </w:rPr>
            </w:pPr>
            <w:r w:rsidRPr="007209D6">
              <w:rPr>
                <w:sz w:val="18"/>
                <w:szCs w:val="18"/>
              </w:rPr>
              <w:t>0.10</w:t>
            </w:r>
          </w:p>
        </w:tc>
      </w:tr>
      <w:tr w:rsidR="00B72640" w:rsidRPr="007209D6" w:rsidTr="003C4118">
        <w:trPr>
          <w:cantSplit/>
        </w:trPr>
        <w:tc>
          <w:tcPr>
            <w:tcW w:w="1251" w:type="pct"/>
            <w:shd w:val="clear" w:color="auto" w:fill="auto"/>
          </w:tcPr>
          <w:p w:rsidR="00B72640" w:rsidRPr="007209D6" w:rsidRDefault="00B72640" w:rsidP="003C4118">
            <w:pPr>
              <w:pStyle w:val="BodyText"/>
              <w:jc w:val="right"/>
              <w:rPr>
                <w:b/>
                <w:sz w:val="18"/>
                <w:szCs w:val="18"/>
              </w:rPr>
            </w:pPr>
            <w:r w:rsidRPr="007209D6">
              <w:rPr>
                <w:b/>
                <w:sz w:val="18"/>
                <w:szCs w:val="18"/>
              </w:rPr>
              <w:t>Exposure</w:t>
            </w:r>
          </w:p>
        </w:tc>
        <w:tc>
          <w:tcPr>
            <w:tcW w:w="625" w:type="pct"/>
          </w:tcPr>
          <w:p w:rsidR="00B72640" w:rsidRPr="007209D6" w:rsidRDefault="00B72640" w:rsidP="003C4118">
            <w:pPr>
              <w:pStyle w:val="BodyText"/>
              <w:jc w:val="center"/>
              <w:rPr>
                <w:sz w:val="18"/>
                <w:szCs w:val="18"/>
              </w:rPr>
            </w:pPr>
            <w:r w:rsidRPr="007209D6">
              <w:rPr>
                <w:sz w:val="18"/>
                <w:szCs w:val="18"/>
              </w:rPr>
              <w:t>Acute</w:t>
            </w:r>
          </w:p>
        </w:tc>
        <w:tc>
          <w:tcPr>
            <w:tcW w:w="625" w:type="pct"/>
          </w:tcPr>
          <w:p w:rsidR="00B72640" w:rsidRPr="007209D6" w:rsidRDefault="00B72640" w:rsidP="003C4118">
            <w:pPr>
              <w:pStyle w:val="BodyText"/>
              <w:jc w:val="center"/>
              <w:rPr>
                <w:sz w:val="18"/>
                <w:szCs w:val="18"/>
              </w:rPr>
            </w:pPr>
            <w:r w:rsidRPr="007209D6">
              <w:rPr>
                <w:sz w:val="18"/>
                <w:szCs w:val="18"/>
              </w:rPr>
              <w:t>Chronic</w:t>
            </w:r>
          </w:p>
        </w:tc>
        <w:tc>
          <w:tcPr>
            <w:tcW w:w="625" w:type="pct"/>
          </w:tcPr>
          <w:p w:rsidR="00B72640" w:rsidRPr="007209D6" w:rsidRDefault="00B72640" w:rsidP="003C4118">
            <w:pPr>
              <w:pStyle w:val="BodyText"/>
              <w:jc w:val="center"/>
              <w:rPr>
                <w:sz w:val="18"/>
                <w:szCs w:val="18"/>
              </w:rPr>
            </w:pPr>
            <w:r w:rsidRPr="007209D6">
              <w:rPr>
                <w:sz w:val="18"/>
                <w:szCs w:val="18"/>
              </w:rPr>
              <w:t>Acute</w:t>
            </w:r>
          </w:p>
        </w:tc>
        <w:tc>
          <w:tcPr>
            <w:tcW w:w="626" w:type="pct"/>
            <w:shd w:val="clear" w:color="auto" w:fill="auto"/>
          </w:tcPr>
          <w:p w:rsidR="00B72640" w:rsidRPr="007209D6" w:rsidRDefault="00B72640" w:rsidP="003C4118">
            <w:pPr>
              <w:pStyle w:val="BodyText"/>
              <w:jc w:val="center"/>
              <w:rPr>
                <w:sz w:val="18"/>
                <w:szCs w:val="18"/>
              </w:rPr>
            </w:pPr>
            <w:r w:rsidRPr="007209D6">
              <w:rPr>
                <w:sz w:val="18"/>
                <w:szCs w:val="18"/>
              </w:rPr>
              <w:t>Chronic</w:t>
            </w:r>
          </w:p>
        </w:tc>
        <w:tc>
          <w:tcPr>
            <w:tcW w:w="625" w:type="pct"/>
            <w:shd w:val="clear" w:color="auto" w:fill="auto"/>
          </w:tcPr>
          <w:p w:rsidR="00B72640" w:rsidRPr="007209D6" w:rsidRDefault="00B72640" w:rsidP="003C4118">
            <w:pPr>
              <w:pStyle w:val="BodyText"/>
              <w:jc w:val="center"/>
              <w:rPr>
                <w:sz w:val="18"/>
                <w:szCs w:val="18"/>
              </w:rPr>
            </w:pPr>
            <w:r w:rsidRPr="007209D6">
              <w:rPr>
                <w:sz w:val="18"/>
                <w:szCs w:val="18"/>
              </w:rPr>
              <w:t>Acute</w:t>
            </w:r>
          </w:p>
        </w:tc>
        <w:tc>
          <w:tcPr>
            <w:tcW w:w="623" w:type="pct"/>
          </w:tcPr>
          <w:p w:rsidR="00B72640" w:rsidRPr="007209D6" w:rsidRDefault="00B72640" w:rsidP="003C4118">
            <w:pPr>
              <w:pStyle w:val="BodyText"/>
              <w:jc w:val="center"/>
              <w:rPr>
                <w:sz w:val="18"/>
                <w:szCs w:val="18"/>
              </w:rPr>
            </w:pPr>
            <w:r w:rsidRPr="007209D6">
              <w:rPr>
                <w:sz w:val="18"/>
                <w:szCs w:val="18"/>
              </w:rPr>
              <w:t>Chronic</w:t>
            </w:r>
          </w:p>
        </w:tc>
      </w:tr>
      <w:tr w:rsidR="00B72640" w:rsidRPr="007209D6" w:rsidTr="003C4118">
        <w:trPr>
          <w:cantSplit/>
        </w:trPr>
        <w:tc>
          <w:tcPr>
            <w:tcW w:w="1251" w:type="pct"/>
            <w:shd w:val="clear" w:color="auto" w:fill="auto"/>
          </w:tcPr>
          <w:p w:rsidR="00B72640" w:rsidRPr="007209D6" w:rsidRDefault="00B72640" w:rsidP="003C4118">
            <w:pPr>
              <w:pStyle w:val="BodyText"/>
              <w:jc w:val="right"/>
              <w:rPr>
                <w:b/>
                <w:sz w:val="18"/>
                <w:szCs w:val="18"/>
              </w:rPr>
            </w:pPr>
            <w:r w:rsidRPr="007209D6">
              <w:rPr>
                <w:b/>
                <w:sz w:val="18"/>
                <w:szCs w:val="18"/>
              </w:rPr>
              <w:t>RAD (mg acs/kg bw)</w:t>
            </w:r>
          </w:p>
        </w:tc>
        <w:tc>
          <w:tcPr>
            <w:tcW w:w="625" w:type="pct"/>
          </w:tcPr>
          <w:p w:rsidR="00B72640" w:rsidRPr="007209D6" w:rsidRDefault="00B72640" w:rsidP="003C4118">
            <w:pPr>
              <w:pStyle w:val="BodyText"/>
              <w:jc w:val="center"/>
              <w:rPr>
                <w:sz w:val="18"/>
                <w:szCs w:val="18"/>
              </w:rPr>
            </w:pPr>
          </w:p>
        </w:tc>
        <w:tc>
          <w:tcPr>
            <w:tcW w:w="625" w:type="pct"/>
          </w:tcPr>
          <w:p w:rsidR="00B72640" w:rsidRPr="007209D6" w:rsidRDefault="00B72640" w:rsidP="003C4118">
            <w:pPr>
              <w:pStyle w:val="BodyText"/>
              <w:jc w:val="center"/>
              <w:rPr>
                <w:sz w:val="18"/>
                <w:szCs w:val="18"/>
              </w:rPr>
            </w:pPr>
          </w:p>
        </w:tc>
        <w:tc>
          <w:tcPr>
            <w:tcW w:w="625" w:type="pct"/>
          </w:tcPr>
          <w:p w:rsidR="00B72640" w:rsidRPr="007209D6" w:rsidRDefault="00B72640" w:rsidP="003C4118">
            <w:pPr>
              <w:pStyle w:val="BodyText"/>
              <w:jc w:val="center"/>
              <w:rPr>
                <w:sz w:val="18"/>
                <w:szCs w:val="18"/>
              </w:rPr>
            </w:pPr>
          </w:p>
        </w:tc>
        <w:tc>
          <w:tcPr>
            <w:tcW w:w="626" w:type="pct"/>
            <w:shd w:val="clear" w:color="auto" w:fill="auto"/>
          </w:tcPr>
          <w:p w:rsidR="00B72640" w:rsidRPr="007209D6" w:rsidRDefault="00B72640" w:rsidP="003C4118">
            <w:pPr>
              <w:pStyle w:val="BodyText"/>
              <w:jc w:val="center"/>
              <w:rPr>
                <w:sz w:val="18"/>
                <w:szCs w:val="18"/>
              </w:rPr>
            </w:pPr>
          </w:p>
        </w:tc>
        <w:tc>
          <w:tcPr>
            <w:tcW w:w="625" w:type="pct"/>
            <w:shd w:val="clear" w:color="auto" w:fill="auto"/>
          </w:tcPr>
          <w:p w:rsidR="00B72640" w:rsidRPr="007209D6" w:rsidRDefault="00B72640" w:rsidP="003C4118">
            <w:pPr>
              <w:pStyle w:val="BodyText"/>
              <w:jc w:val="center"/>
              <w:rPr>
                <w:sz w:val="18"/>
                <w:szCs w:val="18"/>
              </w:rPr>
            </w:pPr>
          </w:p>
        </w:tc>
        <w:tc>
          <w:tcPr>
            <w:tcW w:w="623" w:type="pct"/>
          </w:tcPr>
          <w:p w:rsidR="00B72640" w:rsidRPr="007209D6" w:rsidRDefault="00B72640" w:rsidP="003C4118">
            <w:pPr>
              <w:pStyle w:val="BodyText"/>
              <w:jc w:val="center"/>
              <w:rPr>
                <w:sz w:val="18"/>
                <w:szCs w:val="18"/>
              </w:rPr>
            </w:pPr>
          </w:p>
        </w:tc>
      </w:tr>
      <w:tr w:rsidR="00B72640" w:rsidRPr="007209D6" w:rsidTr="003C4118">
        <w:trPr>
          <w:cantSplit/>
        </w:trPr>
        <w:tc>
          <w:tcPr>
            <w:tcW w:w="1251" w:type="pct"/>
            <w:shd w:val="clear" w:color="auto" w:fill="auto"/>
          </w:tcPr>
          <w:p w:rsidR="00B72640" w:rsidRPr="007209D6" w:rsidRDefault="00B72640" w:rsidP="003C4118">
            <w:pPr>
              <w:pStyle w:val="BodyText"/>
              <w:jc w:val="right"/>
              <w:rPr>
                <w:b/>
                <w:sz w:val="18"/>
                <w:szCs w:val="18"/>
              </w:rPr>
            </w:pPr>
            <w:r w:rsidRPr="007209D6">
              <w:rPr>
                <w:b/>
                <w:sz w:val="18"/>
                <w:szCs w:val="18"/>
              </w:rPr>
              <w:t>RQ</w:t>
            </w:r>
          </w:p>
        </w:tc>
        <w:tc>
          <w:tcPr>
            <w:tcW w:w="625" w:type="pct"/>
          </w:tcPr>
          <w:p w:rsidR="00B72640" w:rsidRPr="007209D6" w:rsidRDefault="00B72640" w:rsidP="003C4118">
            <w:pPr>
              <w:pStyle w:val="BodyText"/>
              <w:jc w:val="center"/>
              <w:rPr>
                <w:sz w:val="18"/>
                <w:szCs w:val="18"/>
              </w:rPr>
            </w:pPr>
          </w:p>
        </w:tc>
        <w:tc>
          <w:tcPr>
            <w:tcW w:w="625" w:type="pct"/>
          </w:tcPr>
          <w:p w:rsidR="00B72640" w:rsidRPr="007209D6" w:rsidRDefault="00B72640" w:rsidP="003C4118">
            <w:pPr>
              <w:pStyle w:val="BodyText"/>
              <w:jc w:val="center"/>
              <w:rPr>
                <w:sz w:val="18"/>
                <w:szCs w:val="18"/>
              </w:rPr>
            </w:pPr>
          </w:p>
        </w:tc>
        <w:tc>
          <w:tcPr>
            <w:tcW w:w="625" w:type="pct"/>
          </w:tcPr>
          <w:p w:rsidR="00B72640" w:rsidRPr="007209D6" w:rsidRDefault="00B72640" w:rsidP="003C4118">
            <w:pPr>
              <w:pStyle w:val="BodyText"/>
              <w:jc w:val="center"/>
              <w:rPr>
                <w:sz w:val="18"/>
                <w:szCs w:val="18"/>
              </w:rPr>
            </w:pPr>
          </w:p>
        </w:tc>
        <w:tc>
          <w:tcPr>
            <w:tcW w:w="626" w:type="pct"/>
            <w:shd w:val="clear" w:color="auto" w:fill="auto"/>
          </w:tcPr>
          <w:p w:rsidR="00B72640" w:rsidRPr="007209D6" w:rsidRDefault="00B72640" w:rsidP="003C4118">
            <w:pPr>
              <w:pStyle w:val="BodyText"/>
              <w:jc w:val="center"/>
              <w:rPr>
                <w:sz w:val="18"/>
                <w:szCs w:val="18"/>
              </w:rPr>
            </w:pPr>
          </w:p>
        </w:tc>
        <w:tc>
          <w:tcPr>
            <w:tcW w:w="625" w:type="pct"/>
            <w:shd w:val="clear" w:color="auto" w:fill="auto"/>
          </w:tcPr>
          <w:p w:rsidR="00B72640" w:rsidRPr="007209D6" w:rsidRDefault="00B72640" w:rsidP="003C4118">
            <w:pPr>
              <w:pStyle w:val="BodyText"/>
              <w:jc w:val="center"/>
              <w:rPr>
                <w:sz w:val="18"/>
                <w:szCs w:val="18"/>
              </w:rPr>
            </w:pPr>
          </w:p>
        </w:tc>
        <w:tc>
          <w:tcPr>
            <w:tcW w:w="623" w:type="pct"/>
          </w:tcPr>
          <w:p w:rsidR="00B72640" w:rsidRPr="007209D6" w:rsidRDefault="00B72640" w:rsidP="003C4118">
            <w:pPr>
              <w:pStyle w:val="BodyText"/>
              <w:jc w:val="center"/>
              <w:rPr>
                <w:sz w:val="18"/>
                <w:szCs w:val="18"/>
              </w:rPr>
            </w:pPr>
          </w:p>
        </w:tc>
      </w:tr>
    </w:tbl>
    <w:p w:rsidR="00B72640" w:rsidRPr="007209D6" w:rsidRDefault="00B72640" w:rsidP="00B72640">
      <w:pPr>
        <w:pStyle w:val="BodyText"/>
        <w:rPr>
          <w:sz w:val="18"/>
          <w:szCs w:val="18"/>
        </w:rPr>
      </w:pPr>
      <w:r w:rsidRPr="007209D6">
        <w:rPr>
          <w:sz w:val="18"/>
          <w:szCs w:val="18"/>
        </w:rPr>
        <w:t>FIR/bw = food ingestion rate per body weight (from EFSA 2009)</w:t>
      </w:r>
    </w:p>
    <w:p w:rsidR="00B72640" w:rsidRPr="007209D6" w:rsidRDefault="00B72640" w:rsidP="00B72640">
      <w:pPr>
        <w:pStyle w:val="BodyText"/>
        <w:rPr>
          <w:sz w:val="18"/>
          <w:szCs w:val="18"/>
        </w:rPr>
      </w:pPr>
      <w:r w:rsidRPr="007209D6">
        <w:rPr>
          <w:sz w:val="18"/>
          <w:szCs w:val="18"/>
        </w:rPr>
        <w:t>NAR = nominal (loading) application rate of active constituent per kg seed</w:t>
      </w:r>
    </w:p>
    <w:p w:rsidR="00B72640" w:rsidRPr="007209D6" w:rsidRDefault="00B72640" w:rsidP="00B72640">
      <w:pPr>
        <w:pStyle w:val="BodyText"/>
        <w:rPr>
          <w:sz w:val="18"/>
          <w:szCs w:val="18"/>
        </w:rPr>
      </w:pPr>
      <w:r w:rsidRPr="007209D6">
        <w:rPr>
          <w:sz w:val="18"/>
          <w:szCs w:val="18"/>
        </w:rPr>
        <w:t>RAD = regulatory acceptable dose (from Table X)</w:t>
      </w:r>
    </w:p>
    <w:p w:rsidR="00B72640" w:rsidRPr="007209D6" w:rsidRDefault="00B72640" w:rsidP="00B72640">
      <w:pPr>
        <w:pStyle w:val="BodyText"/>
        <w:rPr>
          <w:sz w:val="18"/>
          <w:szCs w:val="18"/>
        </w:rPr>
      </w:pPr>
      <w:r w:rsidRPr="007209D6">
        <w:rPr>
          <w:sz w:val="18"/>
          <w:szCs w:val="18"/>
        </w:rPr>
        <w:t>Acute RQ = risk quotient = NAR* (FIR/bw) / RAC, where acceptable RQ&lt;1</w:t>
      </w:r>
    </w:p>
    <w:p w:rsidR="00B72640" w:rsidRDefault="00B72640" w:rsidP="00B72640">
      <w:pPr>
        <w:pStyle w:val="BodyText"/>
        <w:rPr>
          <w:sz w:val="20"/>
          <w:szCs w:val="22"/>
        </w:rPr>
      </w:pPr>
      <w:r w:rsidRPr="007209D6">
        <w:rPr>
          <w:sz w:val="18"/>
          <w:szCs w:val="18"/>
        </w:rPr>
        <w:t>Chronic RQ = risk quotient = NAR* (FIR/bw) * time-weighted average factor 0.53 / RAC, where acceptable RQ&lt;1</w:t>
      </w:r>
    </w:p>
    <w:p w:rsidR="008B68EB" w:rsidRPr="009A4CFC" w:rsidRDefault="008B68EB" w:rsidP="008B68EB">
      <w:pPr>
        <w:pStyle w:val="Caption"/>
      </w:pPr>
      <w:r w:rsidRPr="009A4CFC">
        <w:t xml:space="preserve">Table </w:t>
      </w:r>
      <w:r w:rsidR="00EA08EB">
        <w:rPr>
          <w:noProof/>
        </w:rPr>
        <w:fldChar w:fldCharType="begin"/>
      </w:r>
      <w:r w:rsidR="00EA08EB">
        <w:rPr>
          <w:noProof/>
        </w:rPr>
        <w:instrText xml:space="preserve"> SEQ Table \* ARABIC </w:instrText>
      </w:r>
      <w:r w:rsidR="00EA08EB">
        <w:rPr>
          <w:noProof/>
        </w:rPr>
        <w:fldChar w:fldCharType="separate"/>
      </w:r>
      <w:r w:rsidR="00225D67">
        <w:rPr>
          <w:noProof/>
        </w:rPr>
        <w:t>12</w:t>
      </w:r>
      <w:r w:rsidR="00EA08EB">
        <w:rPr>
          <w:noProof/>
        </w:rPr>
        <w:fldChar w:fldCharType="end"/>
      </w:r>
      <w:r w:rsidRPr="009A4CFC">
        <w:t xml:space="preserve"> - </w:t>
      </w:r>
      <w:r w:rsidRPr="008B68EB">
        <w:t>Foraged area of concern for mammals and birds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600"/>
        <w:gridCol w:w="1171"/>
        <w:gridCol w:w="1171"/>
        <w:gridCol w:w="1173"/>
        <w:gridCol w:w="1171"/>
        <w:gridCol w:w="1171"/>
        <w:gridCol w:w="1171"/>
      </w:tblGrid>
      <w:tr w:rsidR="00B72640" w:rsidRPr="00672648" w:rsidTr="008B68EB">
        <w:trPr>
          <w:cantSplit/>
          <w:tblHeader/>
        </w:trPr>
        <w:tc>
          <w:tcPr>
            <w:tcW w:w="1350" w:type="pct"/>
            <w:shd w:val="clear" w:color="auto" w:fill="auto"/>
          </w:tcPr>
          <w:p w:rsidR="00B72640" w:rsidRPr="00672648" w:rsidRDefault="00B72640" w:rsidP="003C4118">
            <w:pPr>
              <w:pStyle w:val="BodyText"/>
              <w:jc w:val="right"/>
              <w:rPr>
                <w:b/>
                <w:sz w:val="18"/>
                <w:szCs w:val="18"/>
              </w:rPr>
            </w:pPr>
            <w:r>
              <w:rPr>
                <w:b/>
                <w:sz w:val="18"/>
                <w:szCs w:val="18"/>
              </w:rPr>
              <w:t>Indicator species</w:t>
            </w:r>
          </w:p>
        </w:tc>
        <w:tc>
          <w:tcPr>
            <w:tcW w:w="1825" w:type="pct"/>
            <w:gridSpan w:val="3"/>
          </w:tcPr>
          <w:p w:rsidR="00B72640" w:rsidRPr="00672648" w:rsidRDefault="00B72640" w:rsidP="003C4118">
            <w:pPr>
              <w:pStyle w:val="BodyText"/>
              <w:jc w:val="center"/>
              <w:rPr>
                <w:b/>
                <w:sz w:val="18"/>
                <w:szCs w:val="18"/>
              </w:rPr>
            </w:pPr>
            <w:r>
              <w:rPr>
                <w:b/>
                <w:sz w:val="18"/>
                <w:szCs w:val="18"/>
              </w:rPr>
              <w:t>Mammal</w:t>
            </w:r>
          </w:p>
        </w:tc>
        <w:tc>
          <w:tcPr>
            <w:tcW w:w="1824" w:type="pct"/>
            <w:gridSpan w:val="3"/>
          </w:tcPr>
          <w:p w:rsidR="00B72640" w:rsidRPr="00672648" w:rsidRDefault="00B72640" w:rsidP="003C4118">
            <w:pPr>
              <w:pStyle w:val="BodyText"/>
              <w:jc w:val="center"/>
              <w:rPr>
                <w:b/>
                <w:sz w:val="18"/>
                <w:szCs w:val="18"/>
              </w:rPr>
            </w:pPr>
            <w:r>
              <w:rPr>
                <w:b/>
                <w:sz w:val="18"/>
                <w:szCs w:val="18"/>
              </w:rPr>
              <w:t>Bird</w:t>
            </w:r>
          </w:p>
        </w:tc>
      </w:tr>
      <w:tr w:rsidR="00B72640" w:rsidRPr="00672648" w:rsidTr="008B68EB">
        <w:trPr>
          <w:cantSplit/>
        </w:trPr>
        <w:tc>
          <w:tcPr>
            <w:tcW w:w="1350" w:type="pct"/>
            <w:shd w:val="clear" w:color="auto" w:fill="auto"/>
          </w:tcPr>
          <w:p w:rsidR="00B72640" w:rsidRPr="00672648" w:rsidRDefault="00B72640" w:rsidP="003C4118">
            <w:pPr>
              <w:pStyle w:val="BodyText"/>
              <w:jc w:val="right"/>
              <w:rPr>
                <w:b/>
                <w:sz w:val="18"/>
                <w:szCs w:val="18"/>
              </w:rPr>
            </w:pPr>
            <w:r>
              <w:rPr>
                <w:b/>
                <w:sz w:val="18"/>
                <w:szCs w:val="18"/>
              </w:rPr>
              <w:t>Size</w:t>
            </w:r>
          </w:p>
        </w:tc>
        <w:tc>
          <w:tcPr>
            <w:tcW w:w="608" w:type="pct"/>
          </w:tcPr>
          <w:p w:rsidR="00B72640" w:rsidRPr="00672648" w:rsidRDefault="00B72640" w:rsidP="003C4118">
            <w:pPr>
              <w:pStyle w:val="BodyText"/>
              <w:jc w:val="center"/>
              <w:rPr>
                <w:sz w:val="18"/>
                <w:szCs w:val="18"/>
              </w:rPr>
            </w:pPr>
            <w:r>
              <w:rPr>
                <w:sz w:val="18"/>
                <w:szCs w:val="18"/>
              </w:rPr>
              <w:t>Small</w:t>
            </w:r>
          </w:p>
        </w:tc>
        <w:tc>
          <w:tcPr>
            <w:tcW w:w="608" w:type="pct"/>
          </w:tcPr>
          <w:p w:rsidR="00B72640" w:rsidRPr="00672648" w:rsidRDefault="00B72640" w:rsidP="003C4118">
            <w:pPr>
              <w:pStyle w:val="BodyText"/>
              <w:jc w:val="center"/>
              <w:rPr>
                <w:sz w:val="18"/>
                <w:szCs w:val="18"/>
              </w:rPr>
            </w:pPr>
            <w:r>
              <w:rPr>
                <w:sz w:val="18"/>
                <w:szCs w:val="18"/>
              </w:rPr>
              <w:t>Medium</w:t>
            </w:r>
          </w:p>
        </w:tc>
        <w:tc>
          <w:tcPr>
            <w:tcW w:w="609" w:type="pct"/>
          </w:tcPr>
          <w:p w:rsidR="00B72640" w:rsidRPr="00672648" w:rsidRDefault="00B72640" w:rsidP="003C4118">
            <w:pPr>
              <w:pStyle w:val="BodyText"/>
              <w:jc w:val="center"/>
              <w:rPr>
                <w:sz w:val="18"/>
                <w:szCs w:val="18"/>
              </w:rPr>
            </w:pPr>
            <w:r>
              <w:rPr>
                <w:sz w:val="18"/>
                <w:szCs w:val="18"/>
              </w:rPr>
              <w:t>Large</w:t>
            </w:r>
          </w:p>
        </w:tc>
        <w:tc>
          <w:tcPr>
            <w:tcW w:w="608" w:type="pct"/>
          </w:tcPr>
          <w:p w:rsidR="00B72640" w:rsidRPr="00672648" w:rsidRDefault="00B72640" w:rsidP="003C4118">
            <w:pPr>
              <w:pStyle w:val="BodyText"/>
              <w:jc w:val="center"/>
              <w:rPr>
                <w:sz w:val="18"/>
                <w:szCs w:val="18"/>
              </w:rPr>
            </w:pPr>
            <w:r>
              <w:rPr>
                <w:sz w:val="18"/>
                <w:szCs w:val="18"/>
              </w:rPr>
              <w:t>Small</w:t>
            </w:r>
          </w:p>
        </w:tc>
        <w:tc>
          <w:tcPr>
            <w:tcW w:w="608" w:type="pct"/>
            <w:shd w:val="clear" w:color="auto" w:fill="auto"/>
          </w:tcPr>
          <w:p w:rsidR="00B72640" w:rsidRPr="00672648" w:rsidRDefault="00B72640" w:rsidP="003C4118">
            <w:pPr>
              <w:pStyle w:val="BodyText"/>
              <w:jc w:val="center"/>
              <w:rPr>
                <w:sz w:val="18"/>
                <w:szCs w:val="18"/>
              </w:rPr>
            </w:pPr>
            <w:r>
              <w:rPr>
                <w:sz w:val="18"/>
                <w:szCs w:val="18"/>
              </w:rPr>
              <w:t>Medium</w:t>
            </w:r>
          </w:p>
        </w:tc>
        <w:tc>
          <w:tcPr>
            <w:tcW w:w="608" w:type="pct"/>
          </w:tcPr>
          <w:p w:rsidR="00B72640" w:rsidRPr="00672648" w:rsidRDefault="00B72640" w:rsidP="003C4118">
            <w:pPr>
              <w:pStyle w:val="BodyText"/>
              <w:jc w:val="center"/>
              <w:rPr>
                <w:sz w:val="18"/>
                <w:szCs w:val="18"/>
              </w:rPr>
            </w:pPr>
            <w:r>
              <w:rPr>
                <w:sz w:val="18"/>
                <w:szCs w:val="18"/>
              </w:rPr>
              <w:t>Large</w:t>
            </w:r>
          </w:p>
        </w:tc>
      </w:tr>
      <w:tr w:rsidR="00B72640" w:rsidRPr="00672648" w:rsidTr="008B68EB">
        <w:trPr>
          <w:cantSplit/>
        </w:trPr>
        <w:tc>
          <w:tcPr>
            <w:tcW w:w="1350" w:type="pct"/>
            <w:shd w:val="clear" w:color="auto" w:fill="auto"/>
          </w:tcPr>
          <w:p w:rsidR="00B72640" w:rsidRPr="00672648" w:rsidRDefault="00B72640" w:rsidP="003C4118">
            <w:pPr>
              <w:pStyle w:val="BodyText"/>
              <w:jc w:val="right"/>
              <w:rPr>
                <w:b/>
                <w:sz w:val="18"/>
                <w:szCs w:val="18"/>
              </w:rPr>
            </w:pPr>
            <w:r w:rsidRPr="00672648">
              <w:rPr>
                <w:b/>
                <w:sz w:val="18"/>
                <w:szCs w:val="18"/>
              </w:rPr>
              <w:t>Body weight (kg)</w:t>
            </w:r>
          </w:p>
        </w:tc>
        <w:tc>
          <w:tcPr>
            <w:tcW w:w="608" w:type="pct"/>
          </w:tcPr>
          <w:p w:rsidR="00B72640" w:rsidRPr="00672648" w:rsidRDefault="00B72640" w:rsidP="003C4118">
            <w:pPr>
              <w:pStyle w:val="BodyText"/>
              <w:jc w:val="center"/>
              <w:rPr>
                <w:sz w:val="18"/>
                <w:szCs w:val="18"/>
              </w:rPr>
            </w:pPr>
            <w:r>
              <w:rPr>
                <w:sz w:val="18"/>
                <w:szCs w:val="18"/>
              </w:rPr>
              <w:t>0.015</w:t>
            </w:r>
          </w:p>
        </w:tc>
        <w:tc>
          <w:tcPr>
            <w:tcW w:w="608" w:type="pct"/>
          </w:tcPr>
          <w:p w:rsidR="00B72640" w:rsidRPr="00672648" w:rsidRDefault="00B72640" w:rsidP="003C4118">
            <w:pPr>
              <w:pStyle w:val="BodyText"/>
              <w:jc w:val="center"/>
              <w:rPr>
                <w:sz w:val="18"/>
                <w:szCs w:val="18"/>
              </w:rPr>
            </w:pPr>
            <w:r>
              <w:rPr>
                <w:sz w:val="18"/>
                <w:szCs w:val="18"/>
              </w:rPr>
              <w:t>0.035</w:t>
            </w:r>
          </w:p>
        </w:tc>
        <w:tc>
          <w:tcPr>
            <w:tcW w:w="609" w:type="pct"/>
          </w:tcPr>
          <w:p w:rsidR="00B72640" w:rsidRPr="00672648" w:rsidRDefault="00B72640" w:rsidP="003C4118">
            <w:pPr>
              <w:pStyle w:val="BodyText"/>
              <w:jc w:val="center"/>
              <w:rPr>
                <w:sz w:val="18"/>
                <w:szCs w:val="18"/>
              </w:rPr>
            </w:pPr>
            <w:r>
              <w:rPr>
                <w:sz w:val="18"/>
                <w:szCs w:val="18"/>
              </w:rPr>
              <w:t>1.0</w:t>
            </w:r>
          </w:p>
        </w:tc>
        <w:tc>
          <w:tcPr>
            <w:tcW w:w="608" w:type="pct"/>
          </w:tcPr>
          <w:p w:rsidR="00B72640" w:rsidRPr="00672648" w:rsidRDefault="00B72640" w:rsidP="003C4118">
            <w:pPr>
              <w:pStyle w:val="BodyText"/>
              <w:jc w:val="center"/>
              <w:rPr>
                <w:sz w:val="18"/>
                <w:szCs w:val="18"/>
              </w:rPr>
            </w:pPr>
            <w:r>
              <w:rPr>
                <w:sz w:val="18"/>
                <w:szCs w:val="18"/>
              </w:rPr>
              <w:t>0.020</w:t>
            </w:r>
          </w:p>
        </w:tc>
        <w:tc>
          <w:tcPr>
            <w:tcW w:w="608" w:type="pct"/>
            <w:shd w:val="clear" w:color="auto" w:fill="auto"/>
          </w:tcPr>
          <w:p w:rsidR="00B72640" w:rsidRPr="00672648" w:rsidRDefault="00B72640" w:rsidP="003C4118">
            <w:pPr>
              <w:pStyle w:val="BodyText"/>
              <w:jc w:val="center"/>
              <w:rPr>
                <w:sz w:val="18"/>
                <w:szCs w:val="18"/>
              </w:rPr>
            </w:pPr>
            <w:r>
              <w:rPr>
                <w:sz w:val="18"/>
                <w:szCs w:val="18"/>
              </w:rPr>
              <w:t>0.10</w:t>
            </w:r>
          </w:p>
        </w:tc>
        <w:tc>
          <w:tcPr>
            <w:tcW w:w="608" w:type="pct"/>
          </w:tcPr>
          <w:p w:rsidR="00B72640" w:rsidRPr="00672648" w:rsidRDefault="00B72640" w:rsidP="003C4118">
            <w:pPr>
              <w:pStyle w:val="BodyText"/>
              <w:jc w:val="center"/>
              <w:rPr>
                <w:sz w:val="18"/>
                <w:szCs w:val="18"/>
              </w:rPr>
            </w:pPr>
            <w:r>
              <w:rPr>
                <w:sz w:val="18"/>
                <w:szCs w:val="18"/>
              </w:rPr>
              <w:t>1.0</w:t>
            </w:r>
          </w:p>
        </w:tc>
      </w:tr>
      <w:tr w:rsidR="00B72640" w:rsidRPr="00672648" w:rsidTr="008B68EB">
        <w:trPr>
          <w:cantSplit/>
        </w:trPr>
        <w:tc>
          <w:tcPr>
            <w:tcW w:w="1350" w:type="pct"/>
            <w:shd w:val="clear" w:color="auto" w:fill="auto"/>
          </w:tcPr>
          <w:p w:rsidR="00B72640" w:rsidRPr="00672648" w:rsidRDefault="00B72640" w:rsidP="003C4118">
            <w:pPr>
              <w:pStyle w:val="BodyText"/>
              <w:jc w:val="right"/>
              <w:rPr>
                <w:b/>
                <w:sz w:val="18"/>
                <w:szCs w:val="18"/>
              </w:rPr>
            </w:pPr>
            <w:r w:rsidRPr="00672648">
              <w:rPr>
                <w:b/>
                <w:sz w:val="18"/>
                <w:szCs w:val="18"/>
              </w:rPr>
              <w:t xml:space="preserve">CE (unitless) </w:t>
            </w:r>
          </w:p>
        </w:tc>
        <w:tc>
          <w:tcPr>
            <w:tcW w:w="608" w:type="pct"/>
          </w:tcPr>
          <w:p w:rsidR="00B72640" w:rsidRPr="00672648" w:rsidRDefault="00B72640" w:rsidP="003C4118">
            <w:pPr>
              <w:pStyle w:val="BodyText"/>
              <w:jc w:val="center"/>
              <w:rPr>
                <w:sz w:val="18"/>
                <w:szCs w:val="18"/>
              </w:rPr>
            </w:pPr>
            <w:r>
              <w:rPr>
                <w:sz w:val="18"/>
                <w:szCs w:val="18"/>
              </w:rPr>
              <w:t>1.0</w:t>
            </w:r>
          </w:p>
        </w:tc>
        <w:tc>
          <w:tcPr>
            <w:tcW w:w="608" w:type="pct"/>
          </w:tcPr>
          <w:p w:rsidR="00B72640" w:rsidRPr="00672648" w:rsidRDefault="00B72640" w:rsidP="003C4118">
            <w:pPr>
              <w:pStyle w:val="BodyText"/>
              <w:jc w:val="center"/>
              <w:rPr>
                <w:sz w:val="18"/>
                <w:szCs w:val="18"/>
              </w:rPr>
            </w:pPr>
            <w:r>
              <w:rPr>
                <w:sz w:val="18"/>
                <w:szCs w:val="18"/>
              </w:rPr>
              <w:t>1.0</w:t>
            </w:r>
          </w:p>
        </w:tc>
        <w:tc>
          <w:tcPr>
            <w:tcW w:w="609" w:type="pct"/>
          </w:tcPr>
          <w:p w:rsidR="00B72640" w:rsidRPr="00672648" w:rsidRDefault="00B72640" w:rsidP="003C4118">
            <w:pPr>
              <w:pStyle w:val="BodyText"/>
              <w:jc w:val="center"/>
              <w:rPr>
                <w:sz w:val="18"/>
                <w:szCs w:val="18"/>
              </w:rPr>
            </w:pPr>
            <w:r>
              <w:rPr>
                <w:sz w:val="18"/>
                <w:szCs w:val="18"/>
              </w:rPr>
              <w:t>1.0</w:t>
            </w:r>
          </w:p>
        </w:tc>
        <w:tc>
          <w:tcPr>
            <w:tcW w:w="608" w:type="pct"/>
          </w:tcPr>
          <w:p w:rsidR="00B72640" w:rsidRPr="00672648" w:rsidRDefault="00B72640" w:rsidP="003C4118">
            <w:pPr>
              <w:pStyle w:val="BodyText"/>
              <w:jc w:val="center"/>
              <w:rPr>
                <w:sz w:val="18"/>
                <w:szCs w:val="18"/>
              </w:rPr>
            </w:pPr>
            <w:r>
              <w:rPr>
                <w:sz w:val="18"/>
                <w:szCs w:val="18"/>
              </w:rPr>
              <w:t>1.0</w:t>
            </w:r>
          </w:p>
        </w:tc>
        <w:tc>
          <w:tcPr>
            <w:tcW w:w="608" w:type="pct"/>
            <w:shd w:val="clear" w:color="auto" w:fill="auto"/>
          </w:tcPr>
          <w:p w:rsidR="00B72640" w:rsidRPr="00672648" w:rsidRDefault="00B72640" w:rsidP="003C4118">
            <w:pPr>
              <w:pStyle w:val="BodyText"/>
              <w:jc w:val="center"/>
              <w:rPr>
                <w:sz w:val="18"/>
                <w:szCs w:val="18"/>
              </w:rPr>
            </w:pPr>
            <w:r>
              <w:rPr>
                <w:sz w:val="18"/>
                <w:szCs w:val="18"/>
              </w:rPr>
              <w:t>1.0</w:t>
            </w:r>
          </w:p>
        </w:tc>
        <w:tc>
          <w:tcPr>
            <w:tcW w:w="608" w:type="pct"/>
          </w:tcPr>
          <w:p w:rsidR="00B72640" w:rsidRPr="00672648" w:rsidRDefault="00B72640" w:rsidP="003C4118">
            <w:pPr>
              <w:pStyle w:val="BodyText"/>
              <w:jc w:val="center"/>
              <w:rPr>
                <w:sz w:val="18"/>
                <w:szCs w:val="18"/>
              </w:rPr>
            </w:pPr>
            <w:r>
              <w:rPr>
                <w:sz w:val="18"/>
                <w:szCs w:val="18"/>
              </w:rPr>
              <w:t>1.0</w:t>
            </w:r>
          </w:p>
        </w:tc>
      </w:tr>
      <w:tr w:rsidR="00B72640" w:rsidRPr="00672648" w:rsidTr="008B68EB">
        <w:trPr>
          <w:cantSplit/>
        </w:trPr>
        <w:tc>
          <w:tcPr>
            <w:tcW w:w="1350" w:type="pct"/>
            <w:shd w:val="clear" w:color="auto" w:fill="auto"/>
          </w:tcPr>
          <w:p w:rsidR="00B72640" w:rsidRPr="00672648" w:rsidRDefault="00B72640" w:rsidP="003C4118">
            <w:pPr>
              <w:pStyle w:val="BodyText"/>
              <w:jc w:val="right"/>
              <w:rPr>
                <w:b/>
                <w:sz w:val="18"/>
                <w:szCs w:val="18"/>
              </w:rPr>
            </w:pPr>
            <w:r w:rsidRPr="00672648">
              <w:rPr>
                <w:b/>
                <w:sz w:val="18"/>
                <w:szCs w:val="18"/>
              </w:rPr>
              <w:t>IR (unitless)</w:t>
            </w:r>
          </w:p>
        </w:tc>
        <w:tc>
          <w:tcPr>
            <w:tcW w:w="608" w:type="pct"/>
          </w:tcPr>
          <w:p w:rsidR="00B72640" w:rsidRPr="00672648" w:rsidRDefault="00B72640" w:rsidP="003C4118">
            <w:pPr>
              <w:pStyle w:val="BodyText"/>
              <w:jc w:val="center"/>
              <w:rPr>
                <w:sz w:val="18"/>
                <w:szCs w:val="18"/>
              </w:rPr>
            </w:pPr>
          </w:p>
        </w:tc>
        <w:tc>
          <w:tcPr>
            <w:tcW w:w="608" w:type="pct"/>
          </w:tcPr>
          <w:p w:rsidR="00B72640" w:rsidRPr="00672648" w:rsidRDefault="00B72640" w:rsidP="003C4118">
            <w:pPr>
              <w:pStyle w:val="BodyText"/>
              <w:jc w:val="center"/>
              <w:rPr>
                <w:sz w:val="18"/>
                <w:szCs w:val="18"/>
              </w:rPr>
            </w:pPr>
          </w:p>
        </w:tc>
        <w:tc>
          <w:tcPr>
            <w:tcW w:w="609" w:type="pct"/>
          </w:tcPr>
          <w:p w:rsidR="00B72640" w:rsidRPr="00672648" w:rsidRDefault="00B72640" w:rsidP="003C4118">
            <w:pPr>
              <w:pStyle w:val="BodyText"/>
              <w:jc w:val="center"/>
              <w:rPr>
                <w:sz w:val="18"/>
                <w:szCs w:val="18"/>
              </w:rPr>
            </w:pPr>
          </w:p>
        </w:tc>
        <w:tc>
          <w:tcPr>
            <w:tcW w:w="608" w:type="pct"/>
          </w:tcPr>
          <w:p w:rsidR="00B72640" w:rsidRPr="00672648" w:rsidRDefault="00B72640" w:rsidP="003C4118">
            <w:pPr>
              <w:pStyle w:val="BodyText"/>
              <w:jc w:val="center"/>
              <w:rPr>
                <w:sz w:val="18"/>
                <w:szCs w:val="18"/>
              </w:rPr>
            </w:pPr>
          </w:p>
        </w:tc>
        <w:tc>
          <w:tcPr>
            <w:tcW w:w="608" w:type="pct"/>
            <w:shd w:val="clear" w:color="auto" w:fill="auto"/>
          </w:tcPr>
          <w:p w:rsidR="00B72640" w:rsidRPr="00672648" w:rsidRDefault="00B72640" w:rsidP="003C4118">
            <w:pPr>
              <w:pStyle w:val="BodyText"/>
              <w:jc w:val="center"/>
              <w:rPr>
                <w:sz w:val="18"/>
                <w:szCs w:val="18"/>
              </w:rPr>
            </w:pPr>
          </w:p>
        </w:tc>
        <w:tc>
          <w:tcPr>
            <w:tcW w:w="608" w:type="pct"/>
          </w:tcPr>
          <w:p w:rsidR="00B72640" w:rsidRPr="00672648" w:rsidRDefault="00B72640" w:rsidP="003C4118">
            <w:pPr>
              <w:pStyle w:val="BodyText"/>
              <w:jc w:val="center"/>
              <w:rPr>
                <w:sz w:val="18"/>
                <w:szCs w:val="18"/>
              </w:rPr>
            </w:pPr>
          </w:p>
        </w:tc>
      </w:tr>
      <w:tr w:rsidR="00B72640" w:rsidRPr="00672648" w:rsidTr="008B68EB">
        <w:trPr>
          <w:cantSplit/>
        </w:trPr>
        <w:tc>
          <w:tcPr>
            <w:tcW w:w="1350" w:type="pct"/>
            <w:shd w:val="clear" w:color="auto" w:fill="auto"/>
          </w:tcPr>
          <w:p w:rsidR="00B72640" w:rsidRPr="00672648" w:rsidRDefault="00B72640" w:rsidP="003C4118">
            <w:pPr>
              <w:pStyle w:val="BodyText"/>
              <w:jc w:val="right"/>
              <w:rPr>
                <w:b/>
                <w:sz w:val="18"/>
                <w:szCs w:val="18"/>
              </w:rPr>
            </w:pPr>
            <w:r w:rsidRPr="00672648">
              <w:rPr>
                <w:b/>
                <w:sz w:val="18"/>
                <w:szCs w:val="18"/>
              </w:rPr>
              <w:t>SR (seeds/ha)</w:t>
            </w:r>
          </w:p>
        </w:tc>
        <w:tc>
          <w:tcPr>
            <w:tcW w:w="608" w:type="pct"/>
          </w:tcPr>
          <w:p w:rsidR="00B72640" w:rsidRPr="00672648" w:rsidRDefault="00B72640" w:rsidP="003C4118">
            <w:pPr>
              <w:pStyle w:val="BodyText"/>
              <w:jc w:val="center"/>
              <w:rPr>
                <w:sz w:val="18"/>
                <w:szCs w:val="18"/>
              </w:rPr>
            </w:pPr>
          </w:p>
        </w:tc>
        <w:tc>
          <w:tcPr>
            <w:tcW w:w="608" w:type="pct"/>
          </w:tcPr>
          <w:p w:rsidR="00B72640" w:rsidRPr="00672648" w:rsidRDefault="00B72640" w:rsidP="003C4118">
            <w:pPr>
              <w:pStyle w:val="BodyText"/>
              <w:jc w:val="center"/>
              <w:rPr>
                <w:sz w:val="18"/>
                <w:szCs w:val="18"/>
              </w:rPr>
            </w:pPr>
          </w:p>
        </w:tc>
        <w:tc>
          <w:tcPr>
            <w:tcW w:w="609" w:type="pct"/>
          </w:tcPr>
          <w:p w:rsidR="00B72640" w:rsidRPr="00672648" w:rsidRDefault="00B72640" w:rsidP="003C4118">
            <w:pPr>
              <w:pStyle w:val="BodyText"/>
              <w:jc w:val="center"/>
              <w:rPr>
                <w:sz w:val="18"/>
                <w:szCs w:val="18"/>
              </w:rPr>
            </w:pPr>
          </w:p>
        </w:tc>
        <w:tc>
          <w:tcPr>
            <w:tcW w:w="608" w:type="pct"/>
          </w:tcPr>
          <w:p w:rsidR="00B72640" w:rsidRPr="00672648" w:rsidRDefault="00B72640" w:rsidP="003C4118">
            <w:pPr>
              <w:pStyle w:val="BodyText"/>
              <w:jc w:val="center"/>
              <w:rPr>
                <w:sz w:val="18"/>
                <w:szCs w:val="18"/>
              </w:rPr>
            </w:pPr>
          </w:p>
        </w:tc>
        <w:tc>
          <w:tcPr>
            <w:tcW w:w="608" w:type="pct"/>
            <w:shd w:val="clear" w:color="auto" w:fill="auto"/>
          </w:tcPr>
          <w:p w:rsidR="00B72640" w:rsidRPr="00672648" w:rsidRDefault="00B72640" w:rsidP="003C4118">
            <w:pPr>
              <w:pStyle w:val="BodyText"/>
              <w:jc w:val="center"/>
              <w:rPr>
                <w:sz w:val="18"/>
                <w:szCs w:val="18"/>
              </w:rPr>
            </w:pPr>
          </w:p>
        </w:tc>
        <w:tc>
          <w:tcPr>
            <w:tcW w:w="608" w:type="pct"/>
          </w:tcPr>
          <w:p w:rsidR="00B72640" w:rsidRPr="00672648" w:rsidRDefault="00B72640" w:rsidP="003C4118">
            <w:pPr>
              <w:pStyle w:val="BodyText"/>
              <w:jc w:val="center"/>
              <w:rPr>
                <w:sz w:val="18"/>
                <w:szCs w:val="18"/>
              </w:rPr>
            </w:pPr>
          </w:p>
        </w:tc>
      </w:tr>
      <w:tr w:rsidR="00B72640" w:rsidRPr="00672648" w:rsidTr="008B68EB">
        <w:trPr>
          <w:cantSplit/>
        </w:trPr>
        <w:tc>
          <w:tcPr>
            <w:tcW w:w="1350" w:type="pct"/>
            <w:shd w:val="clear" w:color="auto" w:fill="auto"/>
          </w:tcPr>
          <w:p w:rsidR="00B72640" w:rsidRPr="00672648" w:rsidRDefault="00B72640" w:rsidP="003C4118">
            <w:pPr>
              <w:pStyle w:val="BodyText"/>
              <w:jc w:val="right"/>
              <w:rPr>
                <w:b/>
                <w:sz w:val="18"/>
                <w:szCs w:val="18"/>
              </w:rPr>
            </w:pPr>
            <w:r w:rsidRPr="00672648">
              <w:rPr>
                <w:b/>
                <w:sz w:val="18"/>
                <w:szCs w:val="18"/>
              </w:rPr>
              <w:t>Seed loading (mg acs/seed)</w:t>
            </w:r>
          </w:p>
        </w:tc>
        <w:tc>
          <w:tcPr>
            <w:tcW w:w="608" w:type="pct"/>
          </w:tcPr>
          <w:p w:rsidR="00B72640" w:rsidRPr="00672648" w:rsidRDefault="00B72640" w:rsidP="003C4118">
            <w:pPr>
              <w:pStyle w:val="BodyText"/>
              <w:jc w:val="center"/>
              <w:rPr>
                <w:sz w:val="18"/>
                <w:szCs w:val="18"/>
              </w:rPr>
            </w:pPr>
          </w:p>
        </w:tc>
        <w:tc>
          <w:tcPr>
            <w:tcW w:w="608" w:type="pct"/>
          </w:tcPr>
          <w:p w:rsidR="00B72640" w:rsidRPr="00672648" w:rsidRDefault="00B72640" w:rsidP="003C4118">
            <w:pPr>
              <w:pStyle w:val="BodyText"/>
              <w:jc w:val="center"/>
              <w:rPr>
                <w:sz w:val="18"/>
                <w:szCs w:val="18"/>
              </w:rPr>
            </w:pPr>
          </w:p>
        </w:tc>
        <w:tc>
          <w:tcPr>
            <w:tcW w:w="609" w:type="pct"/>
          </w:tcPr>
          <w:p w:rsidR="00B72640" w:rsidRPr="00672648" w:rsidRDefault="00B72640" w:rsidP="003C4118">
            <w:pPr>
              <w:pStyle w:val="BodyText"/>
              <w:jc w:val="center"/>
              <w:rPr>
                <w:sz w:val="18"/>
                <w:szCs w:val="18"/>
              </w:rPr>
            </w:pPr>
          </w:p>
        </w:tc>
        <w:tc>
          <w:tcPr>
            <w:tcW w:w="608" w:type="pct"/>
          </w:tcPr>
          <w:p w:rsidR="00B72640" w:rsidRPr="00672648" w:rsidRDefault="00B72640" w:rsidP="003C4118">
            <w:pPr>
              <w:pStyle w:val="BodyText"/>
              <w:jc w:val="center"/>
              <w:rPr>
                <w:sz w:val="18"/>
                <w:szCs w:val="18"/>
              </w:rPr>
            </w:pPr>
          </w:p>
        </w:tc>
        <w:tc>
          <w:tcPr>
            <w:tcW w:w="608" w:type="pct"/>
            <w:shd w:val="clear" w:color="auto" w:fill="auto"/>
          </w:tcPr>
          <w:p w:rsidR="00B72640" w:rsidRPr="00672648" w:rsidRDefault="00B72640" w:rsidP="003C4118">
            <w:pPr>
              <w:pStyle w:val="BodyText"/>
              <w:jc w:val="center"/>
              <w:rPr>
                <w:sz w:val="18"/>
                <w:szCs w:val="18"/>
              </w:rPr>
            </w:pPr>
          </w:p>
        </w:tc>
        <w:tc>
          <w:tcPr>
            <w:tcW w:w="608" w:type="pct"/>
          </w:tcPr>
          <w:p w:rsidR="00B72640" w:rsidRPr="00672648" w:rsidRDefault="00B72640" w:rsidP="003C4118">
            <w:pPr>
              <w:pStyle w:val="BodyText"/>
              <w:jc w:val="center"/>
              <w:rPr>
                <w:sz w:val="18"/>
                <w:szCs w:val="18"/>
              </w:rPr>
            </w:pPr>
          </w:p>
        </w:tc>
      </w:tr>
      <w:tr w:rsidR="00B72640" w:rsidRPr="00672648" w:rsidTr="008B68EB">
        <w:trPr>
          <w:cantSplit/>
        </w:trPr>
        <w:tc>
          <w:tcPr>
            <w:tcW w:w="1350" w:type="pct"/>
            <w:shd w:val="clear" w:color="auto" w:fill="auto"/>
          </w:tcPr>
          <w:p w:rsidR="00B72640" w:rsidRPr="00672648" w:rsidRDefault="00B72640" w:rsidP="003C4118">
            <w:pPr>
              <w:pStyle w:val="BodyText"/>
              <w:jc w:val="right"/>
              <w:rPr>
                <w:b/>
                <w:sz w:val="18"/>
                <w:szCs w:val="18"/>
              </w:rPr>
            </w:pPr>
            <w:r w:rsidRPr="00672648">
              <w:rPr>
                <w:b/>
                <w:sz w:val="18"/>
                <w:szCs w:val="18"/>
              </w:rPr>
              <w:t>Exposure</w:t>
            </w:r>
            <w:r w:rsidRPr="00672648">
              <w:rPr>
                <w:rStyle w:val="FootnoteReference"/>
                <w:b/>
                <w:sz w:val="18"/>
                <w:szCs w:val="18"/>
              </w:rPr>
              <w:footnoteReference w:id="3"/>
            </w:r>
          </w:p>
        </w:tc>
        <w:tc>
          <w:tcPr>
            <w:tcW w:w="608" w:type="pct"/>
          </w:tcPr>
          <w:p w:rsidR="00B72640" w:rsidRPr="00672648" w:rsidRDefault="00B72640" w:rsidP="003C4118">
            <w:pPr>
              <w:pStyle w:val="BodyText"/>
              <w:jc w:val="center"/>
              <w:rPr>
                <w:sz w:val="18"/>
                <w:szCs w:val="18"/>
              </w:rPr>
            </w:pPr>
          </w:p>
        </w:tc>
        <w:tc>
          <w:tcPr>
            <w:tcW w:w="608" w:type="pct"/>
          </w:tcPr>
          <w:p w:rsidR="00B72640" w:rsidRPr="00672648" w:rsidRDefault="00B72640" w:rsidP="003C4118">
            <w:pPr>
              <w:pStyle w:val="BodyText"/>
              <w:jc w:val="center"/>
              <w:rPr>
                <w:sz w:val="18"/>
                <w:szCs w:val="18"/>
              </w:rPr>
            </w:pPr>
          </w:p>
        </w:tc>
        <w:tc>
          <w:tcPr>
            <w:tcW w:w="609" w:type="pct"/>
          </w:tcPr>
          <w:p w:rsidR="00B72640" w:rsidRPr="00672648" w:rsidRDefault="00B72640" w:rsidP="003C4118">
            <w:pPr>
              <w:pStyle w:val="BodyText"/>
              <w:jc w:val="center"/>
              <w:rPr>
                <w:sz w:val="18"/>
                <w:szCs w:val="18"/>
              </w:rPr>
            </w:pPr>
          </w:p>
        </w:tc>
        <w:tc>
          <w:tcPr>
            <w:tcW w:w="608" w:type="pct"/>
          </w:tcPr>
          <w:p w:rsidR="00B72640" w:rsidRPr="00672648" w:rsidRDefault="00B72640" w:rsidP="003C4118">
            <w:pPr>
              <w:pStyle w:val="BodyText"/>
              <w:jc w:val="center"/>
              <w:rPr>
                <w:sz w:val="18"/>
                <w:szCs w:val="18"/>
              </w:rPr>
            </w:pPr>
          </w:p>
        </w:tc>
        <w:tc>
          <w:tcPr>
            <w:tcW w:w="608" w:type="pct"/>
            <w:shd w:val="clear" w:color="auto" w:fill="auto"/>
          </w:tcPr>
          <w:p w:rsidR="00B72640" w:rsidRPr="00672648" w:rsidRDefault="00B72640" w:rsidP="003C4118">
            <w:pPr>
              <w:pStyle w:val="BodyText"/>
              <w:jc w:val="center"/>
              <w:rPr>
                <w:sz w:val="18"/>
                <w:szCs w:val="18"/>
              </w:rPr>
            </w:pPr>
          </w:p>
        </w:tc>
        <w:tc>
          <w:tcPr>
            <w:tcW w:w="608" w:type="pct"/>
          </w:tcPr>
          <w:p w:rsidR="00B72640" w:rsidRPr="00672648" w:rsidRDefault="00B72640" w:rsidP="003C4118">
            <w:pPr>
              <w:pStyle w:val="BodyText"/>
              <w:jc w:val="center"/>
              <w:rPr>
                <w:sz w:val="18"/>
                <w:szCs w:val="18"/>
              </w:rPr>
            </w:pPr>
          </w:p>
        </w:tc>
      </w:tr>
      <w:tr w:rsidR="00B72640" w:rsidRPr="00672648" w:rsidTr="008B68EB">
        <w:trPr>
          <w:cantSplit/>
        </w:trPr>
        <w:tc>
          <w:tcPr>
            <w:tcW w:w="1350" w:type="pct"/>
            <w:shd w:val="clear" w:color="auto" w:fill="auto"/>
          </w:tcPr>
          <w:p w:rsidR="00B72640" w:rsidRPr="00672648" w:rsidRDefault="00B72640" w:rsidP="003C4118">
            <w:pPr>
              <w:pStyle w:val="BodyText"/>
              <w:jc w:val="right"/>
              <w:rPr>
                <w:b/>
                <w:sz w:val="18"/>
                <w:szCs w:val="18"/>
              </w:rPr>
            </w:pPr>
            <w:r w:rsidRPr="00672648">
              <w:rPr>
                <w:b/>
                <w:sz w:val="18"/>
                <w:szCs w:val="18"/>
              </w:rPr>
              <w:t>RAD (mg acs/kg bw)</w:t>
            </w:r>
          </w:p>
        </w:tc>
        <w:tc>
          <w:tcPr>
            <w:tcW w:w="608" w:type="pct"/>
          </w:tcPr>
          <w:p w:rsidR="00B72640" w:rsidRPr="00672648" w:rsidRDefault="00B72640" w:rsidP="003C4118">
            <w:pPr>
              <w:pStyle w:val="BodyText"/>
              <w:jc w:val="center"/>
              <w:rPr>
                <w:sz w:val="18"/>
                <w:szCs w:val="18"/>
              </w:rPr>
            </w:pPr>
          </w:p>
        </w:tc>
        <w:tc>
          <w:tcPr>
            <w:tcW w:w="608" w:type="pct"/>
          </w:tcPr>
          <w:p w:rsidR="00B72640" w:rsidRPr="00672648" w:rsidRDefault="00B72640" w:rsidP="003C4118">
            <w:pPr>
              <w:pStyle w:val="BodyText"/>
              <w:jc w:val="center"/>
              <w:rPr>
                <w:sz w:val="18"/>
                <w:szCs w:val="18"/>
              </w:rPr>
            </w:pPr>
          </w:p>
        </w:tc>
        <w:tc>
          <w:tcPr>
            <w:tcW w:w="609" w:type="pct"/>
          </w:tcPr>
          <w:p w:rsidR="00B72640" w:rsidRPr="00672648" w:rsidRDefault="00B72640" w:rsidP="003C4118">
            <w:pPr>
              <w:pStyle w:val="BodyText"/>
              <w:jc w:val="center"/>
              <w:rPr>
                <w:sz w:val="18"/>
                <w:szCs w:val="18"/>
              </w:rPr>
            </w:pPr>
          </w:p>
        </w:tc>
        <w:tc>
          <w:tcPr>
            <w:tcW w:w="608" w:type="pct"/>
          </w:tcPr>
          <w:p w:rsidR="00B72640" w:rsidRPr="00672648" w:rsidRDefault="00B72640" w:rsidP="003C4118">
            <w:pPr>
              <w:pStyle w:val="BodyText"/>
              <w:jc w:val="center"/>
              <w:rPr>
                <w:sz w:val="18"/>
                <w:szCs w:val="18"/>
              </w:rPr>
            </w:pPr>
          </w:p>
        </w:tc>
        <w:tc>
          <w:tcPr>
            <w:tcW w:w="608" w:type="pct"/>
            <w:shd w:val="clear" w:color="auto" w:fill="auto"/>
          </w:tcPr>
          <w:p w:rsidR="00B72640" w:rsidRPr="00672648" w:rsidRDefault="00B72640" w:rsidP="003C4118">
            <w:pPr>
              <w:pStyle w:val="BodyText"/>
              <w:jc w:val="center"/>
              <w:rPr>
                <w:sz w:val="18"/>
                <w:szCs w:val="18"/>
              </w:rPr>
            </w:pPr>
          </w:p>
        </w:tc>
        <w:tc>
          <w:tcPr>
            <w:tcW w:w="608" w:type="pct"/>
          </w:tcPr>
          <w:p w:rsidR="00B72640" w:rsidRPr="00672648" w:rsidRDefault="00B72640" w:rsidP="003C4118">
            <w:pPr>
              <w:pStyle w:val="BodyText"/>
              <w:jc w:val="center"/>
              <w:rPr>
                <w:sz w:val="18"/>
                <w:szCs w:val="18"/>
              </w:rPr>
            </w:pPr>
          </w:p>
        </w:tc>
      </w:tr>
      <w:tr w:rsidR="00B72640" w:rsidRPr="00672648" w:rsidTr="008B68EB">
        <w:trPr>
          <w:cantSplit/>
        </w:trPr>
        <w:tc>
          <w:tcPr>
            <w:tcW w:w="1350" w:type="pct"/>
            <w:shd w:val="clear" w:color="auto" w:fill="auto"/>
          </w:tcPr>
          <w:p w:rsidR="00B72640" w:rsidRPr="00672648" w:rsidRDefault="00B72640" w:rsidP="003C4118">
            <w:pPr>
              <w:pStyle w:val="BodyText"/>
              <w:jc w:val="right"/>
              <w:rPr>
                <w:b/>
                <w:sz w:val="18"/>
                <w:szCs w:val="18"/>
              </w:rPr>
            </w:pPr>
            <w:r w:rsidRPr="00672648">
              <w:rPr>
                <w:b/>
                <w:sz w:val="18"/>
                <w:szCs w:val="18"/>
              </w:rPr>
              <w:t>Seed</w:t>
            </w:r>
            <w:r w:rsidRPr="00672648">
              <w:rPr>
                <w:b/>
                <w:sz w:val="18"/>
                <w:szCs w:val="18"/>
                <w:vertAlign w:val="subscript"/>
              </w:rPr>
              <w:t>concern</w:t>
            </w:r>
            <w:r w:rsidRPr="00672648">
              <w:rPr>
                <w:b/>
                <w:sz w:val="18"/>
                <w:szCs w:val="18"/>
              </w:rPr>
              <w:t xml:space="preserve"> (number of seeds)</w:t>
            </w:r>
          </w:p>
        </w:tc>
        <w:tc>
          <w:tcPr>
            <w:tcW w:w="608" w:type="pct"/>
          </w:tcPr>
          <w:p w:rsidR="00B72640" w:rsidRPr="00672648" w:rsidRDefault="00B72640" w:rsidP="003C4118">
            <w:pPr>
              <w:pStyle w:val="BodyText"/>
              <w:jc w:val="center"/>
              <w:rPr>
                <w:sz w:val="18"/>
                <w:szCs w:val="18"/>
              </w:rPr>
            </w:pPr>
          </w:p>
        </w:tc>
        <w:tc>
          <w:tcPr>
            <w:tcW w:w="608" w:type="pct"/>
          </w:tcPr>
          <w:p w:rsidR="00B72640" w:rsidRPr="00672648" w:rsidRDefault="00B72640" w:rsidP="003C4118">
            <w:pPr>
              <w:pStyle w:val="BodyText"/>
              <w:jc w:val="center"/>
              <w:rPr>
                <w:sz w:val="18"/>
                <w:szCs w:val="18"/>
              </w:rPr>
            </w:pPr>
          </w:p>
        </w:tc>
        <w:tc>
          <w:tcPr>
            <w:tcW w:w="609" w:type="pct"/>
          </w:tcPr>
          <w:p w:rsidR="00B72640" w:rsidRPr="00672648" w:rsidRDefault="00B72640" w:rsidP="003C4118">
            <w:pPr>
              <w:pStyle w:val="BodyText"/>
              <w:jc w:val="center"/>
              <w:rPr>
                <w:sz w:val="18"/>
                <w:szCs w:val="18"/>
              </w:rPr>
            </w:pPr>
          </w:p>
        </w:tc>
        <w:tc>
          <w:tcPr>
            <w:tcW w:w="608" w:type="pct"/>
          </w:tcPr>
          <w:p w:rsidR="00B72640" w:rsidRPr="00672648" w:rsidRDefault="00B72640" w:rsidP="003C4118">
            <w:pPr>
              <w:pStyle w:val="BodyText"/>
              <w:jc w:val="center"/>
              <w:rPr>
                <w:sz w:val="18"/>
                <w:szCs w:val="18"/>
              </w:rPr>
            </w:pPr>
          </w:p>
        </w:tc>
        <w:tc>
          <w:tcPr>
            <w:tcW w:w="608" w:type="pct"/>
            <w:shd w:val="clear" w:color="auto" w:fill="auto"/>
          </w:tcPr>
          <w:p w:rsidR="00B72640" w:rsidRPr="00672648" w:rsidRDefault="00B72640" w:rsidP="003C4118">
            <w:pPr>
              <w:pStyle w:val="BodyText"/>
              <w:jc w:val="center"/>
              <w:rPr>
                <w:sz w:val="18"/>
                <w:szCs w:val="18"/>
              </w:rPr>
            </w:pPr>
          </w:p>
        </w:tc>
        <w:tc>
          <w:tcPr>
            <w:tcW w:w="608" w:type="pct"/>
          </w:tcPr>
          <w:p w:rsidR="00B72640" w:rsidRPr="00672648" w:rsidRDefault="00B72640" w:rsidP="003C4118">
            <w:pPr>
              <w:pStyle w:val="BodyText"/>
              <w:jc w:val="center"/>
              <w:rPr>
                <w:sz w:val="18"/>
                <w:szCs w:val="18"/>
              </w:rPr>
            </w:pPr>
          </w:p>
        </w:tc>
      </w:tr>
      <w:tr w:rsidR="00B72640" w:rsidRPr="00672648" w:rsidTr="008B68EB">
        <w:trPr>
          <w:cantSplit/>
        </w:trPr>
        <w:tc>
          <w:tcPr>
            <w:tcW w:w="1350" w:type="pct"/>
            <w:shd w:val="clear" w:color="auto" w:fill="auto"/>
          </w:tcPr>
          <w:p w:rsidR="00B72640" w:rsidRPr="00672648" w:rsidRDefault="00B72640" w:rsidP="003C4118">
            <w:pPr>
              <w:pStyle w:val="BodyText"/>
              <w:jc w:val="right"/>
              <w:rPr>
                <w:b/>
                <w:sz w:val="18"/>
                <w:szCs w:val="18"/>
              </w:rPr>
            </w:pPr>
            <w:r w:rsidRPr="00672648">
              <w:rPr>
                <w:b/>
                <w:sz w:val="18"/>
                <w:szCs w:val="18"/>
              </w:rPr>
              <w:t>Foraged area of concern (ha)</w:t>
            </w:r>
          </w:p>
        </w:tc>
        <w:tc>
          <w:tcPr>
            <w:tcW w:w="608" w:type="pct"/>
          </w:tcPr>
          <w:p w:rsidR="00B72640" w:rsidRPr="00672648" w:rsidRDefault="00B72640" w:rsidP="003C4118">
            <w:pPr>
              <w:pStyle w:val="BodyText"/>
              <w:jc w:val="center"/>
              <w:rPr>
                <w:sz w:val="18"/>
                <w:szCs w:val="18"/>
              </w:rPr>
            </w:pPr>
          </w:p>
        </w:tc>
        <w:tc>
          <w:tcPr>
            <w:tcW w:w="608" w:type="pct"/>
          </w:tcPr>
          <w:p w:rsidR="00B72640" w:rsidRPr="00672648" w:rsidRDefault="00B72640" w:rsidP="003C4118">
            <w:pPr>
              <w:pStyle w:val="BodyText"/>
              <w:jc w:val="center"/>
              <w:rPr>
                <w:sz w:val="18"/>
                <w:szCs w:val="18"/>
              </w:rPr>
            </w:pPr>
          </w:p>
        </w:tc>
        <w:tc>
          <w:tcPr>
            <w:tcW w:w="609" w:type="pct"/>
          </w:tcPr>
          <w:p w:rsidR="00B72640" w:rsidRPr="00672648" w:rsidRDefault="00B72640" w:rsidP="003C4118">
            <w:pPr>
              <w:pStyle w:val="BodyText"/>
              <w:jc w:val="center"/>
              <w:rPr>
                <w:sz w:val="18"/>
                <w:szCs w:val="18"/>
              </w:rPr>
            </w:pPr>
          </w:p>
        </w:tc>
        <w:tc>
          <w:tcPr>
            <w:tcW w:w="608" w:type="pct"/>
          </w:tcPr>
          <w:p w:rsidR="00B72640" w:rsidRPr="00672648" w:rsidRDefault="00B72640" w:rsidP="003C4118">
            <w:pPr>
              <w:pStyle w:val="BodyText"/>
              <w:jc w:val="center"/>
              <w:rPr>
                <w:sz w:val="18"/>
                <w:szCs w:val="18"/>
              </w:rPr>
            </w:pPr>
          </w:p>
        </w:tc>
        <w:tc>
          <w:tcPr>
            <w:tcW w:w="608" w:type="pct"/>
            <w:shd w:val="clear" w:color="auto" w:fill="auto"/>
          </w:tcPr>
          <w:p w:rsidR="00B72640" w:rsidRPr="00672648" w:rsidRDefault="00B72640" w:rsidP="003C4118">
            <w:pPr>
              <w:pStyle w:val="BodyText"/>
              <w:jc w:val="center"/>
              <w:rPr>
                <w:sz w:val="18"/>
                <w:szCs w:val="18"/>
              </w:rPr>
            </w:pPr>
          </w:p>
        </w:tc>
        <w:tc>
          <w:tcPr>
            <w:tcW w:w="608" w:type="pct"/>
          </w:tcPr>
          <w:p w:rsidR="00B72640" w:rsidRPr="00672648" w:rsidRDefault="00B72640" w:rsidP="003C4118">
            <w:pPr>
              <w:pStyle w:val="BodyText"/>
              <w:jc w:val="center"/>
              <w:rPr>
                <w:sz w:val="18"/>
                <w:szCs w:val="18"/>
              </w:rPr>
            </w:pPr>
          </w:p>
        </w:tc>
      </w:tr>
      <w:tr w:rsidR="00B72640" w:rsidRPr="00672648" w:rsidTr="008B68EB">
        <w:trPr>
          <w:cantSplit/>
        </w:trPr>
        <w:tc>
          <w:tcPr>
            <w:tcW w:w="1350" w:type="pct"/>
            <w:shd w:val="clear" w:color="auto" w:fill="auto"/>
          </w:tcPr>
          <w:p w:rsidR="00B72640" w:rsidRPr="00672648" w:rsidRDefault="00B72640" w:rsidP="003C4118">
            <w:pPr>
              <w:pStyle w:val="BodyText"/>
              <w:jc w:val="right"/>
              <w:rPr>
                <w:b/>
                <w:sz w:val="18"/>
                <w:szCs w:val="18"/>
              </w:rPr>
            </w:pPr>
            <w:r w:rsidRPr="00672648">
              <w:rPr>
                <w:b/>
                <w:sz w:val="18"/>
                <w:szCs w:val="18"/>
              </w:rPr>
              <w:t>Home range (ha)</w:t>
            </w:r>
          </w:p>
        </w:tc>
        <w:tc>
          <w:tcPr>
            <w:tcW w:w="608" w:type="pct"/>
          </w:tcPr>
          <w:p w:rsidR="00B72640" w:rsidRPr="00672648" w:rsidRDefault="00B72640" w:rsidP="003C4118">
            <w:pPr>
              <w:pStyle w:val="BodyText"/>
              <w:jc w:val="center"/>
              <w:rPr>
                <w:sz w:val="18"/>
                <w:szCs w:val="18"/>
              </w:rPr>
            </w:pPr>
            <w:r>
              <w:rPr>
                <w:sz w:val="18"/>
                <w:szCs w:val="18"/>
              </w:rPr>
              <w:t>0.15</w:t>
            </w:r>
          </w:p>
        </w:tc>
        <w:tc>
          <w:tcPr>
            <w:tcW w:w="608" w:type="pct"/>
          </w:tcPr>
          <w:p w:rsidR="00B72640" w:rsidRPr="00672648" w:rsidRDefault="00B72640" w:rsidP="003C4118">
            <w:pPr>
              <w:pStyle w:val="BodyText"/>
              <w:jc w:val="center"/>
              <w:rPr>
                <w:sz w:val="18"/>
                <w:szCs w:val="18"/>
              </w:rPr>
            </w:pPr>
            <w:r>
              <w:rPr>
                <w:sz w:val="18"/>
                <w:szCs w:val="18"/>
              </w:rPr>
              <w:t>0.38</w:t>
            </w:r>
          </w:p>
        </w:tc>
        <w:tc>
          <w:tcPr>
            <w:tcW w:w="609" w:type="pct"/>
          </w:tcPr>
          <w:p w:rsidR="00B72640" w:rsidRPr="00672648" w:rsidRDefault="00B72640" w:rsidP="003C4118">
            <w:pPr>
              <w:pStyle w:val="BodyText"/>
              <w:jc w:val="center"/>
              <w:rPr>
                <w:sz w:val="18"/>
                <w:szCs w:val="18"/>
              </w:rPr>
            </w:pPr>
            <w:r>
              <w:rPr>
                <w:sz w:val="18"/>
                <w:szCs w:val="18"/>
              </w:rPr>
              <w:t>16</w:t>
            </w:r>
          </w:p>
        </w:tc>
        <w:tc>
          <w:tcPr>
            <w:tcW w:w="608" w:type="pct"/>
          </w:tcPr>
          <w:p w:rsidR="00B72640" w:rsidRPr="00672648" w:rsidRDefault="00B72640" w:rsidP="003C4118">
            <w:pPr>
              <w:pStyle w:val="BodyText"/>
              <w:jc w:val="center"/>
              <w:rPr>
                <w:sz w:val="18"/>
                <w:szCs w:val="18"/>
              </w:rPr>
            </w:pPr>
            <w:r>
              <w:rPr>
                <w:sz w:val="18"/>
                <w:szCs w:val="18"/>
              </w:rPr>
              <w:t>1.4</w:t>
            </w:r>
          </w:p>
        </w:tc>
        <w:tc>
          <w:tcPr>
            <w:tcW w:w="608" w:type="pct"/>
            <w:shd w:val="clear" w:color="auto" w:fill="auto"/>
          </w:tcPr>
          <w:p w:rsidR="00B72640" w:rsidRPr="00672648" w:rsidRDefault="00B72640" w:rsidP="003C4118">
            <w:pPr>
              <w:pStyle w:val="BodyText"/>
              <w:jc w:val="center"/>
              <w:rPr>
                <w:sz w:val="18"/>
                <w:szCs w:val="18"/>
              </w:rPr>
            </w:pPr>
            <w:r>
              <w:rPr>
                <w:sz w:val="18"/>
                <w:szCs w:val="18"/>
              </w:rPr>
              <w:t>8.7</w:t>
            </w:r>
          </w:p>
        </w:tc>
        <w:tc>
          <w:tcPr>
            <w:tcW w:w="608" w:type="pct"/>
          </w:tcPr>
          <w:p w:rsidR="00B72640" w:rsidRPr="00672648" w:rsidRDefault="00B72640" w:rsidP="003C4118">
            <w:pPr>
              <w:pStyle w:val="BodyText"/>
              <w:jc w:val="center"/>
              <w:rPr>
                <w:sz w:val="18"/>
                <w:szCs w:val="18"/>
              </w:rPr>
            </w:pPr>
            <w:r>
              <w:rPr>
                <w:sz w:val="18"/>
                <w:szCs w:val="18"/>
              </w:rPr>
              <w:t>114</w:t>
            </w:r>
          </w:p>
        </w:tc>
      </w:tr>
    </w:tbl>
    <w:p w:rsidR="00B72640" w:rsidRDefault="00B72640" w:rsidP="00B72640">
      <w:pPr>
        <w:pStyle w:val="BodyText"/>
        <w:rPr>
          <w:sz w:val="18"/>
          <w:szCs w:val="18"/>
        </w:rPr>
      </w:pPr>
      <w:r>
        <w:rPr>
          <w:sz w:val="18"/>
          <w:szCs w:val="18"/>
        </w:rPr>
        <w:t>Assessment method according to USEPA (2016)</w:t>
      </w:r>
    </w:p>
    <w:p w:rsidR="00B72640" w:rsidRPr="00672648" w:rsidRDefault="00B72640" w:rsidP="00B72640">
      <w:pPr>
        <w:pStyle w:val="BodyText"/>
        <w:rPr>
          <w:sz w:val="18"/>
          <w:szCs w:val="18"/>
        </w:rPr>
      </w:pPr>
      <w:r w:rsidRPr="00672648">
        <w:rPr>
          <w:sz w:val="18"/>
          <w:szCs w:val="18"/>
        </w:rPr>
        <w:t>CE = consumption efficiency expressed as the fraction of seed gleaned from a unit area = default of 1.0 unless other data are available</w:t>
      </w:r>
    </w:p>
    <w:p w:rsidR="00B72640" w:rsidRPr="00672648" w:rsidRDefault="00B72640" w:rsidP="00B72640">
      <w:pPr>
        <w:pStyle w:val="BodyText"/>
        <w:rPr>
          <w:sz w:val="18"/>
          <w:szCs w:val="18"/>
        </w:rPr>
      </w:pPr>
      <w:r w:rsidRPr="00672648">
        <w:rPr>
          <w:sz w:val="18"/>
          <w:szCs w:val="18"/>
        </w:rPr>
        <w:t xml:space="preserve">IR </w:t>
      </w:r>
      <w:r>
        <w:rPr>
          <w:sz w:val="18"/>
          <w:szCs w:val="18"/>
        </w:rPr>
        <w:t>= fraction of incorporation</w:t>
      </w:r>
    </w:p>
    <w:p w:rsidR="00B72640" w:rsidRPr="00672648" w:rsidRDefault="00B72640" w:rsidP="00B72640">
      <w:pPr>
        <w:pStyle w:val="BodyText"/>
        <w:rPr>
          <w:sz w:val="18"/>
          <w:szCs w:val="18"/>
        </w:rPr>
      </w:pPr>
      <w:r w:rsidRPr="00672648">
        <w:rPr>
          <w:sz w:val="18"/>
          <w:szCs w:val="18"/>
        </w:rPr>
        <w:t xml:space="preserve">SR = seed rate </w:t>
      </w:r>
    </w:p>
    <w:p w:rsidR="00B72640" w:rsidRPr="00672648" w:rsidRDefault="00B72640" w:rsidP="00B72640">
      <w:pPr>
        <w:pStyle w:val="BodyText"/>
        <w:rPr>
          <w:sz w:val="18"/>
          <w:szCs w:val="18"/>
        </w:rPr>
      </w:pPr>
      <w:r w:rsidRPr="00672648">
        <w:rPr>
          <w:sz w:val="18"/>
          <w:szCs w:val="18"/>
        </w:rPr>
        <w:t xml:space="preserve">RAD = regulatory acceptable dose (from </w:t>
      </w:r>
      <w:r>
        <w:rPr>
          <w:sz w:val="18"/>
          <w:szCs w:val="18"/>
        </w:rPr>
        <w:t>T</w:t>
      </w:r>
      <w:r w:rsidRPr="00672648">
        <w:rPr>
          <w:sz w:val="18"/>
          <w:szCs w:val="18"/>
        </w:rPr>
        <w:t>able X)</w:t>
      </w:r>
    </w:p>
    <w:p w:rsidR="00B72640" w:rsidRPr="00672648" w:rsidRDefault="00B72640" w:rsidP="00B72640">
      <w:pPr>
        <w:pStyle w:val="BodyText"/>
        <w:rPr>
          <w:sz w:val="18"/>
          <w:szCs w:val="18"/>
        </w:rPr>
      </w:pPr>
      <w:r w:rsidRPr="00672648">
        <w:rPr>
          <w:sz w:val="18"/>
          <w:szCs w:val="18"/>
        </w:rPr>
        <w:t>Seed</w:t>
      </w:r>
      <w:r w:rsidRPr="00672648">
        <w:rPr>
          <w:sz w:val="18"/>
          <w:szCs w:val="18"/>
          <w:vertAlign w:val="subscript"/>
        </w:rPr>
        <w:t>concern</w:t>
      </w:r>
      <w:r w:rsidRPr="00672648">
        <w:rPr>
          <w:sz w:val="18"/>
          <w:szCs w:val="18"/>
        </w:rPr>
        <w:t xml:space="preserve"> = minimum number of seeds required to trigger risk concern = body weight (kg) * RAD (mg acs/kg bw) / Seed loading (mg acs/seed)</w:t>
      </w:r>
    </w:p>
    <w:p w:rsidR="00B72640" w:rsidRPr="00672648" w:rsidRDefault="00B72640" w:rsidP="00B72640">
      <w:pPr>
        <w:pStyle w:val="BodyText"/>
        <w:rPr>
          <w:sz w:val="18"/>
          <w:szCs w:val="18"/>
        </w:rPr>
      </w:pPr>
      <w:r w:rsidRPr="00672648">
        <w:rPr>
          <w:sz w:val="18"/>
          <w:szCs w:val="18"/>
        </w:rPr>
        <w:t>Foraged area of concern = Seed</w:t>
      </w:r>
      <w:r w:rsidRPr="00672648">
        <w:rPr>
          <w:sz w:val="18"/>
          <w:szCs w:val="18"/>
          <w:vertAlign w:val="subscript"/>
        </w:rPr>
        <w:t>concern</w:t>
      </w:r>
      <w:r w:rsidRPr="00672648">
        <w:rPr>
          <w:sz w:val="18"/>
          <w:szCs w:val="18"/>
        </w:rPr>
        <w:t>/[SR*(1-IR)*CE]</w:t>
      </w:r>
    </w:p>
    <w:p w:rsidR="007E5F4F" w:rsidRDefault="007E5F4F" w:rsidP="008B68EB">
      <w:pPr>
        <w:pStyle w:val="Caption"/>
        <w:sectPr w:rsidR="007E5F4F" w:rsidSect="001A19FE">
          <w:endnotePr>
            <w:numFmt w:val="decimal"/>
          </w:endnotePr>
          <w:pgSz w:w="11906" w:h="16838" w:code="9"/>
          <w:pgMar w:top="2552" w:right="1134" w:bottom="1134" w:left="1134" w:header="1758" w:footer="680" w:gutter="0"/>
          <w:cols w:space="708"/>
          <w:docGrid w:linePitch="360"/>
        </w:sectPr>
      </w:pPr>
    </w:p>
    <w:p w:rsidR="008B68EB" w:rsidRPr="009A4CFC" w:rsidRDefault="008B68EB" w:rsidP="008B68EB">
      <w:pPr>
        <w:pStyle w:val="Caption"/>
      </w:pPr>
      <w:r w:rsidRPr="009A4CFC">
        <w:lastRenderedPageBreak/>
        <w:t xml:space="preserve">Table </w:t>
      </w:r>
      <w:r w:rsidR="00EA08EB">
        <w:rPr>
          <w:noProof/>
        </w:rPr>
        <w:fldChar w:fldCharType="begin"/>
      </w:r>
      <w:r w:rsidR="00EA08EB">
        <w:rPr>
          <w:noProof/>
        </w:rPr>
        <w:instrText xml:space="preserve"> SEQ Table \* ARABIC </w:instrText>
      </w:r>
      <w:r w:rsidR="00EA08EB">
        <w:rPr>
          <w:noProof/>
        </w:rPr>
        <w:fldChar w:fldCharType="separate"/>
      </w:r>
      <w:r w:rsidR="00225D67">
        <w:rPr>
          <w:noProof/>
        </w:rPr>
        <w:t>13</w:t>
      </w:r>
      <w:r w:rsidR="00EA08EB">
        <w:rPr>
          <w:noProof/>
        </w:rPr>
        <w:fldChar w:fldCharType="end"/>
      </w:r>
      <w:r w:rsidRPr="009A4CFC">
        <w:t xml:space="preserve"> - </w:t>
      </w:r>
      <w:r w:rsidRPr="008B68EB">
        <w:t>Forage time to concern for birds according to USEPA 2016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910"/>
        <w:gridCol w:w="1342"/>
        <w:gridCol w:w="1344"/>
        <w:gridCol w:w="1342"/>
        <w:gridCol w:w="1344"/>
        <w:gridCol w:w="1346"/>
      </w:tblGrid>
      <w:tr w:rsidR="00B72640" w:rsidRPr="00D7520A" w:rsidTr="003C4118">
        <w:trPr>
          <w:cantSplit/>
          <w:tblHeader/>
        </w:trPr>
        <w:tc>
          <w:tcPr>
            <w:tcW w:w="1511" w:type="pct"/>
            <w:shd w:val="clear" w:color="auto" w:fill="auto"/>
          </w:tcPr>
          <w:p w:rsidR="00B72640" w:rsidRPr="00901136" w:rsidRDefault="00B72640" w:rsidP="003C4118">
            <w:pPr>
              <w:pStyle w:val="BodyText"/>
              <w:jc w:val="right"/>
              <w:rPr>
                <w:b/>
                <w:sz w:val="18"/>
                <w:szCs w:val="18"/>
              </w:rPr>
            </w:pPr>
            <w:r w:rsidRPr="00901136">
              <w:rPr>
                <w:b/>
                <w:sz w:val="18"/>
                <w:szCs w:val="18"/>
              </w:rPr>
              <w:t>Bird size</w:t>
            </w:r>
          </w:p>
        </w:tc>
        <w:tc>
          <w:tcPr>
            <w:tcW w:w="2790" w:type="pct"/>
            <w:gridSpan w:val="4"/>
          </w:tcPr>
          <w:p w:rsidR="00B72640" w:rsidRPr="00901136" w:rsidRDefault="00B72640" w:rsidP="003C4118">
            <w:pPr>
              <w:pStyle w:val="BodyText"/>
              <w:jc w:val="center"/>
              <w:rPr>
                <w:b/>
                <w:sz w:val="18"/>
                <w:szCs w:val="18"/>
              </w:rPr>
            </w:pPr>
            <w:r w:rsidRPr="00901136">
              <w:rPr>
                <w:b/>
                <w:sz w:val="18"/>
                <w:szCs w:val="18"/>
              </w:rPr>
              <w:t>Small</w:t>
            </w:r>
          </w:p>
        </w:tc>
        <w:tc>
          <w:tcPr>
            <w:tcW w:w="699" w:type="pct"/>
            <w:shd w:val="clear" w:color="auto" w:fill="auto"/>
          </w:tcPr>
          <w:p w:rsidR="00B72640" w:rsidRPr="00901136" w:rsidRDefault="00B72640" w:rsidP="003C4118">
            <w:pPr>
              <w:pStyle w:val="BodyText"/>
              <w:jc w:val="center"/>
              <w:rPr>
                <w:b/>
                <w:sz w:val="18"/>
                <w:szCs w:val="18"/>
              </w:rPr>
            </w:pPr>
            <w:r w:rsidRPr="00901136">
              <w:rPr>
                <w:b/>
                <w:sz w:val="18"/>
                <w:szCs w:val="18"/>
              </w:rPr>
              <w:t>Medium</w:t>
            </w:r>
          </w:p>
        </w:tc>
      </w:tr>
      <w:tr w:rsidR="00B72640" w:rsidRPr="00D7520A" w:rsidTr="003C4118">
        <w:trPr>
          <w:cantSplit/>
        </w:trPr>
        <w:tc>
          <w:tcPr>
            <w:tcW w:w="1511" w:type="pct"/>
            <w:shd w:val="clear" w:color="auto" w:fill="auto"/>
          </w:tcPr>
          <w:p w:rsidR="00B72640" w:rsidRPr="00901136" w:rsidRDefault="00B72640" w:rsidP="003C4118">
            <w:pPr>
              <w:pStyle w:val="BodyText"/>
              <w:jc w:val="right"/>
              <w:rPr>
                <w:b/>
                <w:sz w:val="18"/>
                <w:szCs w:val="18"/>
              </w:rPr>
            </w:pPr>
            <w:r w:rsidRPr="00901136">
              <w:rPr>
                <w:b/>
                <w:sz w:val="18"/>
                <w:szCs w:val="18"/>
              </w:rPr>
              <w:t>Surrogate species</w:t>
            </w:r>
          </w:p>
        </w:tc>
        <w:tc>
          <w:tcPr>
            <w:tcW w:w="697" w:type="pct"/>
          </w:tcPr>
          <w:p w:rsidR="00B72640" w:rsidRPr="00901136" w:rsidRDefault="00B72640" w:rsidP="003C4118">
            <w:pPr>
              <w:pStyle w:val="BodyText"/>
              <w:jc w:val="center"/>
              <w:rPr>
                <w:sz w:val="18"/>
                <w:szCs w:val="18"/>
              </w:rPr>
            </w:pPr>
            <w:r w:rsidRPr="00901136">
              <w:rPr>
                <w:sz w:val="18"/>
                <w:szCs w:val="18"/>
              </w:rPr>
              <w:t>Chipping sparrow</w:t>
            </w:r>
          </w:p>
        </w:tc>
        <w:tc>
          <w:tcPr>
            <w:tcW w:w="698" w:type="pct"/>
          </w:tcPr>
          <w:p w:rsidR="00B72640" w:rsidRPr="00901136" w:rsidRDefault="00B72640" w:rsidP="003C4118">
            <w:pPr>
              <w:pStyle w:val="BodyText"/>
              <w:jc w:val="center"/>
              <w:rPr>
                <w:sz w:val="18"/>
                <w:szCs w:val="18"/>
              </w:rPr>
            </w:pPr>
            <w:r w:rsidRPr="00901136">
              <w:rPr>
                <w:sz w:val="18"/>
                <w:szCs w:val="18"/>
              </w:rPr>
              <w:t>American goldfinch</w:t>
            </w:r>
          </w:p>
        </w:tc>
        <w:tc>
          <w:tcPr>
            <w:tcW w:w="697" w:type="pct"/>
          </w:tcPr>
          <w:p w:rsidR="00B72640" w:rsidRPr="00901136" w:rsidRDefault="00B72640" w:rsidP="003C4118">
            <w:pPr>
              <w:pStyle w:val="BodyText"/>
              <w:jc w:val="center"/>
              <w:rPr>
                <w:sz w:val="18"/>
                <w:szCs w:val="18"/>
              </w:rPr>
            </w:pPr>
            <w:r w:rsidRPr="00901136">
              <w:rPr>
                <w:sz w:val="18"/>
                <w:szCs w:val="18"/>
              </w:rPr>
              <w:t>Dark-eyed junco</w:t>
            </w:r>
          </w:p>
        </w:tc>
        <w:tc>
          <w:tcPr>
            <w:tcW w:w="698" w:type="pct"/>
          </w:tcPr>
          <w:p w:rsidR="00B72640" w:rsidRPr="00901136" w:rsidRDefault="00B72640" w:rsidP="003C4118">
            <w:pPr>
              <w:pStyle w:val="BodyText"/>
              <w:jc w:val="center"/>
              <w:rPr>
                <w:sz w:val="18"/>
                <w:szCs w:val="18"/>
              </w:rPr>
            </w:pPr>
            <w:r w:rsidRPr="00901136">
              <w:rPr>
                <w:sz w:val="18"/>
                <w:szCs w:val="18"/>
              </w:rPr>
              <w:t>House finch</w:t>
            </w:r>
          </w:p>
        </w:tc>
        <w:tc>
          <w:tcPr>
            <w:tcW w:w="699" w:type="pct"/>
            <w:shd w:val="clear" w:color="auto" w:fill="auto"/>
          </w:tcPr>
          <w:p w:rsidR="00B72640" w:rsidRPr="00901136" w:rsidRDefault="00B72640" w:rsidP="003C4118">
            <w:pPr>
              <w:pStyle w:val="BodyText"/>
              <w:jc w:val="center"/>
              <w:rPr>
                <w:sz w:val="18"/>
                <w:szCs w:val="18"/>
              </w:rPr>
            </w:pPr>
            <w:r w:rsidRPr="00901136">
              <w:rPr>
                <w:sz w:val="18"/>
                <w:szCs w:val="18"/>
              </w:rPr>
              <w:t>Evening grosbeak</w:t>
            </w:r>
          </w:p>
        </w:tc>
      </w:tr>
      <w:tr w:rsidR="00B72640" w:rsidRPr="00D7520A" w:rsidTr="003C4118">
        <w:trPr>
          <w:cantSplit/>
        </w:trPr>
        <w:tc>
          <w:tcPr>
            <w:tcW w:w="1511" w:type="pct"/>
            <w:shd w:val="clear" w:color="auto" w:fill="auto"/>
          </w:tcPr>
          <w:p w:rsidR="00B72640" w:rsidRPr="00901136" w:rsidRDefault="00B72640" w:rsidP="003C4118">
            <w:pPr>
              <w:pStyle w:val="BodyText"/>
              <w:jc w:val="right"/>
              <w:rPr>
                <w:b/>
                <w:sz w:val="18"/>
                <w:szCs w:val="18"/>
              </w:rPr>
            </w:pPr>
            <w:r w:rsidRPr="00901136">
              <w:rPr>
                <w:b/>
                <w:sz w:val="18"/>
                <w:szCs w:val="18"/>
              </w:rPr>
              <w:t>Body weight (kg)</w:t>
            </w:r>
          </w:p>
        </w:tc>
        <w:tc>
          <w:tcPr>
            <w:tcW w:w="697" w:type="pct"/>
          </w:tcPr>
          <w:p w:rsidR="00B72640" w:rsidRPr="00901136" w:rsidRDefault="00B72640" w:rsidP="003C4118">
            <w:pPr>
              <w:pStyle w:val="BodyText"/>
              <w:jc w:val="center"/>
              <w:rPr>
                <w:sz w:val="18"/>
                <w:szCs w:val="18"/>
              </w:rPr>
            </w:pPr>
            <w:r w:rsidRPr="00901136">
              <w:rPr>
                <w:sz w:val="18"/>
                <w:szCs w:val="18"/>
              </w:rPr>
              <w:t>0.013</w:t>
            </w:r>
          </w:p>
        </w:tc>
        <w:tc>
          <w:tcPr>
            <w:tcW w:w="698" w:type="pct"/>
          </w:tcPr>
          <w:p w:rsidR="00B72640" w:rsidRPr="00901136" w:rsidRDefault="00B72640" w:rsidP="003C4118">
            <w:pPr>
              <w:pStyle w:val="BodyText"/>
              <w:jc w:val="center"/>
              <w:rPr>
                <w:sz w:val="18"/>
                <w:szCs w:val="18"/>
              </w:rPr>
            </w:pPr>
            <w:r w:rsidRPr="00901136">
              <w:rPr>
                <w:sz w:val="18"/>
                <w:szCs w:val="18"/>
              </w:rPr>
              <w:t>0.013</w:t>
            </w:r>
          </w:p>
        </w:tc>
        <w:tc>
          <w:tcPr>
            <w:tcW w:w="697" w:type="pct"/>
          </w:tcPr>
          <w:p w:rsidR="00B72640" w:rsidRPr="00901136" w:rsidRDefault="00B72640" w:rsidP="003C4118">
            <w:pPr>
              <w:pStyle w:val="BodyText"/>
              <w:jc w:val="center"/>
              <w:rPr>
                <w:sz w:val="18"/>
                <w:szCs w:val="18"/>
              </w:rPr>
            </w:pPr>
            <w:r w:rsidRPr="00901136">
              <w:rPr>
                <w:sz w:val="18"/>
                <w:szCs w:val="18"/>
              </w:rPr>
              <w:t>0.020</w:t>
            </w:r>
          </w:p>
        </w:tc>
        <w:tc>
          <w:tcPr>
            <w:tcW w:w="698" w:type="pct"/>
          </w:tcPr>
          <w:p w:rsidR="00B72640" w:rsidRPr="00901136" w:rsidRDefault="00B72640" w:rsidP="003C4118">
            <w:pPr>
              <w:pStyle w:val="BodyText"/>
              <w:jc w:val="center"/>
              <w:rPr>
                <w:sz w:val="18"/>
                <w:szCs w:val="18"/>
              </w:rPr>
            </w:pPr>
            <w:r w:rsidRPr="00901136">
              <w:rPr>
                <w:sz w:val="18"/>
                <w:szCs w:val="18"/>
              </w:rPr>
              <w:t>0.021</w:t>
            </w:r>
          </w:p>
        </w:tc>
        <w:tc>
          <w:tcPr>
            <w:tcW w:w="699" w:type="pct"/>
            <w:shd w:val="clear" w:color="auto" w:fill="auto"/>
          </w:tcPr>
          <w:p w:rsidR="00B72640" w:rsidRPr="00901136" w:rsidRDefault="00B72640" w:rsidP="003C4118">
            <w:pPr>
              <w:pStyle w:val="BodyText"/>
              <w:jc w:val="center"/>
              <w:rPr>
                <w:sz w:val="18"/>
                <w:szCs w:val="18"/>
              </w:rPr>
            </w:pPr>
            <w:r w:rsidRPr="00901136">
              <w:rPr>
                <w:sz w:val="18"/>
                <w:szCs w:val="18"/>
              </w:rPr>
              <w:t>0.055</w:t>
            </w:r>
          </w:p>
        </w:tc>
      </w:tr>
      <w:tr w:rsidR="00B72640" w:rsidRPr="00D7520A" w:rsidTr="003C4118">
        <w:trPr>
          <w:cantSplit/>
        </w:trPr>
        <w:tc>
          <w:tcPr>
            <w:tcW w:w="1511" w:type="pct"/>
            <w:shd w:val="clear" w:color="auto" w:fill="auto"/>
          </w:tcPr>
          <w:p w:rsidR="00B72640" w:rsidRPr="00901136" w:rsidRDefault="00B72640" w:rsidP="003C4118">
            <w:pPr>
              <w:pStyle w:val="BodyText"/>
              <w:jc w:val="right"/>
              <w:rPr>
                <w:b/>
                <w:sz w:val="18"/>
                <w:szCs w:val="18"/>
              </w:rPr>
            </w:pPr>
            <w:r w:rsidRPr="00901136">
              <w:rPr>
                <w:b/>
                <w:sz w:val="18"/>
                <w:szCs w:val="18"/>
              </w:rPr>
              <w:t>Max seed size for bird (mg)</w:t>
            </w:r>
          </w:p>
        </w:tc>
        <w:tc>
          <w:tcPr>
            <w:tcW w:w="697" w:type="pct"/>
          </w:tcPr>
          <w:p w:rsidR="00B72640" w:rsidRPr="00901136" w:rsidRDefault="00B72640" w:rsidP="003C4118">
            <w:pPr>
              <w:pStyle w:val="BodyText"/>
              <w:jc w:val="center"/>
              <w:rPr>
                <w:sz w:val="18"/>
                <w:szCs w:val="18"/>
              </w:rPr>
            </w:pPr>
            <w:r w:rsidRPr="00901136">
              <w:rPr>
                <w:sz w:val="18"/>
                <w:szCs w:val="18"/>
              </w:rPr>
              <w:t>4.0</w:t>
            </w:r>
          </w:p>
        </w:tc>
        <w:tc>
          <w:tcPr>
            <w:tcW w:w="698" w:type="pct"/>
          </w:tcPr>
          <w:p w:rsidR="00B72640" w:rsidRPr="00901136" w:rsidRDefault="00B72640" w:rsidP="003C4118">
            <w:pPr>
              <w:pStyle w:val="BodyText"/>
              <w:jc w:val="center"/>
              <w:rPr>
                <w:sz w:val="18"/>
                <w:szCs w:val="18"/>
              </w:rPr>
            </w:pPr>
            <w:r w:rsidRPr="00901136">
              <w:rPr>
                <w:sz w:val="18"/>
                <w:szCs w:val="18"/>
              </w:rPr>
              <w:t>60</w:t>
            </w:r>
          </w:p>
        </w:tc>
        <w:tc>
          <w:tcPr>
            <w:tcW w:w="697" w:type="pct"/>
          </w:tcPr>
          <w:p w:rsidR="00B72640" w:rsidRPr="00901136" w:rsidRDefault="00B72640" w:rsidP="003C4118">
            <w:pPr>
              <w:pStyle w:val="BodyText"/>
              <w:jc w:val="center"/>
              <w:rPr>
                <w:sz w:val="18"/>
                <w:szCs w:val="18"/>
              </w:rPr>
            </w:pPr>
            <w:r w:rsidRPr="00901136">
              <w:rPr>
                <w:sz w:val="18"/>
                <w:szCs w:val="18"/>
              </w:rPr>
              <w:t>1.5</w:t>
            </w:r>
          </w:p>
        </w:tc>
        <w:tc>
          <w:tcPr>
            <w:tcW w:w="698" w:type="pct"/>
          </w:tcPr>
          <w:p w:rsidR="00B72640" w:rsidRPr="00901136" w:rsidRDefault="00B72640" w:rsidP="003C4118">
            <w:pPr>
              <w:pStyle w:val="BodyText"/>
              <w:jc w:val="center"/>
              <w:rPr>
                <w:sz w:val="18"/>
                <w:szCs w:val="18"/>
              </w:rPr>
            </w:pPr>
            <w:r w:rsidRPr="00901136">
              <w:rPr>
                <w:sz w:val="18"/>
                <w:szCs w:val="18"/>
              </w:rPr>
              <w:t>70</w:t>
            </w:r>
          </w:p>
        </w:tc>
        <w:tc>
          <w:tcPr>
            <w:tcW w:w="699" w:type="pct"/>
            <w:shd w:val="clear" w:color="auto" w:fill="auto"/>
          </w:tcPr>
          <w:p w:rsidR="00B72640" w:rsidRPr="00901136" w:rsidRDefault="00B72640" w:rsidP="003C4118">
            <w:pPr>
              <w:pStyle w:val="BodyText"/>
              <w:jc w:val="center"/>
              <w:rPr>
                <w:sz w:val="18"/>
                <w:szCs w:val="18"/>
              </w:rPr>
            </w:pPr>
            <w:r w:rsidRPr="00901136">
              <w:rPr>
                <w:sz w:val="18"/>
                <w:szCs w:val="18"/>
              </w:rPr>
              <w:t>120</w:t>
            </w:r>
          </w:p>
        </w:tc>
      </w:tr>
      <w:tr w:rsidR="00B72640" w:rsidRPr="00D7520A" w:rsidTr="003C4118">
        <w:trPr>
          <w:cantSplit/>
        </w:trPr>
        <w:tc>
          <w:tcPr>
            <w:tcW w:w="1511" w:type="pct"/>
            <w:shd w:val="clear" w:color="auto" w:fill="auto"/>
          </w:tcPr>
          <w:p w:rsidR="00B72640" w:rsidRPr="00901136" w:rsidRDefault="00B72640" w:rsidP="003C4118">
            <w:pPr>
              <w:pStyle w:val="BodyText"/>
              <w:jc w:val="right"/>
              <w:rPr>
                <w:b/>
                <w:sz w:val="18"/>
                <w:szCs w:val="18"/>
              </w:rPr>
            </w:pPr>
            <w:r w:rsidRPr="00901136">
              <w:rPr>
                <w:b/>
                <w:sz w:val="18"/>
                <w:szCs w:val="18"/>
              </w:rPr>
              <w:t>Seed size (mg)</w:t>
            </w:r>
          </w:p>
        </w:tc>
        <w:tc>
          <w:tcPr>
            <w:tcW w:w="697" w:type="pct"/>
          </w:tcPr>
          <w:p w:rsidR="00B72640" w:rsidRPr="00901136" w:rsidRDefault="00B72640" w:rsidP="003C4118">
            <w:pPr>
              <w:pStyle w:val="BodyText"/>
              <w:jc w:val="center"/>
              <w:rPr>
                <w:sz w:val="18"/>
                <w:szCs w:val="18"/>
              </w:rPr>
            </w:pPr>
          </w:p>
        </w:tc>
        <w:tc>
          <w:tcPr>
            <w:tcW w:w="698" w:type="pct"/>
          </w:tcPr>
          <w:p w:rsidR="00B72640" w:rsidRPr="00901136" w:rsidRDefault="00B72640" w:rsidP="003C4118">
            <w:pPr>
              <w:pStyle w:val="BodyText"/>
              <w:jc w:val="center"/>
              <w:rPr>
                <w:sz w:val="18"/>
                <w:szCs w:val="18"/>
              </w:rPr>
            </w:pPr>
          </w:p>
        </w:tc>
        <w:tc>
          <w:tcPr>
            <w:tcW w:w="697" w:type="pct"/>
          </w:tcPr>
          <w:p w:rsidR="00B72640" w:rsidRPr="00901136" w:rsidRDefault="00B72640" w:rsidP="003C4118">
            <w:pPr>
              <w:pStyle w:val="BodyText"/>
              <w:jc w:val="center"/>
              <w:rPr>
                <w:sz w:val="18"/>
                <w:szCs w:val="18"/>
              </w:rPr>
            </w:pPr>
          </w:p>
        </w:tc>
        <w:tc>
          <w:tcPr>
            <w:tcW w:w="698" w:type="pct"/>
          </w:tcPr>
          <w:p w:rsidR="00B72640" w:rsidRPr="00901136" w:rsidRDefault="00B72640" w:rsidP="003C4118">
            <w:pPr>
              <w:pStyle w:val="BodyText"/>
              <w:jc w:val="center"/>
              <w:rPr>
                <w:sz w:val="18"/>
                <w:szCs w:val="18"/>
              </w:rPr>
            </w:pPr>
          </w:p>
        </w:tc>
        <w:tc>
          <w:tcPr>
            <w:tcW w:w="699" w:type="pct"/>
            <w:shd w:val="clear" w:color="auto" w:fill="auto"/>
          </w:tcPr>
          <w:p w:rsidR="00B72640" w:rsidRPr="00901136" w:rsidRDefault="00B72640" w:rsidP="003C4118">
            <w:pPr>
              <w:pStyle w:val="BodyText"/>
              <w:jc w:val="center"/>
              <w:rPr>
                <w:sz w:val="18"/>
                <w:szCs w:val="18"/>
              </w:rPr>
            </w:pPr>
          </w:p>
        </w:tc>
      </w:tr>
      <w:tr w:rsidR="00B72640" w:rsidRPr="00D7520A" w:rsidTr="003C4118">
        <w:trPr>
          <w:cantSplit/>
        </w:trPr>
        <w:tc>
          <w:tcPr>
            <w:tcW w:w="1511" w:type="pct"/>
            <w:shd w:val="clear" w:color="auto" w:fill="auto"/>
          </w:tcPr>
          <w:p w:rsidR="00B72640" w:rsidRPr="00901136" w:rsidRDefault="00B72640" w:rsidP="003C4118">
            <w:pPr>
              <w:pStyle w:val="BodyText"/>
              <w:jc w:val="right"/>
              <w:rPr>
                <w:b/>
                <w:sz w:val="18"/>
                <w:szCs w:val="18"/>
              </w:rPr>
            </w:pPr>
            <w:r w:rsidRPr="00901136">
              <w:rPr>
                <w:b/>
                <w:sz w:val="18"/>
                <w:szCs w:val="18"/>
              </w:rPr>
              <w:t>Seed loading (mg acs/seed)</w:t>
            </w:r>
          </w:p>
        </w:tc>
        <w:tc>
          <w:tcPr>
            <w:tcW w:w="697" w:type="pct"/>
          </w:tcPr>
          <w:p w:rsidR="00B72640" w:rsidRPr="00901136" w:rsidRDefault="00B72640" w:rsidP="003C4118">
            <w:pPr>
              <w:pStyle w:val="BodyText"/>
              <w:jc w:val="center"/>
              <w:rPr>
                <w:sz w:val="18"/>
                <w:szCs w:val="18"/>
              </w:rPr>
            </w:pPr>
          </w:p>
        </w:tc>
        <w:tc>
          <w:tcPr>
            <w:tcW w:w="698" w:type="pct"/>
          </w:tcPr>
          <w:p w:rsidR="00B72640" w:rsidRPr="00901136" w:rsidRDefault="00B72640" w:rsidP="003C4118">
            <w:pPr>
              <w:pStyle w:val="BodyText"/>
              <w:jc w:val="center"/>
              <w:rPr>
                <w:sz w:val="18"/>
                <w:szCs w:val="18"/>
              </w:rPr>
            </w:pPr>
          </w:p>
        </w:tc>
        <w:tc>
          <w:tcPr>
            <w:tcW w:w="697" w:type="pct"/>
          </w:tcPr>
          <w:p w:rsidR="00B72640" w:rsidRPr="00901136" w:rsidRDefault="00B72640" w:rsidP="003C4118">
            <w:pPr>
              <w:pStyle w:val="BodyText"/>
              <w:jc w:val="center"/>
              <w:rPr>
                <w:sz w:val="18"/>
                <w:szCs w:val="18"/>
              </w:rPr>
            </w:pPr>
          </w:p>
        </w:tc>
        <w:tc>
          <w:tcPr>
            <w:tcW w:w="698" w:type="pct"/>
          </w:tcPr>
          <w:p w:rsidR="00B72640" w:rsidRPr="00901136" w:rsidRDefault="00B72640" w:rsidP="003C4118">
            <w:pPr>
              <w:pStyle w:val="BodyText"/>
              <w:jc w:val="center"/>
              <w:rPr>
                <w:sz w:val="18"/>
                <w:szCs w:val="18"/>
              </w:rPr>
            </w:pPr>
          </w:p>
        </w:tc>
        <w:tc>
          <w:tcPr>
            <w:tcW w:w="699" w:type="pct"/>
            <w:shd w:val="clear" w:color="auto" w:fill="auto"/>
          </w:tcPr>
          <w:p w:rsidR="00B72640" w:rsidRPr="00901136" w:rsidRDefault="00B72640" w:rsidP="003C4118">
            <w:pPr>
              <w:pStyle w:val="BodyText"/>
              <w:jc w:val="center"/>
              <w:rPr>
                <w:sz w:val="18"/>
                <w:szCs w:val="18"/>
              </w:rPr>
            </w:pPr>
          </w:p>
        </w:tc>
      </w:tr>
      <w:tr w:rsidR="00B72640" w:rsidRPr="00D7520A" w:rsidTr="003C4118">
        <w:trPr>
          <w:cantSplit/>
        </w:trPr>
        <w:tc>
          <w:tcPr>
            <w:tcW w:w="1511" w:type="pct"/>
            <w:shd w:val="clear" w:color="auto" w:fill="auto"/>
          </w:tcPr>
          <w:p w:rsidR="00B72640" w:rsidRPr="00901136" w:rsidRDefault="00B72640" w:rsidP="003C4118">
            <w:pPr>
              <w:pStyle w:val="BodyText"/>
              <w:jc w:val="right"/>
              <w:rPr>
                <w:b/>
                <w:sz w:val="18"/>
                <w:szCs w:val="18"/>
              </w:rPr>
            </w:pPr>
            <w:r w:rsidRPr="00901136">
              <w:rPr>
                <w:b/>
                <w:sz w:val="18"/>
                <w:szCs w:val="18"/>
              </w:rPr>
              <w:t>Exposure</w:t>
            </w:r>
          </w:p>
        </w:tc>
        <w:tc>
          <w:tcPr>
            <w:tcW w:w="697" w:type="pct"/>
          </w:tcPr>
          <w:p w:rsidR="00B72640" w:rsidRPr="00901136" w:rsidRDefault="00B72640" w:rsidP="003C4118">
            <w:pPr>
              <w:pStyle w:val="BodyText"/>
              <w:jc w:val="center"/>
              <w:rPr>
                <w:sz w:val="18"/>
                <w:szCs w:val="18"/>
              </w:rPr>
            </w:pPr>
          </w:p>
        </w:tc>
        <w:tc>
          <w:tcPr>
            <w:tcW w:w="698" w:type="pct"/>
          </w:tcPr>
          <w:p w:rsidR="00B72640" w:rsidRPr="00901136" w:rsidRDefault="00B72640" w:rsidP="003C4118">
            <w:pPr>
              <w:pStyle w:val="BodyText"/>
              <w:jc w:val="center"/>
              <w:rPr>
                <w:sz w:val="18"/>
                <w:szCs w:val="18"/>
              </w:rPr>
            </w:pPr>
          </w:p>
        </w:tc>
        <w:tc>
          <w:tcPr>
            <w:tcW w:w="697" w:type="pct"/>
          </w:tcPr>
          <w:p w:rsidR="00B72640" w:rsidRPr="00901136" w:rsidRDefault="00B72640" w:rsidP="003C4118">
            <w:pPr>
              <w:pStyle w:val="BodyText"/>
              <w:jc w:val="center"/>
              <w:rPr>
                <w:sz w:val="18"/>
                <w:szCs w:val="18"/>
              </w:rPr>
            </w:pPr>
          </w:p>
        </w:tc>
        <w:tc>
          <w:tcPr>
            <w:tcW w:w="698" w:type="pct"/>
          </w:tcPr>
          <w:p w:rsidR="00B72640" w:rsidRPr="00901136" w:rsidRDefault="00B72640" w:rsidP="003C4118">
            <w:pPr>
              <w:pStyle w:val="BodyText"/>
              <w:jc w:val="center"/>
              <w:rPr>
                <w:sz w:val="18"/>
                <w:szCs w:val="18"/>
              </w:rPr>
            </w:pPr>
          </w:p>
        </w:tc>
        <w:tc>
          <w:tcPr>
            <w:tcW w:w="699" w:type="pct"/>
            <w:shd w:val="clear" w:color="auto" w:fill="auto"/>
          </w:tcPr>
          <w:p w:rsidR="00B72640" w:rsidRPr="00901136" w:rsidRDefault="00B72640" w:rsidP="003C4118">
            <w:pPr>
              <w:pStyle w:val="BodyText"/>
              <w:jc w:val="center"/>
              <w:rPr>
                <w:sz w:val="18"/>
                <w:szCs w:val="18"/>
              </w:rPr>
            </w:pPr>
          </w:p>
        </w:tc>
      </w:tr>
      <w:tr w:rsidR="00B72640" w:rsidRPr="00D7520A" w:rsidTr="003C4118">
        <w:trPr>
          <w:cantSplit/>
        </w:trPr>
        <w:tc>
          <w:tcPr>
            <w:tcW w:w="1511" w:type="pct"/>
            <w:shd w:val="clear" w:color="auto" w:fill="auto"/>
          </w:tcPr>
          <w:p w:rsidR="00B72640" w:rsidRPr="00901136" w:rsidRDefault="00B72640" w:rsidP="003C4118">
            <w:pPr>
              <w:pStyle w:val="BodyText"/>
              <w:jc w:val="right"/>
              <w:rPr>
                <w:b/>
                <w:sz w:val="18"/>
                <w:szCs w:val="18"/>
              </w:rPr>
            </w:pPr>
            <w:r w:rsidRPr="00901136">
              <w:rPr>
                <w:b/>
                <w:sz w:val="18"/>
                <w:szCs w:val="18"/>
              </w:rPr>
              <w:t>RAD (mg acs/kg bw)</w:t>
            </w:r>
          </w:p>
        </w:tc>
        <w:tc>
          <w:tcPr>
            <w:tcW w:w="697" w:type="pct"/>
          </w:tcPr>
          <w:p w:rsidR="00B72640" w:rsidRPr="00901136" w:rsidRDefault="00B72640" w:rsidP="003C4118">
            <w:pPr>
              <w:pStyle w:val="BodyText"/>
              <w:jc w:val="center"/>
              <w:rPr>
                <w:sz w:val="18"/>
                <w:szCs w:val="18"/>
              </w:rPr>
            </w:pPr>
          </w:p>
        </w:tc>
        <w:tc>
          <w:tcPr>
            <w:tcW w:w="698" w:type="pct"/>
          </w:tcPr>
          <w:p w:rsidR="00B72640" w:rsidRPr="00901136" w:rsidRDefault="00B72640" w:rsidP="003C4118">
            <w:pPr>
              <w:pStyle w:val="BodyText"/>
              <w:jc w:val="center"/>
              <w:rPr>
                <w:sz w:val="18"/>
                <w:szCs w:val="18"/>
              </w:rPr>
            </w:pPr>
          </w:p>
        </w:tc>
        <w:tc>
          <w:tcPr>
            <w:tcW w:w="697" w:type="pct"/>
          </w:tcPr>
          <w:p w:rsidR="00B72640" w:rsidRPr="00901136" w:rsidRDefault="00B72640" w:rsidP="003C4118">
            <w:pPr>
              <w:pStyle w:val="BodyText"/>
              <w:jc w:val="center"/>
              <w:rPr>
                <w:sz w:val="18"/>
                <w:szCs w:val="18"/>
              </w:rPr>
            </w:pPr>
          </w:p>
        </w:tc>
        <w:tc>
          <w:tcPr>
            <w:tcW w:w="698" w:type="pct"/>
          </w:tcPr>
          <w:p w:rsidR="00B72640" w:rsidRPr="00901136" w:rsidRDefault="00B72640" w:rsidP="003C4118">
            <w:pPr>
              <w:pStyle w:val="BodyText"/>
              <w:jc w:val="center"/>
              <w:rPr>
                <w:sz w:val="18"/>
                <w:szCs w:val="18"/>
              </w:rPr>
            </w:pPr>
          </w:p>
        </w:tc>
        <w:tc>
          <w:tcPr>
            <w:tcW w:w="699" w:type="pct"/>
            <w:shd w:val="clear" w:color="auto" w:fill="auto"/>
          </w:tcPr>
          <w:p w:rsidR="00B72640" w:rsidRPr="00901136" w:rsidRDefault="00B72640" w:rsidP="003C4118">
            <w:pPr>
              <w:pStyle w:val="BodyText"/>
              <w:jc w:val="center"/>
              <w:rPr>
                <w:sz w:val="18"/>
                <w:szCs w:val="18"/>
              </w:rPr>
            </w:pPr>
          </w:p>
        </w:tc>
      </w:tr>
      <w:tr w:rsidR="00B72640" w:rsidRPr="00D7520A" w:rsidTr="003C4118">
        <w:trPr>
          <w:cantSplit/>
        </w:trPr>
        <w:tc>
          <w:tcPr>
            <w:tcW w:w="1511" w:type="pct"/>
            <w:shd w:val="clear" w:color="auto" w:fill="auto"/>
          </w:tcPr>
          <w:p w:rsidR="00B72640" w:rsidRPr="00901136" w:rsidRDefault="00B72640" w:rsidP="003C4118">
            <w:pPr>
              <w:pStyle w:val="BodyText"/>
              <w:jc w:val="right"/>
              <w:rPr>
                <w:b/>
                <w:sz w:val="18"/>
                <w:szCs w:val="18"/>
              </w:rPr>
            </w:pPr>
            <w:r w:rsidRPr="00901136">
              <w:rPr>
                <w:b/>
                <w:sz w:val="18"/>
                <w:szCs w:val="18"/>
              </w:rPr>
              <w:t>Seed</w:t>
            </w:r>
            <w:r w:rsidRPr="00901136">
              <w:rPr>
                <w:b/>
                <w:sz w:val="18"/>
                <w:szCs w:val="18"/>
                <w:vertAlign w:val="subscript"/>
              </w:rPr>
              <w:t>concern</w:t>
            </w:r>
            <w:r w:rsidRPr="00901136">
              <w:rPr>
                <w:b/>
                <w:sz w:val="18"/>
                <w:szCs w:val="18"/>
              </w:rPr>
              <w:t xml:space="preserve"> (number of seeds)</w:t>
            </w:r>
          </w:p>
        </w:tc>
        <w:tc>
          <w:tcPr>
            <w:tcW w:w="697" w:type="pct"/>
          </w:tcPr>
          <w:p w:rsidR="00B72640" w:rsidRPr="00901136" w:rsidRDefault="00B72640" w:rsidP="003C4118">
            <w:pPr>
              <w:pStyle w:val="BodyText"/>
              <w:jc w:val="center"/>
              <w:rPr>
                <w:sz w:val="18"/>
                <w:szCs w:val="18"/>
              </w:rPr>
            </w:pPr>
          </w:p>
        </w:tc>
        <w:tc>
          <w:tcPr>
            <w:tcW w:w="698" w:type="pct"/>
          </w:tcPr>
          <w:p w:rsidR="00B72640" w:rsidRPr="00901136" w:rsidRDefault="00B72640" w:rsidP="003C4118">
            <w:pPr>
              <w:pStyle w:val="BodyText"/>
              <w:jc w:val="center"/>
              <w:rPr>
                <w:sz w:val="18"/>
                <w:szCs w:val="18"/>
              </w:rPr>
            </w:pPr>
          </w:p>
        </w:tc>
        <w:tc>
          <w:tcPr>
            <w:tcW w:w="697" w:type="pct"/>
          </w:tcPr>
          <w:p w:rsidR="00B72640" w:rsidRPr="00901136" w:rsidRDefault="00B72640" w:rsidP="003C4118">
            <w:pPr>
              <w:pStyle w:val="BodyText"/>
              <w:jc w:val="center"/>
              <w:rPr>
                <w:sz w:val="18"/>
                <w:szCs w:val="18"/>
              </w:rPr>
            </w:pPr>
          </w:p>
        </w:tc>
        <w:tc>
          <w:tcPr>
            <w:tcW w:w="698" w:type="pct"/>
          </w:tcPr>
          <w:p w:rsidR="00B72640" w:rsidRPr="00901136" w:rsidRDefault="00B72640" w:rsidP="003C4118">
            <w:pPr>
              <w:pStyle w:val="BodyText"/>
              <w:jc w:val="center"/>
              <w:rPr>
                <w:sz w:val="18"/>
                <w:szCs w:val="18"/>
              </w:rPr>
            </w:pPr>
          </w:p>
        </w:tc>
        <w:tc>
          <w:tcPr>
            <w:tcW w:w="699" w:type="pct"/>
            <w:shd w:val="clear" w:color="auto" w:fill="auto"/>
          </w:tcPr>
          <w:p w:rsidR="00B72640" w:rsidRPr="00901136" w:rsidRDefault="00B72640" w:rsidP="003C4118">
            <w:pPr>
              <w:pStyle w:val="BodyText"/>
              <w:jc w:val="center"/>
              <w:rPr>
                <w:sz w:val="18"/>
                <w:szCs w:val="18"/>
              </w:rPr>
            </w:pPr>
          </w:p>
        </w:tc>
      </w:tr>
      <w:tr w:rsidR="00B72640" w:rsidRPr="00D7520A" w:rsidTr="003C4118">
        <w:trPr>
          <w:cantSplit/>
        </w:trPr>
        <w:tc>
          <w:tcPr>
            <w:tcW w:w="1511" w:type="pct"/>
            <w:shd w:val="clear" w:color="auto" w:fill="auto"/>
          </w:tcPr>
          <w:p w:rsidR="00B72640" w:rsidRPr="00901136" w:rsidRDefault="00B72640" w:rsidP="003C4118">
            <w:pPr>
              <w:pStyle w:val="BodyText"/>
              <w:jc w:val="right"/>
              <w:rPr>
                <w:b/>
                <w:sz w:val="18"/>
                <w:szCs w:val="18"/>
              </w:rPr>
            </w:pPr>
            <w:r w:rsidRPr="00901136">
              <w:rPr>
                <w:b/>
                <w:sz w:val="18"/>
                <w:szCs w:val="18"/>
              </w:rPr>
              <w:t>X (unitless)</w:t>
            </w:r>
          </w:p>
        </w:tc>
        <w:tc>
          <w:tcPr>
            <w:tcW w:w="697" w:type="pct"/>
          </w:tcPr>
          <w:p w:rsidR="00B72640" w:rsidRPr="00901136" w:rsidRDefault="00B72640" w:rsidP="003C4118">
            <w:pPr>
              <w:pStyle w:val="BodyText"/>
              <w:jc w:val="center"/>
              <w:rPr>
                <w:sz w:val="18"/>
                <w:szCs w:val="18"/>
              </w:rPr>
            </w:pPr>
            <w:r>
              <w:rPr>
                <w:sz w:val="18"/>
                <w:szCs w:val="18"/>
              </w:rPr>
              <w:t>-1.18</w:t>
            </w:r>
          </w:p>
        </w:tc>
        <w:tc>
          <w:tcPr>
            <w:tcW w:w="698" w:type="pct"/>
          </w:tcPr>
          <w:p w:rsidR="00B72640" w:rsidRPr="00901136" w:rsidRDefault="00B72640" w:rsidP="003C4118">
            <w:pPr>
              <w:pStyle w:val="BodyText"/>
              <w:jc w:val="center"/>
              <w:rPr>
                <w:sz w:val="18"/>
                <w:szCs w:val="18"/>
              </w:rPr>
            </w:pPr>
            <w:r>
              <w:rPr>
                <w:sz w:val="18"/>
                <w:szCs w:val="18"/>
              </w:rPr>
              <w:t>1.13</w:t>
            </w:r>
          </w:p>
        </w:tc>
        <w:tc>
          <w:tcPr>
            <w:tcW w:w="697" w:type="pct"/>
          </w:tcPr>
          <w:p w:rsidR="00B72640" w:rsidRPr="00901136" w:rsidRDefault="00B72640" w:rsidP="003C4118">
            <w:pPr>
              <w:pStyle w:val="BodyText"/>
              <w:jc w:val="center"/>
              <w:rPr>
                <w:sz w:val="18"/>
                <w:szCs w:val="18"/>
              </w:rPr>
            </w:pPr>
            <w:r>
              <w:rPr>
                <w:sz w:val="18"/>
                <w:szCs w:val="18"/>
              </w:rPr>
              <w:t>-0.49</w:t>
            </w:r>
          </w:p>
        </w:tc>
        <w:tc>
          <w:tcPr>
            <w:tcW w:w="698" w:type="pct"/>
          </w:tcPr>
          <w:p w:rsidR="00B72640" w:rsidRPr="00901136" w:rsidRDefault="00B72640" w:rsidP="003C4118">
            <w:pPr>
              <w:pStyle w:val="BodyText"/>
              <w:jc w:val="center"/>
              <w:rPr>
                <w:sz w:val="18"/>
                <w:szCs w:val="18"/>
              </w:rPr>
            </w:pPr>
            <w:r>
              <w:rPr>
                <w:sz w:val="18"/>
                <w:szCs w:val="18"/>
              </w:rPr>
              <w:t>1.41</w:t>
            </w:r>
          </w:p>
        </w:tc>
        <w:tc>
          <w:tcPr>
            <w:tcW w:w="699" w:type="pct"/>
            <w:shd w:val="clear" w:color="auto" w:fill="auto"/>
          </w:tcPr>
          <w:p w:rsidR="00B72640" w:rsidRPr="00901136" w:rsidRDefault="00B72640" w:rsidP="003C4118">
            <w:pPr>
              <w:pStyle w:val="BodyText"/>
              <w:jc w:val="center"/>
              <w:rPr>
                <w:sz w:val="18"/>
                <w:szCs w:val="18"/>
              </w:rPr>
            </w:pPr>
            <w:r w:rsidRPr="00901136">
              <w:rPr>
                <w:sz w:val="18"/>
                <w:szCs w:val="18"/>
              </w:rPr>
              <w:t>1.54</w:t>
            </w:r>
          </w:p>
        </w:tc>
      </w:tr>
      <w:tr w:rsidR="00B72640" w:rsidRPr="00D7520A" w:rsidTr="003C4118">
        <w:trPr>
          <w:cantSplit/>
        </w:trPr>
        <w:tc>
          <w:tcPr>
            <w:tcW w:w="1511" w:type="pct"/>
            <w:shd w:val="clear" w:color="auto" w:fill="auto"/>
          </w:tcPr>
          <w:p w:rsidR="00B72640" w:rsidRPr="00901136" w:rsidRDefault="00B72640" w:rsidP="003C4118">
            <w:pPr>
              <w:pStyle w:val="BodyText"/>
              <w:jc w:val="right"/>
              <w:rPr>
                <w:b/>
                <w:sz w:val="18"/>
                <w:szCs w:val="18"/>
              </w:rPr>
            </w:pPr>
            <w:r w:rsidRPr="00901136">
              <w:rPr>
                <w:b/>
                <w:sz w:val="18"/>
                <w:szCs w:val="18"/>
              </w:rPr>
              <w:t>Y (unitless)</w:t>
            </w:r>
          </w:p>
        </w:tc>
        <w:tc>
          <w:tcPr>
            <w:tcW w:w="697" w:type="pct"/>
          </w:tcPr>
          <w:p w:rsidR="00B72640" w:rsidRPr="00901136" w:rsidRDefault="00B72640" w:rsidP="003C4118">
            <w:pPr>
              <w:pStyle w:val="BodyText"/>
              <w:jc w:val="center"/>
              <w:rPr>
                <w:sz w:val="18"/>
                <w:szCs w:val="18"/>
              </w:rPr>
            </w:pPr>
            <w:r>
              <w:rPr>
                <w:sz w:val="18"/>
                <w:szCs w:val="18"/>
              </w:rPr>
              <w:t>3.26</w:t>
            </w:r>
          </w:p>
        </w:tc>
        <w:tc>
          <w:tcPr>
            <w:tcW w:w="698" w:type="pct"/>
          </w:tcPr>
          <w:p w:rsidR="00B72640" w:rsidRPr="00901136" w:rsidRDefault="00B72640" w:rsidP="003C4118">
            <w:pPr>
              <w:pStyle w:val="BodyText"/>
              <w:jc w:val="center"/>
              <w:rPr>
                <w:sz w:val="18"/>
                <w:szCs w:val="18"/>
              </w:rPr>
            </w:pPr>
            <w:r>
              <w:rPr>
                <w:sz w:val="18"/>
                <w:szCs w:val="18"/>
              </w:rPr>
              <w:t>0.12</w:t>
            </w:r>
          </w:p>
        </w:tc>
        <w:tc>
          <w:tcPr>
            <w:tcW w:w="697" w:type="pct"/>
          </w:tcPr>
          <w:p w:rsidR="00B72640" w:rsidRPr="00901136" w:rsidRDefault="00B72640" w:rsidP="003C4118">
            <w:pPr>
              <w:pStyle w:val="BodyText"/>
              <w:jc w:val="center"/>
              <w:rPr>
                <w:sz w:val="18"/>
                <w:szCs w:val="18"/>
              </w:rPr>
            </w:pPr>
            <w:r>
              <w:rPr>
                <w:sz w:val="18"/>
                <w:szCs w:val="18"/>
              </w:rPr>
              <w:t>1.60</w:t>
            </w:r>
          </w:p>
        </w:tc>
        <w:tc>
          <w:tcPr>
            <w:tcW w:w="698" w:type="pct"/>
          </w:tcPr>
          <w:p w:rsidR="00B72640" w:rsidRPr="00901136" w:rsidRDefault="00B72640" w:rsidP="003C4118">
            <w:pPr>
              <w:pStyle w:val="BodyText"/>
              <w:jc w:val="center"/>
              <w:rPr>
                <w:sz w:val="18"/>
                <w:szCs w:val="18"/>
              </w:rPr>
            </w:pPr>
            <w:r>
              <w:rPr>
                <w:sz w:val="18"/>
                <w:szCs w:val="18"/>
              </w:rPr>
              <w:t>0.03</w:t>
            </w:r>
          </w:p>
        </w:tc>
        <w:tc>
          <w:tcPr>
            <w:tcW w:w="699" w:type="pct"/>
            <w:shd w:val="clear" w:color="auto" w:fill="auto"/>
          </w:tcPr>
          <w:p w:rsidR="00B72640" w:rsidRPr="00901136" w:rsidRDefault="00B72640" w:rsidP="003C4118">
            <w:pPr>
              <w:pStyle w:val="BodyText"/>
              <w:jc w:val="center"/>
              <w:rPr>
                <w:sz w:val="18"/>
                <w:szCs w:val="18"/>
              </w:rPr>
            </w:pPr>
            <w:r w:rsidRPr="00901136">
              <w:rPr>
                <w:sz w:val="18"/>
                <w:szCs w:val="18"/>
              </w:rPr>
              <w:t>0.01</w:t>
            </w:r>
          </w:p>
        </w:tc>
      </w:tr>
      <w:tr w:rsidR="00B72640" w:rsidRPr="00D7520A" w:rsidTr="003C4118">
        <w:trPr>
          <w:cantSplit/>
        </w:trPr>
        <w:tc>
          <w:tcPr>
            <w:tcW w:w="1511" w:type="pct"/>
            <w:shd w:val="clear" w:color="auto" w:fill="auto"/>
          </w:tcPr>
          <w:p w:rsidR="00B72640" w:rsidRPr="00901136" w:rsidRDefault="00B72640" w:rsidP="003C4118">
            <w:pPr>
              <w:pStyle w:val="BodyText"/>
              <w:jc w:val="right"/>
              <w:rPr>
                <w:b/>
                <w:sz w:val="18"/>
                <w:szCs w:val="18"/>
              </w:rPr>
            </w:pPr>
            <w:r w:rsidRPr="00901136">
              <w:rPr>
                <w:b/>
                <w:sz w:val="18"/>
                <w:szCs w:val="18"/>
              </w:rPr>
              <w:t>Forage time to concern (seconds)</w:t>
            </w:r>
          </w:p>
        </w:tc>
        <w:tc>
          <w:tcPr>
            <w:tcW w:w="697" w:type="pct"/>
          </w:tcPr>
          <w:p w:rsidR="00B72640" w:rsidRPr="00901136" w:rsidRDefault="00B72640" w:rsidP="003C4118">
            <w:pPr>
              <w:pStyle w:val="BodyText"/>
              <w:jc w:val="center"/>
              <w:rPr>
                <w:sz w:val="18"/>
                <w:szCs w:val="18"/>
              </w:rPr>
            </w:pPr>
          </w:p>
        </w:tc>
        <w:tc>
          <w:tcPr>
            <w:tcW w:w="698" w:type="pct"/>
          </w:tcPr>
          <w:p w:rsidR="00B72640" w:rsidRPr="00901136" w:rsidRDefault="00B72640" w:rsidP="003C4118">
            <w:pPr>
              <w:pStyle w:val="BodyText"/>
              <w:jc w:val="center"/>
              <w:rPr>
                <w:sz w:val="18"/>
                <w:szCs w:val="18"/>
              </w:rPr>
            </w:pPr>
          </w:p>
        </w:tc>
        <w:tc>
          <w:tcPr>
            <w:tcW w:w="697" w:type="pct"/>
          </w:tcPr>
          <w:p w:rsidR="00B72640" w:rsidRPr="00901136" w:rsidRDefault="00B72640" w:rsidP="003C4118">
            <w:pPr>
              <w:pStyle w:val="BodyText"/>
              <w:jc w:val="center"/>
              <w:rPr>
                <w:sz w:val="18"/>
                <w:szCs w:val="18"/>
              </w:rPr>
            </w:pPr>
          </w:p>
        </w:tc>
        <w:tc>
          <w:tcPr>
            <w:tcW w:w="698" w:type="pct"/>
          </w:tcPr>
          <w:p w:rsidR="00B72640" w:rsidRPr="00901136" w:rsidRDefault="00B72640" w:rsidP="003C4118">
            <w:pPr>
              <w:pStyle w:val="BodyText"/>
              <w:jc w:val="center"/>
              <w:rPr>
                <w:sz w:val="18"/>
                <w:szCs w:val="18"/>
              </w:rPr>
            </w:pPr>
          </w:p>
        </w:tc>
        <w:tc>
          <w:tcPr>
            <w:tcW w:w="699" w:type="pct"/>
            <w:shd w:val="clear" w:color="auto" w:fill="auto"/>
          </w:tcPr>
          <w:p w:rsidR="00B72640" w:rsidRPr="00901136" w:rsidRDefault="00B72640" w:rsidP="003C4118">
            <w:pPr>
              <w:pStyle w:val="BodyText"/>
              <w:jc w:val="center"/>
              <w:rPr>
                <w:sz w:val="18"/>
                <w:szCs w:val="18"/>
              </w:rPr>
            </w:pPr>
          </w:p>
        </w:tc>
      </w:tr>
    </w:tbl>
    <w:p w:rsidR="00B72640" w:rsidRDefault="00B72640" w:rsidP="00B72640">
      <w:pPr>
        <w:pStyle w:val="BodyText"/>
        <w:rPr>
          <w:sz w:val="18"/>
        </w:rPr>
      </w:pPr>
      <w:r>
        <w:rPr>
          <w:sz w:val="18"/>
          <w:szCs w:val="18"/>
        </w:rPr>
        <w:t>Assessment method according to USEPA (2016)</w:t>
      </w:r>
    </w:p>
    <w:p w:rsidR="00B72640" w:rsidRPr="004A3B41" w:rsidRDefault="00B72640" w:rsidP="00B72640">
      <w:pPr>
        <w:pStyle w:val="BodyText"/>
        <w:rPr>
          <w:sz w:val="18"/>
        </w:rPr>
      </w:pPr>
      <w:r w:rsidRPr="004A3B41">
        <w:rPr>
          <w:sz w:val="18"/>
        </w:rPr>
        <w:t>RA</w:t>
      </w:r>
      <w:r>
        <w:rPr>
          <w:sz w:val="18"/>
        </w:rPr>
        <w:t>D</w:t>
      </w:r>
      <w:r w:rsidRPr="004A3B41">
        <w:rPr>
          <w:sz w:val="18"/>
        </w:rPr>
        <w:t xml:space="preserve"> = regulatory acceptable </w:t>
      </w:r>
      <w:r>
        <w:rPr>
          <w:sz w:val="18"/>
        </w:rPr>
        <w:t>dose</w:t>
      </w:r>
      <w:r w:rsidRPr="004A3B41">
        <w:rPr>
          <w:sz w:val="18"/>
        </w:rPr>
        <w:t xml:space="preserve"> </w:t>
      </w:r>
      <w:r>
        <w:rPr>
          <w:sz w:val="18"/>
        </w:rPr>
        <w:t>(from Table X)</w:t>
      </w:r>
    </w:p>
    <w:p w:rsidR="00B72640" w:rsidRPr="004A3B41" w:rsidRDefault="00B72640" w:rsidP="00B72640">
      <w:pPr>
        <w:pStyle w:val="BodyText"/>
        <w:rPr>
          <w:sz w:val="18"/>
        </w:rPr>
      </w:pPr>
      <w:r w:rsidRPr="004A3B41">
        <w:rPr>
          <w:sz w:val="18"/>
        </w:rPr>
        <w:t>Seed</w:t>
      </w:r>
      <w:r w:rsidRPr="004A3B41">
        <w:rPr>
          <w:sz w:val="18"/>
          <w:vertAlign w:val="subscript"/>
        </w:rPr>
        <w:t>concern</w:t>
      </w:r>
      <w:r w:rsidRPr="004A3B41">
        <w:rPr>
          <w:sz w:val="18"/>
        </w:rPr>
        <w:t xml:space="preserve"> = minimum number of seeds required to trigger risk concern = body weight (kg) * RA</w:t>
      </w:r>
      <w:r>
        <w:rPr>
          <w:sz w:val="18"/>
        </w:rPr>
        <w:t>D</w:t>
      </w:r>
      <w:r w:rsidRPr="004A3B41">
        <w:rPr>
          <w:sz w:val="18"/>
        </w:rPr>
        <w:t xml:space="preserve"> (mg acs/kg bw) / Seed loading (mg acs/seed)</w:t>
      </w:r>
      <w:r>
        <w:rPr>
          <w:sz w:val="18"/>
        </w:rPr>
        <w:t xml:space="preserve"> </w:t>
      </w:r>
    </w:p>
    <w:p w:rsidR="00B72640" w:rsidRPr="004A3B41" w:rsidRDefault="00B72640" w:rsidP="00B72640">
      <w:pPr>
        <w:pStyle w:val="BodyText"/>
        <w:rPr>
          <w:sz w:val="18"/>
        </w:rPr>
      </w:pPr>
      <w:r w:rsidRPr="004A3B41">
        <w:rPr>
          <w:sz w:val="18"/>
        </w:rPr>
        <w:t>X and Y are species-specific parameters for seed handling time according to USEPA 2016</w:t>
      </w:r>
    </w:p>
    <w:p w:rsidR="00B72640" w:rsidRDefault="00B72640" w:rsidP="00B72640">
      <w:pPr>
        <w:pStyle w:val="BodyText"/>
        <w:rPr>
          <w:sz w:val="20"/>
          <w:szCs w:val="22"/>
        </w:rPr>
      </w:pPr>
      <w:r w:rsidRPr="004A3B41">
        <w:rPr>
          <w:sz w:val="18"/>
        </w:rPr>
        <w:t>Forage time to concern (seconds) = Seed</w:t>
      </w:r>
      <w:r w:rsidRPr="004A3B41">
        <w:rPr>
          <w:sz w:val="18"/>
          <w:vertAlign w:val="subscript"/>
        </w:rPr>
        <w:t>concern</w:t>
      </w:r>
      <w:r w:rsidRPr="004A3B41">
        <w:rPr>
          <w:sz w:val="18"/>
        </w:rPr>
        <w:t>* ln (X + Y * (treated seed size in mg))</w:t>
      </w:r>
    </w:p>
    <w:p w:rsidR="008B68EB" w:rsidRPr="009A4CFC" w:rsidRDefault="008B68EB" w:rsidP="008B68EB">
      <w:pPr>
        <w:pStyle w:val="Caption"/>
      </w:pPr>
      <w:bookmarkStart w:id="197" w:name="_Ref522027607"/>
      <w:r w:rsidRPr="009A4CFC">
        <w:lastRenderedPageBreak/>
        <w:t xml:space="preserve">Table </w:t>
      </w:r>
      <w:r w:rsidR="00EA08EB">
        <w:rPr>
          <w:noProof/>
        </w:rPr>
        <w:fldChar w:fldCharType="begin"/>
      </w:r>
      <w:r w:rsidR="00EA08EB">
        <w:rPr>
          <w:noProof/>
        </w:rPr>
        <w:instrText xml:space="preserve"> SEQ Table \* ARABIC </w:instrText>
      </w:r>
      <w:r w:rsidR="00EA08EB">
        <w:rPr>
          <w:noProof/>
        </w:rPr>
        <w:fldChar w:fldCharType="separate"/>
      </w:r>
      <w:r w:rsidR="00225D67">
        <w:rPr>
          <w:noProof/>
        </w:rPr>
        <w:t>14</w:t>
      </w:r>
      <w:r w:rsidR="00EA08EB">
        <w:rPr>
          <w:noProof/>
        </w:rPr>
        <w:fldChar w:fldCharType="end"/>
      </w:r>
      <w:bookmarkEnd w:id="197"/>
      <w:r w:rsidRPr="009A4CFC">
        <w:t xml:space="preserve"> - </w:t>
      </w:r>
      <w:r w:rsidRPr="008B68EB">
        <w:t>Combination toxicity to terrestrial vertebrates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349"/>
        <w:gridCol w:w="2453"/>
        <w:gridCol w:w="2371"/>
        <w:gridCol w:w="2460"/>
      </w:tblGrid>
      <w:tr w:rsidR="00B72640" w:rsidRPr="003B32C1" w:rsidTr="008B68EB">
        <w:trPr>
          <w:cantSplit/>
          <w:tblHeader/>
        </w:trPr>
        <w:tc>
          <w:tcPr>
            <w:tcW w:w="2377" w:type="dxa"/>
            <w:tcBorders>
              <w:top w:val="nil"/>
              <w:left w:val="nil"/>
              <w:bottom w:val="nil"/>
              <w:right w:val="single" w:sz="4" w:space="0" w:color="auto"/>
            </w:tcBorders>
            <w:shd w:val="clear" w:color="auto" w:fill="auto"/>
          </w:tcPr>
          <w:p w:rsidR="00B72640" w:rsidRPr="003B32C1" w:rsidRDefault="00B72640" w:rsidP="003C4118">
            <w:pPr>
              <w:widowControl w:val="0"/>
              <w:rPr>
                <w:color w:val="000000"/>
                <w:sz w:val="18"/>
                <w:szCs w:val="18"/>
              </w:rPr>
            </w:pPr>
          </w:p>
        </w:tc>
        <w:tc>
          <w:tcPr>
            <w:tcW w:w="2486" w:type="dxa"/>
            <w:tcBorders>
              <w:left w:val="single" w:sz="4" w:space="0" w:color="auto"/>
            </w:tcBorders>
            <w:shd w:val="clear" w:color="auto" w:fill="auto"/>
          </w:tcPr>
          <w:p w:rsidR="00B72640" w:rsidRPr="003B32C1" w:rsidRDefault="00B72640" w:rsidP="003C4118">
            <w:pPr>
              <w:widowControl w:val="0"/>
              <w:jc w:val="center"/>
              <w:rPr>
                <w:b/>
                <w:color w:val="000000"/>
                <w:sz w:val="18"/>
                <w:szCs w:val="18"/>
              </w:rPr>
            </w:pPr>
            <w:r>
              <w:rPr>
                <w:b/>
                <w:color w:val="000000"/>
                <w:sz w:val="18"/>
                <w:szCs w:val="18"/>
              </w:rPr>
              <w:t>Active 1</w:t>
            </w:r>
          </w:p>
        </w:tc>
        <w:tc>
          <w:tcPr>
            <w:tcW w:w="2403" w:type="dxa"/>
            <w:shd w:val="clear" w:color="auto" w:fill="auto"/>
          </w:tcPr>
          <w:p w:rsidR="00B72640" w:rsidRPr="003B32C1" w:rsidRDefault="00B72640" w:rsidP="003C4118">
            <w:pPr>
              <w:widowControl w:val="0"/>
              <w:jc w:val="center"/>
              <w:rPr>
                <w:b/>
                <w:color w:val="000000"/>
                <w:sz w:val="18"/>
                <w:szCs w:val="18"/>
              </w:rPr>
            </w:pPr>
            <w:r>
              <w:rPr>
                <w:b/>
                <w:color w:val="000000"/>
                <w:sz w:val="18"/>
                <w:szCs w:val="18"/>
              </w:rPr>
              <w:t>Active 2</w:t>
            </w:r>
          </w:p>
        </w:tc>
        <w:tc>
          <w:tcPr>
            <w:tcW w:w="2486" w:type="dxa"/>
          </w:tcPr>
          <w:p w:rsidR="00B72640" w:rsidRPr="003B32C1" w:rsidRDefault="00B72640" w:rsidP="003C4118">
            <w:pPr>
              <w:widowControl w:val="0"/>
              <w:jc w:val="center"/>
              <w:rPr>
                <w:b/>
                <w:color w:val="000000"/>
                <w:sz w:val="18"/>
                <w:szCs w:val="18"/>
              </w:rPr>
            </w:pPr>
            <w:r w:rsidRPr="003B32C1">
              <w:rPr>
                <w:b/>
                <w:color w:val="000000"/>
                <w:sz w:val="18"/>
                <w:szCs w:val="18"/>
              </w:rPr>
              <w:t>Combination</w:t>
            </w:r>
            <w:r w:rsidRPr="003B32C1">
              <w:rPr>
                <w:b/>
                <w:color w:val="000000"/>
                <w:sz w:val="18"/>
                <w:szCs w:val="18"/>
                <w:vertAlign w:val="superscript"/>
              </w:rPr>
              <w:footnoteReference w:id="4"/>
            </w:r>
            <w:r w:rsidRPr="003B32C1">
              <w:rPr>
                <w:b/>
                <w:color w:val="000000"/>
                <w:sz w:val="18"/>
                <w:szCs w:val="18"/>
              </w:rPr>
              <w:t xml:space="preserve"> </w:t>
            </w:r>
            <w:r w:rsidRPr="003B32C1">
              <w:rPr>
                <w:sz w:val="18"/>
                <w:szCs w:val="18"/>
                <w:vertAlign w:val="superscript"/>
              </w:rPr>
              <w:footnoteReference w:id="5"/>
            </w:r>
            <w:r>
              <w:rPr>
                <w:b/>
                <w:color w:val="000000"/>
                <w:sz w:val="18"/>
                <w:szCs w:val="18"/>
              </w:rPr>
              <w:t xml:space="preserve"> </w:t>
            </w:r>
            <w:r>
              <w:rPr>
                <w:rStyle w:val="FootnoteReference"/>
                <w:b/>
                <w:color w:val="000000"/>
                <w:sz w:val="18"/>
                <w:szCs w:val="18"/>
              </w:rPr>
              <w:footnoteReference w:id="6"/>
            </w:r>
          </w:p>
        </w:tc>
      </w:tr>
      <w:tr w:rsidR="00B72640" w:rsidRPr="003B32C1" w:rsidTr="008B68EB">
        <w:trPr>
          <w:cantSplit/>
          <w:tblHeader/>
        </w:trPr>
        <w:tc>
          <w:tcPr>
            <w:tcW w:w="2377" w:type="dxa"/>
            <w:tcBorders>
              <w:top w:val="nil"/>
              <w:left w:val="nil"/>
              <w:bottom w:val="nil"/>
              <w:right w:val="single" w:sz="4" w:space="0" w:color="auto"/>
            </w:tcBorders>
            <w:shd w:val="clear" w:color="auto" w:fill="auto"/>
          </w:tcPr>
          <w:p w:rsidR="00B72640" w:rsidRPr="003B32C1" w:rsidRDefault="00B72640" w:rsidP="003C4118">
            <w:pPr>
              <w:widowControl w:val="0"/>
              <w:rPr>
                <w:color w:val="000000"/>
                <w:sz w:val="18"/>
                <w:szCs w:val="18"/>
              </w:rPr>
            </w:pPr>
            <w:r w:rsidRPr="003B32C1">
              <w:rPr>
                <w:color w:val="000000"/>
                <w:sz w:val="18"/>
                <w:szCs w:val="18"/>
              </w:rPr>
              <w:t>Fraction in combination</w:t>
            </w:r>
          </w:p>
        </w:tc>
        <w:tc>
          <w:tcPr>
            <w:tcW w:w="2486" w:type="dxa"/>
            <w:tcBorders>
              <w:top w:val="nil"/>
              <w:left w:val="nil"/>
              <w:bottom w:val="single" w:sz="8" w:space="0" w:color="auto"/>
              <w:right w:val="single" w:sz="8" w:space="0" w:color="auto"/>
            </w:tcBorders>
            <w:shd w:val="clear" w:color="auto" w:fill="auto"/>
          </w:tcPr>
          <w:p w:rsidR="00B72640" w:rsidRPr="008033E2" w:rsidRDefault="00B72640" w:rsidP="003C4118">
            <w:pPr>
              <w:widowControl w:val="0"/>
              <w:jc w:val="center"/>
              <w:rPr>
                <w:b/>
                <w:color w:val="FF0000"/>
                <w:sz w:val="18"/>
                <w:szCs w:val="18"/>
              </w:rPr>
            </w:pPr>
            <w:r>
              <w:rPr>
                <w:b/>
                <w:color w:val="FF0000"/>
                <w:sz w:val="18"/>
                <w:szCs w:val="18"/>
              </w:rPr>
              <w:t>0.XX</w:t>
            </w:r>
          </w:p>
        </w:tc>
        <w:tc>
          <w:tcPr>
            <w:tcW w:w="2403" w:type="dxa"/>
            <w:tcBorders>
              <w:top w:val="nil"/>
              <w:left w:val="nil"/>
              <w:bottom w:val="single" w:sz="8" w:space="0" w:color="auto"/>
              <w:right w:val="single" w:sz="8" w:space="0" w:color="auto"/>
            </w:tcBorders>
            <w:shd w:val="clear" w:color="auto" w:fill="auto"/>
          </w:tcPr>
          <w:p w:rsidR="00B72640" w:rsidRPr="008033E2" w:rsidRDefault="00B72640" w:rsidP="003C4118">
            <w:pPr>
              <w:widowControl w:val="0"/>
              <w:jc w:val="center"/>
              <w:rPr>
                <w:b/>
                <w:color w:val="FF0000"/>
                <w:sz w:val="18"/>
                <w:szCs w:val="18"/>
              </w:rPr>
            </w:pPr>
            <w:r>
              <w:rPr>
                <w:b/>
                <w:color w:val="FF0000"/>
                <w:sz w:val="18"/>
                <w:szCs w:val="18"/>
              </w:rPr>
              <w:t>0.XX</w:t>
            </w:r>
          </w:p>
        </w:tc>
        <w:tc>
          <w:tcPr>
            <w:tcW w:w="2486" w:type="dxa"/>
          </w:tcPr>
          <w:p w:rsidR="00B72640" w:rsidRPr="003B32C1" w:rsidRDefault="00B72640" w:rsidP="003C4118">
            <w:pPr>
              <w:widowControl w:val="0"/>
              <w:jc w:val="center"/>
              <w:rPr>
                <w:b/>
                <w:color w:val="000000"/>
                <w:sz w:val="18"/>
                <w:szCs w:val="18"/>
              </w:rPr>
            </w:pPr>
            <w:r w:rsidRPr="003B32C1">
              <w:rPr>
                <w:b/>
                <w:color w:val="000000"/>
                <w:sz w:val="18"/>
                <w:szCs w:val="18"/>
              </w:rPr>
              <w:t>1.00</w:t>
            </w:r>
          </w:p>
        </w:tc>
      </w:tr>
      <w:tr w:rsidR="00B72640" w:rsidRPr="003B32C1" w:rsidTr="008B68EB">
        <w:trPr>
          <w:cantSplit/>
        </w:trPr>
        <w:tc>
          <w:tcPr>
            <w:tcW w:w="2377" w:type="dxa"/>
            <w:tcBorders>
              <w:top w:val="nil"/>
              <w:left w:val="nil"/>
              <w:bottom w:val="nil"/>
              <w:right w:val="single" w:sz="4" w:space="0" w:color="auto"/>
            </w:tcBorders>
            <w:shd w:val="clear" w:color="auto" w:fill="auto"/>
          </w:tcPr>
          <w:p w:rsidR="00B72640" w:rsidRPr="003B32C1" w:rsidRDefault="00B72640" w:rsidP="003C4118">
            <w:pPr>
              <w:widowControl w:val="0"/>
              <w:rPr>
                <w:color w:val="000000"/>
                <w:sz w:val="18"/>
                <w:szCs w:val="18"/>
              </w:rPr>
            </w:pPr>
            <w:r w:rsidRPr="003B32C1">
              <w:rPr>
                <w:color w:val="000000"/>
                <w:sz w:val="18"/>
                <w:szCs w:val="18"/>
              </w:rPr>
              <w:t xml:space="preserve">Acute toxicity to mammals </w:t>
            </w:r>
          </w:p>
        </w:tc>
        <w:tc>
          <w:tcPr>
            <w:tcW w:w="2486" w:type="dxa"/>
            <w:tcBorders>
              <w:top w:val="nil"/>
              <w:left w:val="nil"/>
              <w:bottom w:val="single" w:sz="8" w:space="0" w:color="auto"/>
              <w:right w:val="single" w:sz="8" w:space="0" w:color="auto"/>
            </w:tcBorders>
            <w:shd w:val="clear" w:color="auto" w:fill="auto"/>
          </w:tcPr>
          <w:p w:rsidR="00B72640" w:rsidRPr="003B32C1" w:rsidRDefault="00B72640" w:rsidP="003C4118">
            <w:pPr>
              <w:widowControl w:val="0"/>
              <w:rPr>
                <w:color w:val="000000"/>
                <w:sz w:val="18"/>
                <w:szCs w:val="18"/>
              </w:rPr>
            </w:pPr>
            <w:r w:rsidRPr="003B32C1">
              <w:rPr>
                <w:color w:val="000000"/>
                <w:sz w:val="18"/>
                <w:szCs w:val="18"/>
              </w:rPr>
              <w:t>LD</w:t>
            </w:r>
            <w:r w:rsidRPr="003B32C1">
              <w:rPr>
                <w:color w:val="000000"/>
                <w:sz w:val="18"/>
                <w:szCs w:val="18"/>
                <w:vertAlign w:val="subscript"/>
              </w:rPr>
              <w:t>50</w:t>
            </w:r>
            <w:r>
              <w:rPr>
                <w:color w:val="000000"/>
                <w:sz w:val="18"/>
                <w:szCs w:val="18"/>
              </w:rPr>
              <w:t xml:space="preserve"> </w:t>
            </w:r>
            <w:r w:rsidRPr="00135741">
              <w:rPr>
                <w:color w:val="FF0000"/>
                <w:sz w:val="18"/>
                <w:szCs w:val="18"/>
              </w:rPr>
              <w:t>XX</w:t>
            </w:r>
            <w:r w:rsidRPr="003B32C1">
              <w:rPr>
                <w:color w:val="000000"/>
                <w:sz w:val="18"/>
                <w:szCs w:val="18"/>
              </w:rPr>
              <w:t xml:space="preserve"> mg ac/kg bw </w:t>
            </w:r>
          </w:p>
          <w:p w:rsidR="00B72640" w:rsidRPr="00135741" w:rsidRDefault="00B72640" w:rsidP="003C4118">
            <w:pPr>
              <w:widowControl w:val="0"/>
              <w:rPr>
                <w:color w:val="FF0000"/>
                <w:sz w:val="18"/>
                <w:szCs w:val="18"/>
              </w:rPr>
            </w:pPr>
            <w:r w:rsidRPr="00135741">
              <w:rPr>
                <w:color w:val="FF0000"/>
                <w:sz w:val="18"/>
                <w:szCs w:val="18"/>
              </w:rPr>
              <w:t>Test item</w:t>
            </w:r>
          </w:p>
          <w:p w:rsidR="00B72640" w:rsidRPr="00135741" w:rsidRDefault="00B72640" w:rsidP="003C4118">
            <w:pPr>
              <w:widowControl w:val="0"/>
              <w:rPr>
                <w:i/>
                <w:color w:val="FF0000"/>
                <w:sz w:val="18"/>
                <w:szCs w:val="18"/>
              </w:rPr>
            </w:pPr>
            <w:r w:rsidRPr="00135741">
              <w:rPr>
                <w:i/>
                <w:color w:val="FF0000"/>
                <w:sz w:val="18"/>
                <w:szCs w:val="18"/>
              </w:rPr>
              <w:t>Test species</w:t>
            </w:r>
          </w:p>
          <w:p w:rsidR="00B72640" w:rsidRPr="003B32C1" w:rsidRDefault="00B72640" w:rsidP="003C4118">
            <w:pPr>
              <w:widowControl w:val="0"/>
              <w:rPr>
                <w:color w:val="000000"/>
                <w:sz w:val="18"/>
                <w:szCs w:val="18"/>
                <w:lang w:eastAsia="en-AU"/>
              </w:rPr>
            </w:pPr>
            <w:r w:rsidRPr="00135741">
              <w:rPr>
                <w:color w:val="FF0000"/>
                <w:sz w:val="18"/>
                <w:szCs w:val="18"/>
                <w:lang w:eastAsia="en-AU"/>
              </w:rPr>
              <w:t>Reference</w:t>
            </w:r>
          </w:p>
        </w:tc>
        <w:tc>
          <w:tcPr>
            <w:tcW w:w="2403" w:type="dxa"/>
            <w:tcBorders>
              <w:top w:val="nil"/>
              <w:left w:val="nil"/>
              <w:bottom w:val="single" w:sz="8" w:space="0" w:color="auto"/>
              <w:right w:val="single" w:sz="8" w:space="0" w:color="auto"/>
            </w:tcBorders>
            <w:shd w:val="clear" w:color="auto" w:fill="auto"/>
          </w:tcPr>
          <w:p w:rsidR="00B72640" w:rsidRPr="003B32C1" w:rsidRDefault="00B72640" w:rsidP="003C4118">
            <w:pPr>
              <w:widowControl w:val="0"/>
              <w:rPr>
                <w:color w:val="000000"/>
                <w:sz w:val="18"/>
                <w:szCs w:val="18"/>
              </w:rPr>
            </w:pPr>
            <w:r w:rsidRPr="003B32C1">
              <w:rPr>
                <w:color w:val="000000"/>
                <w:sz w:val="18"/>
                <w:szCs w:val="18"/>
              </w:rPr>
              <w:t>LD</w:t>
            </w:r>
            <w:r w:rsidRPr="003B32C1">
              <w:rPr>
                <w:color w:val="000000"/>
                <w:sz w:val="18"/>
                <w:szCs w:val="18"/>
                <w:vertAlign w:val="subscript"/>
              </w:rPr>
              <w:t>50</w:t>
            </w:r>
            <w:r>
              <w:rPr>
                <w:color w:val="000000"/>
                <w:sz w:val="18"/>
                <w:szCs w:val="18"/>
              </w:rPr>
              <w:t xml:space="preserve"> </w:t>
            </w:r>
            <w:r w:rsidRPr="00135741">
              <w:rPr>
                <w:color w:val="FF0000"/>
                <w:sz w:val="18"/>
                <w:szCs w:val="18"/>
              </w:rPr>
              <w:t>XX</w:t>
            </w:r>
            <w:r w:rsidRPr="003B32C1">
              <w:rPr>
                <w:color w:val="000000"/>
                <w:sz w:val="18"/>
                <w:szCs w:val="18"/>
              </w:rPr>
              <w:t xml:space="preserve"> mg ac/kg bw </w:t>
            </w:r>
          </w:p>
          <w:p w:rsidR="00B72640" w:rsidRPr="00135741" w:rsidRDefault="00B72640" w:rsidP="003C4118">
            <w:pPr>
              <w:widowControl w:val="0"/>
              <w:rPr>
                <w:color w:val="FF0000"/>
                <w:sz w:val="18"/>
                <w:szCs w:val="18"/>
              </w:rPr>
            </w:pPr>
            <w:r w:rsidRPr="00135741">
              <w:rPr>
                <w:color w:val="FF0000"/>
                <w:sz w:val="18"/>
                <w:szCs w:val="18"/>
              </w:rPr>
              <w:t>Test item</w:t>
            </w:r>
          </w:p>
          <w:p w:rsidR="00B72640" w:rsidRPr="00135741" w:rsidRDefault="00B72640" w:rsidP="003C4118">
            <w:pPr>
              <w:widowControl w:val="0"/>
              <w:rPr>
                <w:i/>
                <w:color w:val="FF0000"/>
                <w:sz w:val="18"/>
                <w:szCs w:val="18"/>
              </w:rPr>
            </w:pPr>
            <w:r w:rsidRPr="00135741">
              <w:rPr>
                <w:i/>
                <w:color w:val="FF0000"/>
                <w:sz w:val="18"/>
                <w:szCs w:val="18"/>
              </w:rPr>
              <w:t>Test species</w:t>
            </w:r>
          </w:p>
          <w:p w:rsidR="00B72640" w:rsidRPr="003B32C1" w:rsidRDefault="00B72640" w:rsidP="003C4118">
            <w:pPr>
              <w:widowControl w:val="0"/>
              <w:rPr>
                <w:color w:val="000000"/>
                <w:sz w:val="18"/>
                <w:szCs w:val="18"/>
                <w:lang w:eastAsia="en-AU"/>
              </w:rPr>
            </w:pPr>
            <w:r w:rsidRPr="00135741">
              <w:rPr>
                <w:color w:val="FF0000"/>
                <w:sz w:val="18"/>
                <w:szCs w:val="18"/>
                <w:lang w:eastAsia="en-AU"/>
              </w:rPr>
              <w:t>Reference</w:t>
            </w:r>
          </w:p>
        </w:tc>
        <w:tc>
          <w:tcPr>
            <w:tcW w:w="2486" w:type="dxa"/>
          </w:tcPr>
          <w:p w:rsidR="00B72640" w:rsidRDefault="00B72640" w:rsidP="003C4118">
            <w:pPr>
              <w:widowControl w:val="0"/>
              <w:rPr>
                <w:color w:val="000000"/>
                <w:sz w:val="18"/>
                <w:szCs w:val="18"/>
              </w:rPr>
            </w:pPr>
            <w:r>
              <w:rPr>
                <w:color w:val="000000"/>
                <w:sz w:val="18"/>
                <w:szCs w:val="18"/>
              </w:rPr>
              <w:t>Measured:</w:t>
            </w:r>
          </w:p>
          <w:p w:rsidR="00B72640" w:rsidRPr="003B32C1" w:rsidRDefault="00B72640" w:rsidP="003C4118">
            <w:pPr>
              <w:widowControl w:val="0"/>
              <w:rPr>
                <w:color w:val="000000"/>
                <w:sz w:val="18"/>
                <w:szCs w:val="18"/>
              </w:rPr>
            </w:pPr>
            <w:r w:rsidRPr="003B32C1">
              <w:rPr>
                <w:color w:val="000000"/>
                <w:sz w:val="18"/>
                <w:szCs w:val="18"/>
              </w:rPr>
              <w:t>LD</w:t>
            </w:r>
            <w:r w:rsidRPr="003B32C1">
              <w:rPr>
                <w:color w:val="000000"/>
                <w:sz w:val="18"/>
                <w:szCs w:val="18"/>
                <w:vertAlign w:val="subscript"/>
              </w:rPr>
              <w:t>50</w:t>
            </w:r>
            <w:r>
              <w:rPr>
                <w:color w:val="000000"/>
                <w:sz w:val="18"/>
                <w:szCs w:val="18"/>
              </w:rPr>
              <w:t xml:space="preserve"> </w:t>
            </w:r>
            <w:r w:rsidRPr="00135741">
              <w:rPr>
                <w:color w:val="FF0000"/>
                <w:sz w:val="18"/>
                <w:szCs w:val="18"/>
              </w:rPr>
              <w:t>XX</w:t>
            </w:r>
            <w:r w:rsidRPr="003B32C1">
              <w:rPr>
                <w:color w:val="000000"/>
                <w:sz w:val="18"/>
                <w:szCs w:val="18"/>
              </w:rPr>
              <w:t xml:space="preserve"> mg ac/kg bw </w:t>
            </w:r>
          </w:p>
          <w:p w:rsidR="00B72640" w:rsidRPr="00135741" w:rsidRDefault="00B72640" w:rsidP="003C4118">
            <w:pPr>
              <w:widowControl w:val="0"/>
              <w:rPr>
                <w:color w:val="FF0000"/>
                <w:sz w:val="18"/>
                <w:szCs w:val="18"/>
              </w:rPr>
            </w:pPr>
            <w:r w:rsidRPr="00135741">
              <w:rPr>
                <w:color w:val="FF0000"/>
                <w:sz w:val="18"/>
                <w:szCs w:val="18"/>
              </w:rPr>
              <w:t>Test item</w:t>
            </w:r>
          </w:p>
          <w:p w:rsidR="00B72640" w:rsidRPr="00135741" w:rsidRDefault="00B72640" w:rsidP="003C4118">
            <w:pPr>
              <w:widowControl w:val="0"/>
              <w:rPr>
                <w:i/>
                <w:color w:val="FF0000"/>
                <w:sz w:val="18"/>
                <w:szCs w:val="18"/>
              </w:rPr>
            </w:pPr>
            <w:r w:rsidRPr="00135741">
              <w:rPr>
                <w:i/>
                <w:color w:val="FF0000"/>
                <w:sz w:val="18"/>
                <w:szCs w:val="18"/>
              </w:rPr>
              <w:t>Test species</w:t>
            </w:r>
          </w:p>
          <w:p w:rsidR="00B72640" w:rsidRDefault="00B72640" w:rsidP="003C4118">
            <w:pPr>
              <w:widowControl w:val="0"/>
              <w:rPr>
                <w:sz w:val="18"/>
                <w:szCs w:val="18"/>
                <w:lang w:eastAsia="en-AU"/>
              </w:rPr>
            </w:pPr>
            <w:r w:rsidRPr="00135741">
              <w:rPr>
                <w:color w:val="FF0000"/>
                <w:sz w:val="18"/>
                <w:szCs w:val="18"/>
                <w:lang w:eastAsia="en-AU"/>
              </w:rPr>
              <w:t>Reference</w:t>
            </w:r>
          </w:p>
          <w:p w:rsidR="00B72640" w:rsidRDefault="00B72640" w:rsidP="003C4118">
            <w:pPr>
              <w:widowControl w:val="0"/>
              <w:rPr>
                <w:sz w:val="18"/>
                <w:szCs w:val="18"/>
                <w:lang w:eastAsia="en-AU"/>
              </w:rPr>
            </w:pPr>
          </w:p>
          <w:p w:rsidR="00B72640" w:rsidRDefault="00B72640" w:rsidP="003C4118">
            <w:pPr>
              <w:widowControl w:val="0"/>
              <w:rPr>
                <w:sz w:val="18"/>
                <w:szCs w:val="18"/>
                <w:lang w:eastAsia="en-AU"/>
              </w:rPr>
            </w:pPr>
            <w:r>
              <w:rPr>
                <w:sz w:val="18"/>
                <w:szCs w:val="18"/>
                <w:lang w:eastAsia="en-AU"/>
              </w:rPr>
              <w:t>Predicted:</w:t>
            </w:r>
          </w:p>
          <w:p w:rsidR="00B72640" w:rsidRDefault="00B72640" w:rsidP="003C4118">
            <w:pPr>
              <w:widowControl w:val="0"/>
              <w:rPr>
                <w:color w:val="000000"/>
                <w:sz w:val="18"/>
                <w:szCs w:val="18"/>
              </w:rPr>
            </w:pPr>
            <w:r w:rsidRPr="003B32C1">
              <w:rPr>
                <w:color w:val="000000"/>
                <w:sz w:val="18"/>
                <w:szCs w:val="18"/>
              </w:rPr>
              <w:t>LD</w:t>
            </w:r>
            <w:r w:rsidRPr="003B32C1">
              <w:rPr>
                <w:color w:val="000000"/>
                <w:sz w:val="18"/>
                <w:szCs w:val="18"/>
                <w:vertAlign w:val="subscript"/>
              </w:rPr>
              <w:t>50</w:t>
            </w:r>
            <w:r>
              <w:rPr>
                <w:color w:val="000000"/>
                <w:sz w:val="18"/>
                <w:szCs w:val="18"/>
              </w:rPr>
              <w:t xml:space="preserve"> </w:t>
            </w:r>
            <w:r w:rsidRPr="00135741">
              <w:rPr>
                <w:color w:val="FF0000"/>
                <w:sz w:val="18"/>
                <w:szCs w:val="18"/>
              </w:rPr>
              <w:t>XX</w:t>
            </w:r>
            <w:r w:rsidRPr="003B32C1">
              <w:rPr>
                <w:color w:val="000000"/>
                <w:sz w:val="18"/>
                <w:szCs w:val="18"/>
              </w:rPr>
              <w:t xml:space="preserve"> mg ac/kg bw</w:t>
            </w:r>
          </w:p>
          <w:p w:rsidR="00B72640" w:rsidRDefault="00B72640" w:rsidP="003C4118">
            <w:pPr>
              <w:widowControl w:val="0"/>
              <w:rPr>
                <w:color w:val="000000"/>
                <w:sz w:val="18"/>
                <w:szCs w:val="18"/>
              </w:rPr>
            </w:pPr>
          </w:p>
          <w:p w:rsidR="00B72640" w:rsidRDefault="00B72640" w:rsidP="003C4118">
            <w:pPr>
              <w:widowControl w:val="0"/>
              <w:rPr>
                <w:color w:val="000000"/>
                <w:sz w:val="18"/>
                <w:szCs w:val="18"/>
              </w:rPr>
            </w:pPr>
            <w:r>
              <w:rPr>
                <w:color w:val="000000"/>
                <w:sz w:val="18"/>
                <w:szCs w:val="18"/>
              </w:rPr>
              <w:t>Relative toxicity contributions:</w:t>
            </w:r>
          </w:p>
          <w:p w:rsidR="00B72640" w:rsidRDefault="00B72640" w:rsidP="003C4118">
            <w:pPr>
              <w:widowControl w:val="0"/>
              <w:rPr>
                <w:color w:val="000000"/>
                <w:sz w:val="18"/>
                <w:szCs w:val="18"/>
              </w:rPr>
            </w:pPr>
            <w:r w:rsidRPr="008033E2">
              <w:rPr>
                <w:color w:val="FF0000"/>
                <w:sz w:val="18"/>
                <w:szCs w:val="18"/>
              </w:rPr>
              <w:t>X</w:t>
            </w:r>
            <w:r>
              <w:rPr>
                <w:color w:val="000000"/>
                <w:sz w:val="18"/>
                <w:szCs w:val="18"/>
              </w:rPr>
              <w:t xml:space="preserve">% + </w:t>
            </w:r>
            <w:r w:rsidRPr="008033E2">
              <w:rPr>
                <w:color w:val="FF0000"/>
                <w:sz w:val="18"/>
                <w:szCs w:val="18"/>
              </w:rPr>
              <w:t>X</w:t>
            </w:r>
            <w:r>
              <w:rPr>
                <w:color w:val="000000"/>
                <w:sz w:val="18"/>
                <w:szCs w:val="18"/>
              </w:rPr>
              <w:t>%</w:t>
            </w:r>
          </w:p>
          <w:p w:rsidR="00B72640" w:rsidRDefault="00B72640" w:rsidP="003C4118">
            <w:pPr>
              <w:widowControl w:val="0"/>
              <w:rPr>
                <w:color w:val="000000"/>
                <w:sz w:val="18"/>
                <w:szCs w:val="18"/>
              </w:rPr>
            </w:pPr>
          </w:p>
          <w:p w:rsidR="00B72640" w:rsidRPr="00135741" w:rsidRDefault="00B72640" w:rsidP="003C4118">
            <w:pPr>
              <w:widowControl w:val="0"/>
              <w:rPr>
                <w:color w:val="000000"/>
                <w:sz w:val="18"/>
                <w:szCs w:val="18"/>
              </w:rPr>
            </w:pPr>
            <w:r>
              <w:rPr>
                <w:color w:val="000000"/>
                <w:sz w:val="18"/>
                <w:szCs w:val="18"/>
              </w:rPr>
              <w:t xml:space="preserve">MDR </w:t>
            </w:r>
            <w:r w:rsidRPr="00802A63">
              <w:rPr>
                <w:color w:val="FF0000"/>
                <w:sz w:val="18"/>
                <w:szCs w:val="18"/>
              </w:rPr>
              <w:t>X</w:t>
            </w:r>
          </w:p>
        </w:tc>
      </w:tr>
      <w:tr w:rsidR="00B72640" w:rsidRPr="003B32C1" w:rsidTr="008B68EB">
        <w:trPr>
          <w:cantSplit/>
        </w:trPr>
        <w:tc>
          <w:tcPr>
            <w:tcW w:w="2377" w:type="dxa"/>
            <w:tcBorders>
              <w:top w:val="nil"/>
              <w:left w:val="nil"/>
              <w:bottom w:val="nil"/>
              <w:right w:val="single" w:sz="4" w:space="0" w:color="auto"/>
            </w:tcBorders>
            <w:shd w:val="clear" w:color="auto" w:fill="auto"/>
          </w:tcPr>
          <w:p w:rsidR="00B72640" w:rsidRPr="003B32C1" w:rsidRDefault="00B72640" w:rsidP="003C4118">
            <w:pPr>
              <w:widowControl w:val="0"/>
              <w:rPr>
                <w:color w:val="000000"/>
                <w:sz w:val="18"/>
                <w:szCs w:val="18"/>
              </w:rPr>
            </w:pPr>
            <w:r w:rsidRPr="003B32C1">
              <w:rPr>
                <w:color w:val="000000"/>
                <w:sz w:val="18"/>
                <w:szCs w:val="18"/>
              </w:rPr>
              <w:t xml:space="preserve">Acute toxicity to birds </w:t>
            </w:r>
          </w:p>
        </w:tc>
        <w:tc>
          <w:tcPr>
            <w:tcW w:w="2486" w:type="dxa"/>
            <w:tcBorders>
              <w:top w:val="nil"/>
              <w:left w:val="nil"/>
              <w:bottom w:val="single" w:sz="8" w:space="0" w:color="auto"/>
              <w:right w:val="single" w:sz="8" w:space="0" w:color="auto"/>
            </w:tcBorders>
            <w:shd w:val="clear" w:color="auto" w:fill="auto"/>
          </w:tcPr>
          <w:p w:rsidR="00B72640" w:rsidRPr="003B32C1" w:rsidRDefault="00B72640" w:rsidP="003C4118">
            <w:pPr>
              <w:widowControl w:val="0"/>
              <w:rPr>
                <w:color w:val="000000"/>
                <w:sz w:val="18"/>
                <w:szCs w:val="18"/>
              </w:rPr>
            </w:pPr>
            <w:r w:rsidRPr="003B32C1">
              <w:rPr>
                <w:color w:val="000000"/>
                <w:sz w:val="18"/>
                <w:szCs w:val="18"/>
              </w:rPr>
              <w:t>LD</w:t>
            </w:r>
            <w:r w:rsidRPr="003B32C1">
              <w:rPr>
                <w:color w:val="000000"/>
                <w:sz w:val="18"/>
                <w:szCs w:val="18"/>
                <w:vertAlign w:val="subscript"/>
              </w:rPr>
              <w:t>50</w:t>
            </w:r>
            <w:r>
              <w:rPr>
                <w:color w:val="000000"/>
                <w:sz w:val="18"/>
                <w:szCs w:val="18"/>
              </w:rPr>
              <w:t xml:space="preserve"> </w:t>
            </w:r>
            <w:r w:rsidRPr="00135741">
              <w:rPr>
                <w:color w:val="FF0000"/>
                <w:sz w:val="18"/>
                <w:szCs w:val="18"/>
              </w:rPr>
              <w:t>XX</w:t>
            </w:r>
            <w:r w:rsidRPr="003B32C1">
              <w:rPr>
                <w:color w:val="000000"/>
                <w:sz w:val="18"/>
                <w:szCs w:val="18"/>
              </w:rPr>
              <w:t xml:space="preserve"> mg ac/kg bw </w:t>
            </w:r>
          </w:p>
          <w:p w:rsidR="00B72640" w:rsidRPr="00135741" w:rsidRDefault="00B72640" w:rsidP="003C4118">
            <w:pPr>
              <w:widowControl w:val="0"/>
              <w:rPr>
                <w:color w:val="FF0000"/>
                <w:sz w:val="18"/>
                <w:szCs w:val="18"/>
              </w:rPr>
            </w:pPr>
            <w:r w:rsidRPr="00135741">
              <w:rPr>
                <w:color w:val="FF0000"/>
                <w:sz w:val="18"/>
                <w:szCs w:val="18"/>
              </w:rPr>
              <w:t>Test item</w:t>
            </w:r>
          </w:p>
          <w:p w:rsidR="00B72640" w:rsidRPr="00135741" w:rsidRDefault="00B72640" w:rsidP="003C4118">
            <w:pPr>
              <w:widowControl w:val="0"/>
              <w:rPr>
                <w:i/>
                <w:color w:val="FF0000"/>
                <w:sz w:val="18"/>
                <w:szCs w:val="18"/>
              </w:rPr>
            </w:pPr>
            <w:r w:rsidRPr="00135741">
              <w:rPr>
                <w:i/>
                <w:color w:val="FF0000"/>
                <w:sz w:val="18"/>
                <w:szCs w:val="18"/>
              </w:rPr>
              <w:t>Test species</w:t>
            </w:r>
          </w:p>
          <w:p w:rsidR="00B72640" w:rsidRPr="003B32C1" w:rsidRDefault="00B72640" w:rsidP="003C4118">
            <w:pPr>
              <w:widowControl w:val="0"/>
              <w:rPr>
                <w:color w:val="000000"/>
                <w:sz w:val="18"/>
                <w:szCs w:val="18"/>
                <w:lang w:eastAsia="en-AU"/>
              </w:rPr>
            </w:pPr>
            <w:r w:rsidRPr="00135741">
              <w:rPr>
                <w:color w:val="FF0000"/>
                <w:sz w:val="18"/>
                <w:szCs w:val="18"/>
                <w:lang w:eastAsia="en-AU"/>
              </w:rPr>
              <w:t>Reference</w:t>
            </w:r>
          </w:p>
        </w:tc>
        <w:tc>
          <w:tcPr>
            <w:tcW w:w="2403" w:type="dxa"/>
            <w:tcBorders>
              <w:top w:val="nil"/>
              <w:left w:val="nil"/>
              <w:bottom w:val="single" w:sz="8" w:space="0" w:color="auto"/>
              <w:right w:val="single" w:sz="8" w:space="0" w:color="auto"/>
            </w:tcBorders>
            <w:shd w:val="clear" w:color="auto" w:fill="auto"/>
          </w:tcPr>
          <w:p w:rsidR="00B72640" w:rsidRPr="003B32C1" w:rsidRDefault="00B72640" w:rsidP="003C4118">
            <w:pPr>
              <w:widowControl w:val="0"/>
              <w:rPr>
                <w:color w:val="000000"/>
                <w:sz w:val="18"/>
                <w:szCs w:val="18"/>
              </w:rPr>
            </w:pPr>
            <w:r w:rsidRPr="003B32C1">
              <w:rPr>
                <w:color w:val="000000"/>
                <w:sz w:val="18"/>
                <w:szCs w:val="18"/>
              </w:rPr>
              <w:t>LD</w:t>
            </w:r>
            <w:r w:rsidRPr="003B32C1">
              <w:rPr>
                <w:color w:val="000000"/>
                <w:sz w:val="18"/>
                <w:szCs w:val="18"/>
                <w:vertAlign w:val="subscript"/>
              </w:rPr>
              <w:t>50</w:t>
            </w:r>
            <w:r>
              <w:rPr>
                <w:color w:val="000000"/>
                <w:sz w:val="18"/>
                <w:szCs w:val="18"/>
              </w:rPr>
              <w:t xml:space="preserve"> </w:t>
            </w:r>
            <w:r w:rsidRPr="00135741">
              <w:rPr>
                <w:color w:val="FF0000"/>
                <w:sz w:val="18"/>
                <w:szCs w:val="18"/>
              </w:rPr>
              <w:t>XX</w:t>
            </w:r>
            <w:r w:rsidRPr="003B32C1">
              <w:rPr>
                <w:color w:val="000000"/>
                <w:sz w:val="18"/>
                <w:szCs w:val="18"/>
              </w:rPr>
              <w:t xml:space="preserve"> mg ac/kg bw </w:t>
            </w:r>
          </w:p>
          <w:p w:rsidR="00B72640" w:rsidRPr="00135741" w:rsidRDefault="00B72640" w:rsidP="003C4118">
            <w:pPr>
              <w:widowControl w:val="0"/>
              <w:rPr>
                <w:color w:val="FF0000"/>
                <w:sz w:val="18"/>
                <w:szCs w:val="18"/>
              </w:rPr>
            </w:pPr>
            <w:r w:rsidRPr="00135741">
              <w:rPr>
                <w:color w:val="FF0000"/>
                <w:sz w:val="18"/>
                <w:szCs w:val="18"/>
              </w:rPr>
              <w:t>Test item</w:t>
            </w:r>
          </w:p>
          <w:p w:rsidR="00B72640" w:rsidRPr="00135741" w:rsidRDefault="00B72640" w:rsidP="003C4118">
            <w:pPr>
              <w:widowControl w:val="0"/>
              <w:rPr>
                <w:i/>
                <w:color w:val="FF0000"/>
                <w:sz w:val="18"/>
                <w:szCs w:val="18"/>
              </w:rPr>
            </w:pPr>
            <w:r w:rsidRPr="00135741">
              <w:rPr>
                <w:i/>
                <w:color w:val="FF0000"/>
                <w:sz w:val="18"/>
                <w:szCs w:val="18"/>
              </w:rPr>
              <w:t>Test species</w:t>
            </w:r>
          </w:p>
          <w:p w:rsidR="00B72640" w:rsidRPr="003B32C1" w:rsidRDefault="00B72640" w:rsidP="003C4118">
            <w:pPr>
              <w:widowControl w:val="0"/>
              <w:rPr>
                <w:color w:val="000000"/>
                <w:sz w:val="18"/>
                <w:szCs w:val="18"/>
                <w:lang w:eastAsia="en-AU"/>
              </w:rPr>
            </w:pPr>
            <w:r w:rsidRPr="00135741">
              <w:rPr>
                <w:color w:val="FF0000"/>
                <w:sz w:val="18"/>
                <w:szCs w:val="18"/>
                <w:lang w:eastAsia="en-AU"/>
              </w:rPr>
              <w:t>Reference</w:t>
            </w:r>
          </w:p>
        </w:tc>
        <w:tc>
          <w:tcPr>
            <w:tcW w:w="2486" w:type="dxa"/>
          </w:tcPr>
          <w:p w:rsidR="00B72640" w:rsidRDefault="00B72640" w:rsidP="003C4118">
            <w:pPr>
              <w:widowControl w:val="0"/>
              <w:rPr>
                <w:color w:val="000000"/>
                <w:sz w:val="18"/>
                <w:szCs w:val="18"/>
              </w:rPr>
            </w:pPr>
            <w:r>
              <w:rPr>
                <w:color w:val="000000"/>
                <w:sz w:val="18"/>
                <w:szCs w:val="18"/>
              </w:rPr>
              <w:t>Measured:</w:t>
            </w:r>
          </w:p>
          <w:p w:rsidR="00B72640" w:rsidRPr="003B32C1" w:rsidRDefault="00B72640" w:rsidP="003C4118">
            <w:pPr>
              <w:widowControl w:val="0"/>
              <w:rPr>
                <w:color w:val="000000"/>
                <w:sz w:val="18"/>
                <w:szCs w:val="18"/>
              </w:rPr>
            </w:pPr>
            <w:r w:rsidRPr="003B32C1">
              <w:rPr>
                <w:color w:val="000000"/>
                <w:sz w:val="18"/>
                <w:szCs w:val="18"/>
              </w:rPr>
              <w:t>LD</w:t>
            </w:r>
            <w:r w:rsidRPr="003B32C1">
              <w:rPr>
                <w:color w:val="000000"/>
                <w:sz w:val="18"/>
                <w:szCs w:val="18"/>
                <w:vertAlign w:val="subscript"/>
              </w:rPr>
              <w:t>50</w:t>
            </w:r>
            <w:r>
              <w:rPr>
                <w:color w:val="000000"/>
                <w:sz w:val="18"/>
                <w:szCs w:val="18"/>
              </w:rPr>
              <w:t xml:space="preserve"> </w:t>
            </w:r>
            <w:r w:rsidRPr="00135741">
              <w:rPr>
                <w:color w:val="FF0000"/>
                <w:sz w:val="18"/>
                <w:szCs w:val="18"/>
              </w:rPr>
              <w:t>XX</w:t>
            </w:r>
            <w:r w:rsidRPr="003B32C1">
              <w:rPr>
                <w:color w:val="000000"/>
                <w:sz w:val="18"/>
                <w:szCs w:val="18"/>
              </w:rPr>
              <w:t xml:space="preserve"> mg ac/kg bw </w:t>
            </w:r>
          </w:p>
          <w:p w:rsidR="00B72640" w:rsidRPr="00135741" w:rsidRDefault="00B72640" w:rsidP="003C4118">
            <w:pPr>
              <w:widowControl w:val="0"/>
              <w:rPr>
                <w:color w:val="FF0000"/>
                <w:sz w:val="18"/>
                <w:szCs w:val="18"/>
              </w:rPr>
            </w:pPr>
            <w:r w:rsidRPr="00135741">
              <w:rPr>
                <w:color w:val="FF0000"/>
                <w:sz w:val="18"/>
                <w:szCs w:val="18"/>
              </w:rPr>
              <w:t>Test item</w:t>
            </w:r>
          </w:p>
          <w:p w:rsidR="00B72640" w:rsidRPr="00135741" w:rsidRDefault="00B72640" w:rsidP="003C4118">
            <w:pPr>
              <w:widowControl w:val="0"/>
              <w:rPr>
                <w:i/>
                <w:color w:val="FF0000"/>
                <w:sz w:val="18"/>
                <w:szCs w:val="18"/>
              </w:rPr>
            </w:pPr>
            <w:r w:rsidRPr="00135741">
              <w:rPr>
                <w:i/>
                <w:color w:val="FF0000"/>
                <w:sz w:val="18"/>
                <w:szCs w:val="18"/>
              </w:rPr>
              <w:t>Test species</w:t>
            </w:r>
          </w:p>
          <w:p w:rsidR="00B72640" w:rsidRDefault="00B72640" w:rsidP="003C4118">
            <w:pPr>
              <w:widowControl w:val="0"/>
              <w:rPr>
                <w:sz w:val="18"/>
                <w:szCs w:val="18"/>
                <w:lang w:eastAsia="en-AU"/>
              </w:rPr>
            </w:pPr>
            <w:r w:rsidRPr="00135741">
              <w:rPr>
                <w:color w:val="FF0000"/>
                <w:sz w:val="18"/>
                <w:szCs w:val="18"/>
                <w:lang w:eastAsia="en-AU"/>
              </w:rPr>
              <w:t>Reference</w:t>
            </w:r>
          </w:p>
          <w:p w:rsidR="00B72640" w:rsidRDefault="00B72640" w:rsidP="003C4118">
            <w:pPr>
              <w:widowControl w:val="0"/>
              <w:rPr>
                <w:sz w:val="18"/>
                <w:szCs w:val="18"/>
                <w:lang w:eastAsia="en-AU"/>
              </w:rPr>
            </w:pPr>
          </w:p>
          <w:p w:rsidR="00B72640" w:rsidRDefault="00B72640" w:rsidP="003C4118">
            <w:pPr>
              <w:widowControl w:val="0"/>
              <w:rPr>
                <w:sz w:val="18"/>
                <w:szCs w:val="18"/>
                <w:lang w:eastAsia="en-AU"/>
              </w:rPr>
            </w:pPr>
            <w:r>
              <w:rPr>
                <w:sz w:val="18"/>
                <w:szCs w:val="18"/>
                <w:lang w:eastAsia="en-AU"/>
              </w:rPr>
              <w:t>Predicted:</w:t>
            </w:r>
          </w:p>
          <w:p w:rsidR="00B72640" w:rsidRDefault="00B72640" w:rsidP="003C4118">
            <w:pPr>
              <w:widowControl w:val="0"/>
              <w:rPr>
                <w:color w:val="000000"/>
                <w:sz w:val="18"/>
                <w:szCs w:val="18"/>
              </w:rPr>
            </w:pPr>
            <w:r w:rsidRPr="003B32C1">
              <w:rPr>
                <w:color w:val="000000"/>
                <w:sz w:val="18"/>
                <w:szCs w:val="18"/>
              </w:rPr>
              <w:t>LD</w:t>
            </w:r>
            <w:r w:rsidRPr="003B32C1">
              <w:rPr>
                <w:color w:val="000000"/>
                <w:sz w:val="18"/>
                <w:szCs w:val="18"/>
                <w:vertAlign w:val="subscript"/>
              </w:rPr>
              <w:t>50</w:t>
            </w:r>
            <w:r>
              <w:rPr>
                <w:color w:val="000000"/>
                <w:sz w:val="18"/>
                <w:szCs w:val="18"/>
              </w:rPr>
              <w:t xml:space="preserve"> </w:t>
            </w:r>
            <w:r w:rsidRPr="00135741">
              <w:rPr>
                <w:color w:val="FF0000"/>
                <w:sz w:val="18"/>
                <w:szCs w:val="18"/>
              </w:rPr>
              <w:t>XX</w:t>
            </w:r>
            <w:r w:rsidRPr="003B32C1">
              <w:rPr>
                <w:color w:val="000000"/>
                <w:sz w:val="18"/>
                <w:szCs w:val="18"/>
              </w:rPr>
              <w:t xml:space="preserve"> mg ac/kg bw</w:t>
            </w:r>
          </w:p>
          <w:p w:rsidR="00B72640" w:rsidRDefault="00B72640" w:rsidP="003C4118">
            <w:pPr>
              <w:widowControl w:val="0"/>
              <w:rPr>
                <w:color w:val="000000"/>
                <w:sz w:val="18"/>
                <w:szCs w:val="18"/>
              </w:rPr>
            </w:pPr>
          </w:p>
          <w:p w:rsidR="00B72640" w:rsidRDefault="00B72640" w:rsidP="003C4118">
            <w:pPr>
              <w:widowControl w:val="0"/>
              <w:rPr>
                <w:color w:val="000000"/>
                <w:sz w:val="18"/>
                <w:szCs w:val="18"/>
              </w:rPr>
            </w:pPr>
            <w:r>
              <w:rPr>
                <w:color w:val="000000"/>
                <w:sz w:val="18"/>
                <w:szCs w:val="18"/>
              </w:rPr>
              <w:t>Relative toxicity contributions:</w:t>
            </w:r>
          </w:p>
          <w:p w:rsidR="00B72640" w:rsidRDefault="00B72640" w:rsidP="003C4118">
            <w:pPr>
              <w:widowControl w:val="0"/>
              <w:rPr>
                <w:color w:val="000000"/>
                <w:sz w:val="18"/>
                <w:szCs w:val="18"/>
              </w:rPr>
            </w:pPr>
            <w:r w:rsidRPr="008033E2">
              <w:rPr>
                <w:color w:val="FF0000"/>
                <w:sz w:val="18"/>
                <w:szCs w:val="18"/>
              </w:rPr>
              <w:t>X</w:t>
            </w:r>
            <w:r>
              <w:rPr>
                <w:color w:val="000000"/>
                <w:sz w:val="18"/>
                <w:szCs w:val="18"/>
              </w:rPr>
              <w:t xml:space="preserve">% + </w:t>
            </w:r>
            <w:r w:rsidRPr="008033E2">
              <w:rPr>
                <w:color w:val="FF0000"/>
                <w:sz w:val="18"/>
                <w:szCs w:val="18"/>
              </w:rPr>
              <w:t>X</w:t>
            </w:r>
            <w:r>
              <w:rPr>
                <w:color w:val="000000"/>
                <w:sz w:val="18"/>
                <w:szCs w:val="18"/>
              </w:rPr>
              <w:t>%</w:t>
            </w:r>
          </w:p>
          <w:p w:rsidR="00B72640" w:rsidRDefault="00B72640" w:rsidP="003C4118">
            <w:pPr>
              <w:widowControl w:val="0"/>
              <w:rPr>
                <w:color w:val="000000"/>
                <w:sz w:val="18"/>
                <w:szCs w:val="18"/>
              </w:rPr>
            </w:pPr>
          </w:p>
          <w:p w:rsidR="00B72640" w:rsidRPr="00135741" w:rsidRDefault="00B72640" w:rsidP="003C4118">
            <w:pPr>
              <w:widowControl w:val="0"/>
              <w:rPr>
                <w:color w:val="000000"/>
                <w:sz w:val="18"/>
                <w:szCs w:val="18"/>
              </w:rPr>
            </w:pPr>
            <w:r>
              <w:rPr>
                <w:color w:val="000000"/>
                <w:sz w:val="18"/>
                <w:szCs w:val="18"/>
              </w:rPr>
              <w:t xml:space="preserve">MDR </w:t>
            </w:r>
            <w:r w:rsidRPr="00802A63">
              <w:rPr>
                <w:color w:val="FF0000"/>
                <w:sz w:val="18"/>
                <w:szCs w:val="18"/>
              </w:rPr>
              <w:t>X</w:t>
            </w:r>
          </w:p>
        </w:tc>
      </w:tr>
    </w:tbl>
    <w:p w:rsidR="00B72640" w:rsidRPr="00B72640" w:rsidRDefault="00B72640" w:rsidP="00B72640">
      <w:pPr>
        <w:pStyle w:val="Heading2"/>
        <w:ind w:left="851" w:hanging="851"/>
      </w:pPr>
      <w:bookmarkStart w:id="198" w:name="_Toc526432238"/>
      <w:r w:rsidRPr="00B72640">
        <w:lastRenderedPageBreak/>
        <w:t>Risk mitigation</w:t>
      </w:r>
      <w:bookmarkEnd w:id="198"/>
    </w:p>
    <w:p w:rsidR="00B72640" w:rsidRPr="00534232" w:rsidRDefault="00B72640" w:rsidP="00534232">
      <w:pPr>
        <w:pStyle w:val="NormalText"/>
        <w:rPr>
          <w:rStyle w:val="ATChar"/>
          <w:rFonts w:ascii="Calibri" w:hAnsi="Calibri" w:cs="Arial"/>
        </w:rPr>
      </w:pPr>
      <w:r w:rsidRPr="00534232">
        <w:rPr>
          <w:rStyle w:val="ATChar"/>
          <w:rFonts w:ascii="Calibri" w:hAnsi="Calibri" w:cs="Arial"/>
        </w:rPr>
        <w:t>Risk management options generally aim at a reduction of exposure. The possibilities of risk management very much depend on the type of product, the intended use, and specific conditions of the treatment area. Usually this is the final step in the assessment, but often it may be useful to envisage risk mitigation measures before all possibilities of refinement are exhausted. Whatever risk management option is chosen, the practicality should be assessed fully to ensure that it does not reduce the effectiveness and usefulness of the product.</w:t>
      </w:r>
    </w:p>
    <w:p w:rsidR="00B72640" w:rsidRPr="00312ACD" w:rsidRDefault="00B72640" w:rsidP="00B72640">
      <w:pPr>
        <w:pStyle w:val="BodyText"/>
        <w:rPr>
          <w:i/>
          <w:sz w:val="22"/>
          <w:szCs w:val="22"/>
        </w:rPr>
      </w:pPr>
      <w:r w:rsidRPr="00312ACD">
        <w:rPr>
          <w:i/>
          <w:sz w:val="22"/>
          <w:szCs w:val="22"/>
        </w:rPr>
        <w:t>Risk from spray application</w:t>
      </w:r>
    </w:p>
    <w:p w:rsidR="00B72640" w:rsidRPr="00534232" w:rsidRDefault="00B72640" w:rsidP="00534232">
      <w:pPr>
        <w:pStyle w:val="NormalText"/>
        <w:rPr>
          <w:rStyle w:val="ATChar"/>
          <w:rFonts w:ascii="Calibri" w:hAnsi="Calibri" w:cs="Arial"/>
        </w:rPr>
      </w:pPr>
      <w:r w:rsidRPr="00534232">
        <w:rPr>
          <w:rStyle w:val="ATChar"/>
          <w:rFonts w:ascii="Calibri" w:hAnsi="Calibri" w:cs="Arial"/>
        </w:rPr>
        <w:t>If a risk to birds and mammals has been indicated from the use of a spray, then the risk may be reduced by decreasing application rate and/or application frequency, however this may significantly affect the efficacy of the product. Alternatively spot or row treatment may be appropriate depending upon the pest or disease being treated. Changing the method of application from spr</w:t>
      </w:r>
      <w:r w:rsidR="00A8423E">
        <w:rPr>
          <w:rStyle w:val="ATChar"/>
          <w:rFonts w:ascii="Calibri" w:hAnsi="Calibri" w:cs="Arial"/>
        </w:rPr>
        <w:t>ay to a more target approach, eg</w:t>
      </w:r>
      <w:r w:rsidRPr="00534232">
        <w:rPr>
          <w:rStyle w:val="ATChar"/>
          <w:rFonts w:ascii="Calibri" w:hAnsi="Calibri" w:cs="Arial"/>
        </w:rPr>
        <w:t xml:space="preserve"> bait or paste/paint may reduce the risk to birds and mammals, however the success of this approach will depend upon the disease or pest being treated. If a reproductive risk to birds or mammals has been highlighted, then it may be appropriate to restrict the time of application when birds or mammals are not breeding, or to limit the number of applications and hence reduce exposure.</w:t>
      </w:r>
    </w:p>
    <w:p w:rsidR="00B72640" w:rsidRPr="00312ACD" w:rsidRDefault="00B72640" w:rsidP="00B72640">
      <w:pPr>
        <w:pStyle w:val="BodyText"/>
        <w:rPr>
          <w:i/>
          <w:sz w:val="22"/>
          <w:szCs w:val="22"/>
        </w:rPr>
      </w:pPr>
      <w:r w:rsidRPr="00312ACD">
        <w:rPr>
          <w:i/>
          <w:sz w:val="22"/>
          <w:szCs w:val="22"/>
        </w:rPr>
        <w:t>Risk from seed treatments</w:t>
      </w:r>
    </w:p>
    <w:p w:rsidR="00B72640" w:rsidRPr="00534232" w:rsidRDefault="00B72640" w:rsidP="00534232">
      <w:pPr>
        <w:pStyle w:val="NormalText"/>
        <w:rPr>
          <w:rStyle w:val="ATChar"/>
          <w:rFonts w:ascii="Calibri" w:hAnsi="Calibri" w:cs="Arial"/>
        </w:rPr>
      </w:pPr>
      <w:r w:rsidRPr="00534232">
        <w:rPr>
          <w:rStyle w:val="ATChar"/>
          <w:rFonts w:ascii="Calibri" w:hAnsi="Calibri" w:cs="Arial"/>
        </w:rPr>
        <w:t xml:space="preserve">If a high risk from a seed treatment is predicted a label instruction should require to remove spills immediately. Furthermore, it may be appropriate to consider that the seed be drilled or incorporated immediately after application. If seed is incorporated availability to birds and mammals will be reduced and hence if an acute risk has been highlighted then this will be reduced as birds and mammals will take longer to find and consume treated seed. It has to be assessed, of course, whether consumption is reduced enough to conclude that the risk is acceptable. </w:t>
      </w:r>
    </w:p>
    <w:p w:rsidR="00B72640" w:rsidRPr="00312ACD" w:rsidRDefault="00B72640" w:rsidP="000178C7">
      <w:pPr>
        <w:pStyle w:val="BodyText"/>
        <w:keepNext/>
        <w:rPr>
          <w:i/>
          <w:sz w:val="22"/>
          <w:szCs w:val="22"/>
        </w:rPr>
      </w:pPr>
      <w:r w:rsidRPr="00312ACD">
        <w:rPr>
          <w:i/>
          <w:sz w:val="22"/>
          <w:szCs w:val="22"/>
        </w:rPr>
        <w:t>Risk from granules</w:t>
      </w:r>
    </w:p>
    <w:p w:rsidR="00B72640" w:rsidRPr="00534232" w:rsidRDefault="00B72640" w:rsidP="00534232">
      <w:pPr>
        <w:pStyle w:val="NormalText"/>
        <w:rPr>
          <w:rStyle w:val="ATChar"/>
          <w:rFonts w:ascii="Calibri" w:hAnsi="Calibri" w:cs="Arial"/>
        </w:rPr>
      </w:pPr>
      <w:r w:rsidRPr="00534232">
        <w:rPr>
          <w:rStyle w:val="ATChar"/>
          <w:rFonts w:ascii="Calibri" w:hAnsi="Calibri" w:cs="Arial"/>
        </w:rPr>
        <w:t>If a high risk from granules has been highlighted, again removal of spills should be required and the feasibility of incorporating them at the time of application be considered in order to reduce the availability to birds. As for seed treatment, agronomic implications should be considered when assessing this as a risk management option.</w:t>
      </w:r>
    </w:p>
    <w:p w:rsidR="00B72640" w:rsidRPr="00312ACD" w:rsidRDefault="00B72640" w:rsidP="00B72640">
      <w:pPr>
        <w:pStyle w:val="BodyText"/>
        <w:rPr>
          <w:i/>
          <w:sz w:val="22"/>
          <w:szCs w:val="22"/>
        </w:rPr>
      </w:pPr>
      <w:r w:rsidRPr="00312ACD">
        <w:rPr>
          <w:i/>
          <w:sz w:val="22"/>
          <w:szCs w:val="22"/>
        </w:rPr>
        <w:t>Risk from rodenticides</w:t>
      </w:r>
    </w:p>
    <w:p w:rsidR="00B72640" w:rsidRPr="00534232" w:rsidRDefault="00B72640" w:rsidP="00534232">
      <w:pPr>
        <w:pStyle w:val="NormalText"/>
        <w:rPr>
          <w:rStyle w:val="ATChar"/>
          <w:rFonts w:ascii="Calibri" w:hAnsi="Calibri" w:cs="Arial"/>
        </w:rPr>
      </w:pPr>
      <w:r w:rsidRPr="00534232">
        <w:rPr>
          <w:rStyle w:val="ATChar"/>
          <w:rFonts w:ascii="Calibri" w:hAnsi="Calibri" w:cs="Arial"/>
        </w:rPr>
        <w:t>The availability of bait to non-target birds and mammals can be reduced by prescribing burrow-baiting or the use of bait stations. When surface spreading is necessary then application should be on vegetation rather than on bare soil. As far as rodent control in and around buildings and similar premises is concerned, removal of dead and moribund rodents and removal of bait remains after completion of the control operation should be regarded as routine safety measures.</w:t>
      </w:r>
    </w:p>
    <w:p w:rsidR="00B72640" w:rsidRPr="00B72640" w:rsidRDefault="00B72640" w:rsidP="00B72640">
      <w:pPr>
        <w:pStyle w:val="Heading2"/>
        <w:ind w:left="851" w:hanging="851"/>
      </w:pPr>
      <w:bookmarkStart w:id="199" w:name="_Toc526432239"/>
      <w:r w:rsidRPr="00B72640">
        <w:lastRenderedPageBreak/>
        <w:t>References</w:t>
      </w:r>
      <w:bookmarkEnd w:id="199"/>
    </w:p>
    <w:p w:rsidR="00B72640" w:rsidRPr="00534232" w:rsidRDefault="00B72640" w:rsidP="00534232">
      <w:pPr>
        <w:pStyle w:val="NormalText"/>
        <w:rPr>
          <w:rStyle w:val="ATChar"/>
          <w:rFonts w:ascii="Calibri" w:hAnsi="Calibri" w:cs="Arial"/>
        </w:rPr>
      </w:pPr>
      <w:r w:rsidRPr="00534232">
        <w:rPr>
          <w:rStyle w:val="ATChar"/>
          <w:rFonts w:ascii="Calibri" w:hAnsi="Calibri" w:cs="Arial"/>
        </w:rPr>
        <w:t xml:space="preserve">Aagard A, 2014, Pesticide risk assessment for birds and mammals: Selection of relevant species and development of standard scenarios for higher tier risk assessment in the Northern Zone in accordance with Regulation EC 1107/2009, version 1.1.  </w:t>
      </w:r>
    </w:p>
    <w:p w:rsidR="00B72640" w:rsidRPr="00534232" w:rsidRDefault="00B72640" w:rsidP="00534232">
      <w:pPr>
        <w:pStyle w:val="NormalText"/>
        <w:rPr>
          <w:rStyle w:val="ATChar"/>
          <w:rFonts w:ascii="Calibri" w:hAnsi="Calibri" w:cs="Arial"/>
        </w:rPr>
      </w:pPr>
      <w:r w:rsidRPr="00534232">
        <w:rPr>
          <w:rStyle w:val="ATChar"/>
          <w:rFonts w:ascii="Calibri" w:hAnsi="Calibri" w:cs="Arial"/>
        </w:rPr>
        <w:t>Benkman CW, Pulliam HR, 1988, Comparative feeding ecology of North American sparrows and finches, Ecology 69: 1195-1199</w:t>
      </w:r>
    </w:p>
    <w:p w:rsidR="00B72640" w:rsidRPr="00534232" w:rsidRDefault="00B72640" w:rsidP="00534232">
      <w:pPr>
        <w:pStyle w:val="NormalText"/>
        <w:rPr>
          <w:rStyle w:val="ATChar"/>
          <w:rFonts w:ascii="Calibri" w:hAnsi="Calibri" w:cs="Arial"/>
        </w:rPr>
      </w:pPr>
      <w:r w:rsidRPr="00534232">
        <w:rPr>
          <w:rStyle w:val="ATChar"/>
          <w:rFonts w:ascii="Calibri" w:hAnsi="Calibri" w:cs="Arial"/>
        </w:rPr>
        <w:t xml:space="preserve">Buxton JM, Crocker DR, Pascual JA, 1998, Birds and farming: information for risk assessment, 1998 update contract PN0919 Milestone Report FERA project no. M37. Available online: </w:t>
      </w:r>
      <w:hyperlink r:id="rId82" w:history="1">
        <w:r w:rsidRPr="00534232">
          <w:rPr>
            <w:rStyle w:val="ATChar"/>
            <w:rFonts w:ascii="Calibri" w:hAnsi="Calibri" w:cs="Arial"/>
          </w:rPr>
          <w:t>http://www.hse.gov.uk/pesticides/resources/B/Birdbible.pdf</w:t>
        </w:r>
      </w:hyperlink>
      <w:r w:rsidRPr="00534232">
        <w:rPr>
          <w:rStyle w:val="ATChar"/>
          <w:rFonts w:ascii="Calibri" w:hAnsi="Calibri" w:cs="Arial"/>
        </w:rPr>
        <w:t xml:space="preserve"> </w:t>
      </w:r>
    </w:p>
    <w:p w:rsidR="00B72640" w:rsidRPr="00534232" w:rsidRDefault="00B72640" w:rsidP="00534232">
      <w:pPr>
        <w:pStyle w:val="NormalText"/>
        <w:rPr>
          <w:rStyle w:val="ATChar"/>
          <w:rFonts w:ascii="Calibri" w:hAnsi="Calibri" w:cs="Arial"/>
        </w:rPr>
      </w:pPr>
      <w:r w:rsidRPr="00534232">
        <w:rPr>
          <w:rStyle w:val="ATChar"/>
          <w:rFonts w:ascii="Calibri" w:hAnsi="Calibri" w:cs="Arial"/>
        </w:rPr>
        <w:t xml:space="preserve">Crocker DR, Irving PV, 1999, Milestone report 02/01 Variation of bird numbers on arable crops, Contract PN0915 – Improving estimates of exposure to pesticides in arable crops. Available online: </w:t>
      </w:r>
      <w:hyperlink r:id="rId83" w:history="1">
        <w:r w:rsidRPr="00534232">
          <w:rPr>
            <w:rStyle w:val="ATChar"/>
            <w:rFonts w:ascii="Calibri" w:hAnsi="Calibri" w:cs="Arial"/>
          </w:rPr>
          <w:t>http://www.hse.gov.uk/pesticides/resources/R/Research_PN0915.pdf</w:t>
        </w:r>
      </w:hyperlink>
      <w:r w:rsidRPr="00534232">
        <w:rPr>
          <w:rStyle w:val="ATChar"/>
          <w:rFonts w:ascii="Calibri" w:hAnsi="Calibri" w:cs="Arial"/>
        </w:rPr>
        <w:t xml:space="preserve"> </w:t>
      </w:r>
    </w:p>
    <w:p w:rsidR="00B72640" w:rsidRPr="00534232" w:rsidRDefault="00B72640" w:rsidP="00534232">
      <w:pPr>
        <w:pStyle w:val="NormalText"/>
        <w:rPr>
          <w:rStyle w:val="ATChar"/>
          <w:rFonts w:ascii="Calibri" w:hAnsi="Calibri" w:cs="Arial"/>
        </w:rPr>
      </w:pPr>
      <w:r w:rsidRPr="00534232">
        <w:rPr>
          <w:rStyle w:val="ATChar"/>
          <w:rFonts w:ascii="Calibri" w:hAnsi="Calibri" w:cs="Arial"/>
        </w:rPr>
        <w:t xml:space="preserve">Crocker DR, Prosser P, Tarrant DA, Irving PV, Watola G, Chandler-Morris S, Hart J, Hart ADM, 1998a, Contract PN0903: Improving the assessment of pesticide risks to birds in orchards, Objective 1: Use of radiotelemetry to monitor birds’ use of orchards, FERA Report No. EH18/02, Available online: </w:t>
      </w:r>
      <w:hyperlink r:id="rId84" w:history="1">
        <w:r w:rsidRPr="00534232">
          <w:rPr>
            <w:rStyle w:val="ATChar"/>
            <w:rFonts w:ascii="Calibri" w:hAnsi="Calibri" w:cs="Arial"/>
          </w:rPr>
          <w:t>http://www.hse.gov.uk/pesticides/resources/P/PN090320Orchard20radio-tracking.pdf</w:t>
        </w:r>
      </w:hyperlink>
      <w:r w:rsidRPr="00534232">
        <w:rPr>
          <w:rStyle w:val="ATChar"/>
          <w:rFonts w:ascii="Calibri" w:hAnsi="Calibri" w:cs="Arial"/>
        </w:rPr>
        <w:t xml:space="preserve"> </w:t>
      </w:r>
    </w:p>
    <w:p w:rsidR="00B72640" w:rsidRPr="00534232" w:rsidRDefault="00B72640" w:rsidP="00534232">
      <w:pPr>
        <w:pStyle w:val="NormalText"/>
        <w:rPr>
          <w:rStyle w:val="ATChar"/>
          <w:rFonts w:ascii="Calibri" w:hAnsi="Calibri" w:cs="Arial"/>
        </w:rPr>
      </w:pPr>
      <w:r w:rsidRPr="00534232">
        <w:rPr>
          <w:rStyle w:val="ATChar"/>
          <w:rFonts w:ascii="Calibri" w:hAnsi="Calibri" w:cs="Arial"/>
        </w:rPr>
        <w:t xml:space="preserve">Crocker DR, Irving PV, Watola G, Tarrant KA, Hart ADM, 1998, Contract PN0903: Improving the assessment of pesticide risks to birds in orchards, Objective 2: Relative importance of pesticides and other factors influencing birds in orchards, FERA Report No. EH18/01, Available online: </w:t>
      </w:r>
      <w:hyperlink r:id="rId85" w:history="1">
        <w:r w:rsidRPr="00534232">
          <w:rPr>
            <w:rStyle w:val="ATChar"/>
            <w:rFonts w:ascii="Calibri" w:hAnsi="Calibri" w:cs="Arial"/>
          </w:rPr>
          <w:t>http://www.hse.gov.uk/pesticides/resources/P/PN090320Orchard20bird20censuses.pdf</w:t>
        </w:r>
      </w:hyperlink>
      <w:r w:rsidRPr="00534232">
        <w:rPr>
          <w:rStyle w:val="ATChar"/>
          <w:rFonts w:ascii="Calibri" w:hAnsi="Calibri" w:cs="Arial"/>
        </w:rPr>
        <w:t xml:space="preserve"> </w:t>
      </w:r>
    </w:p>
    <w:p w:rsidR="00B72640" w:rsidRPr="00534232" w:rsidRDefault="00B72640" w:rsidP="00534232">
      <w:pPr>
        <w:pStyle w:val="NormalText"/>
        <w:rPr>
          <w:rStyle w:val="ATChar"/>
          <w:rFonts w:ascii="Calibri" w:hAnsi="Calibri" w:cs="Arial"/>
        </w:rPr>
      </w:pPr>
      <w:r w:rsidRPr="00534232">
        <w:rPr>
          <w:rStyle w:val="ATChar"/>
          <w:rFonts w:ascii="Calibri" w:hAnsi="Calibri" w:cs="Arial"/>
        </w:rPr>
        <w:t xml:space="preserve">Crocker DR, Hart ADM, Gurney J, McCoy C, 2002, Project PN0908: Methods for estimating daily food intake rate of wild birds and mammals: Final report FERA. Available online: </w:t>
      </w:r>
      <w:hyperlink r:id="rId86" w:history="1">
        <w:r w:rsidRPr="00534232">
          <w:rPr>
            <w:rStyle w:val="ATChar"/>
            <w:rFonts w:ascii="Calibri" w:hAnsi="Calibri" w:cs="Arial"/>
          </w:rPr>
          <w:t>http://www.hse.gov.uk/pesticides/resources/R/Research_PN0908.pdf</w:t>
        </w:r>
      </w:hyperlink>
      <w:r w:rsidRPr="00534232">
        <w:rPr>
          <w:rStyle w:val="ATChar"/>
          <w:rFonts w:ascii="Calibri" w:hAnsi="Calibri" w:cs="Arial"/>
        </w:rPr>
        <w:t xml:space="preserve"> </w:t>
      </w:r>
    </w:p>
    <w:p w:rsidR="00B72640" w:rsidRPr="00534232" w:rsidRDefault="00B72640" w:rsidP="00534232">
      <w:pPr>
        <w:pStyle w:val="NormalText"/>
        <w:rPr>
          <w:rStyle w:val="ATChar"/>
          <w:rFonts w:ascii="Calibri" w:hAnsi="Calibri" w:cs="Arial"/>
        </w:rPr>
      </w:pPr>
      <w:r w:rsidRPr="00534232">
        <w:rPr>
          <w:rStyle w:val="ATChar"/>
          <w:rFonts w:ascii="Calibri" w:hAnsi="Calibri" w:cs="Arial"/>
        </w:rPr>
        <w:t xml:space="preserve">EC (European Commission), 2002, Guidance document on risk assessment for birds and mammals under Council Directive 91/414/EEC, SANCO/4145/2000 final, Brussels, BE. Available online: </w:t>
      </w:r>
      <w:hyperlink r:id="rId87" w:history="1">
        <w:r w:rsidRPr="00534232">
          <w:rPr>
            <w:rStyle w:val="ATChar"/>
            <w:rFonts w:ascii="Calibri" w:hAnsi="Calibri" w:cs="Arial"/>
          </w:rPr>
          <w:t>https://ec.europa.eu/food/sites/food/files/plant/docs/pesticides_ppp_app-proc_guide_ecotox_ra_birds-mammals.pdf</w:t>
        </w:r>
      </w:hyperlink>
      <w:r w:rsidRPr="00534232">
        <w:rPr>
          <w:rStyle w:val="ATChar"/>
          <w:rFonts w:ascii="Calibri" w:hAnsi="Calibri" w:cs="Arial"/>
        </w:rPr>
        <w:t xml:space="preserve"> </w:t>
      </w:r>
    </w:p>
    <w:p w:rsidR="00B72640" w:rsidRPr="00534232" w:rsidRDefault="00B72640" w:rsidP="00534232">
      <w:pPr>
        <w:pStyle w:val="NormalText"/>
        <w:rPr>
          <w:rStyle w:val="ATChar"/>
          <w:rFonts w:ascii="Calibri" w:hAnsi="Calibri" w:cs="Arial"/>
        </w:rPr>
      </w:pPr>
      <w:r w:rsidRPr="00534232">
        <w:rPr>
          <w:rStyle w:val="ATChar"/>
          <w:rFonts w:ascii="Calibri" w:hAnsi="Calibri" w:cs="Arial"/>
        </w:rPr>
        <w:t>EFSA (European Food Safety Authority), 2009, Guidance document on risk assessment for birds &amp; mammals on request from EFSA, EFSA Journal 2009; 7(12) 1438, doi: 10.2903/j.efsa.2009.1438. Available online: www.efsa.europa.eu</w:t>
      </w:r>
    </w:p>
    <w:p w:rsidR="00B72640" w:rsidRPr="00534232" w:rsidRDefault="00B72640" w:rsidP="00534232">
      <w:pPr>
        <w:pStyle w:val="NormalText"/>
        <w:rPr>
          <w:rStyle w:val="ATChar"/>
          <w:rFonts w:ascii="Calibri" w:hAnsi="Calibri" w:cs="Arial"/>
        </w:rPr>
      </w:pPr>
      <w:r w:rsidRPr="00534232">
        <w:rPr>
          <w:rStyle w:val="ATChar"/>
          <w:rFonts w:ascii="Calibri" w:hAnsi="Calibri" w:cs="Arial"/>
        </w:rPr>
        <w:t>EPPO (European and Mediterranean Plant Protection Protection Organization), 1995, Guideline for the evaluation of side-effects of plant protection products – Non-target effects of rodenticides, EPPO Bull 25, 553-574.</w:t>
      </w:r>
    </w:p>
    <w:p w:rsidR="00B72640" w:rsidRPr="00534232" w:rsidRDefault="00B72640" w:rsidP="00534232">
      <w:pPr>
        <w:pStyle w:val="NormalText"/>
        <w:rPr>
          <w:rStyle w:val="ATChar"/>
          <w:rFonts w:ascii="Calibri" w:hAnsi="Calibri" w:cs="Arial"/>
        </w:rPr>
      </w:pPr>
      <w:r w:rsidRPr="00534232">
        <w:rPr>
          <w:rStyle w:val="ATChar"/>
          <w:rFonts w:ascii="Calibri" w:hAnsi="Calibri" w:cs="Arial"/>
        </w:rPr>
        <w:t xml:space="preserve">EUBEES (European Union Biocides Environmental Exposure Scenario working group), 2003a, Emission scenario document for biocides used as rodenticides (Product type 14). Available online:  </w:t>
      </w:r>
      <w:hyperlink r:id="rId88" w:history="1">
        <w:r w:rsidRPr="00534232">
          <w:rPr>
            <w:rStyle w:val="ATChar"/>
            <w:rFonts w:ascii="Calibri" w:hAnsi="Calibri" w:cs="Arial"/>
          </w:rPr>
          <w:t>https://echa.europa.eu/documents/10162/16908203/pt14_rodenticides_en.pdf/159a8bb4-69bb-4bc4-9267-0b3221d16d09</w:t>
        </w:r>
      </w:hyperlink>
      <w:r w:rsidRPr="00534232">
        <w:rPr>
          <w:rStyle w:val="ATChar"/>
          <w:rFonts w:ascii="Calibri" w:hAnsi="Calibri" w:cs="Arial"/>
        </w:rPr>
        <w:t xml:space="preserve"> </w:t>
      </w:r>
    </w:p>
    <w:p w:rsidR="00B72640" w:rsidRPr="00534232" w:rsidRDefault="00B72640" w:rsidP="00534232">
      <w:pPr>
        <w:pStyle w:val="NormalText"/>
        <w:rPr>
          <w:rStyle w:val="ATChar"/>
          <w:rFonts w:ascii="Calibri" w:hAnsi="Calibri" w:cs="Arial"/>
        </w:rPr>
      </w:pPr>
      <w:r w:rsidRPr="00534232">
        <w:rPr>
          <w:rStyle w:val="ATChar"/>
          <w:rFonts w:ascii="Calibri" w:hAnsi="Calibri" w:cs="Arial"/>
        </w:rPr>
        <w:t xml:space="preserve">EUBEES (European Union Biocides Environmental Exposure Scenario working group), 2003b, Emission scenario document for biocides used as avicides (Product type 15), Available online:  </w:t>
      </w:r>
      <w:hyperlink r:id="rId89" w:history="1">
        <w:r w:rsidRPr="00534232">
          <w:rPr>
            <w:rStyle w:val="ATChar"/>
            <w:rFonts w:ascii="Calibri" w:hAnsi="Calibri" w:cs="Arial"/>
          </w:rPr>
          <w:t>https://echa.europa.eu/documents/10162/16908203/pt15_avicides_en.pdf/6e9dca51-905d-4122-a040-51e859eb0a93</w:t>
        </w:r>
      </w:hyperlink>
      <w:r w:rsidRPr="00534232">
        <w:rPr>
          <w:rStyle w:val="ATChar"/>
          <w:rFonts w:ascii="Calibri" w:hAnsi="Calibri" w:cs="Arial"/>
        </w:rPr>
        <w:t xml:space="preserve">  </w:t>
      </w:r>
    </w:p>
    <w:p w:rsidR="00B72640" w:rsidRPr="00534232" w:rsidRDefault="00B72640" w:rsidP="00534232">
      <w:pPr>
        <w:pStyle w:val="NormalText"/>
        <w:rPr>
          <w:rStyle w:val="ATChar"/>
          <w:rFonts w:ascii="Calibri" w:hAnsi="Calibri" w:cs="Arial"/>
        </w:rPr>
      </w:pPr>
      <w:r w:rsidRPr="00534232">
        <w:rPr>
          <w:rStyle w:val="ATChar"/>
          <w:rFonts w:ascii="Calibri" w:hAnsi="Calibri" w:cs="Arial"/>
        </w:rPr>
        <w:t xml:space="preserve">Fryday SL, Chandler-Morris SA, Tarrant KA, Hart ADM, 1999, Contract PN0914: Validation of methods for testing the avoidance of treated seeds by birds, Final report April 1999, FERA Report no. FL6400, Available online: </w:t>
      </w:r>
      <w:hyperlink r:id="rId90" w:history="1">
        <w:r w:rsidRPr="00534232">
          <w:rPr>
            <w:rStyle w:val="ATChar"/>
            <w:rFonts w:ascii="Calibri" w:hAnsi="Calibri" w:cs="Arial"/>
          </w:rPr>
          <w:t>http://www.hse.gov.uk/pesticides/resources/P/PN091420Validation20of20avoidance20methods.pdf</w:t>
        </w:r>
      </w:hyperlink>
      <w:r w:rsidRPr="00534232">
        <w:rPr>
          <w:rStyle w:val="ATChar"/>
          <w:rFonts w:ascii="Calibri" w:hAnsi="Calibri" w:cs="Arial"/>
        </w:rPr>
        <w:t xml:space="preserve"> </w:t>
      </w:r>
    </w:p>
    <w:p w:rsidR="00B72640" w:rsidRPr="00534232" w:rsidRDefault="00B72640" w:rsidP="00534232">
      <w:pPr>
        <w:pStyle w:val="NormalText"/>
        <w:rPr>
          <w:rStyle w:val="ATChar"/>
          <w:rFonts w:ascii="Calibri" w:hAnsi="Calibri" w:cs="Arial"/>
        </w:rPr>
      </w:pPr>
      <w:r w:rsidRPr="00534232">
        <w:rPr>
          <w:rStyle w:val="ATChar"/>
          <w:rFonts w:ascii="Calibri" w:hAnsi="Calibri" w:cs="Arial"/>
        </w:rPr>
        <w:t xml:space="preserve">Fryday SL, Chandler-Morris SA, Hart ADM, 2001, Contract PN0909: Robust tests for the acceptance of bait and treated seed by birds, November 2001, FERA Report No. FL3900. Available online: </w:t>
      </w:r>
      <w:hyperlink r:id="rId91" w:history="1">
        <w:r w:rsidRPr="00534232">
          <w:rPr>
            <w:rStyle w:val="ATChar"/>
            <w:rFonts w:ascii="Calibri" w:hAnsi="Calibri" w:cs="Arial"/>
          </w:rPr>
          <w:t>http://www.hse.gov.uk/pesticides/resources/P/PN090920Robust20tests20of20avoidance.pdf</w:t>
        </w:r>
      </w:hyperlink>
      <w:r w:rsidRPr="00534232">
        <w:rPr>
          <w:rStyle w:val="ATChar"/>
          <w:rFonts w:ascii="Calibri" w:hAnsi="Calibri" w:cs="Arial"/>
        </w:rPr>
        <w:t xml:space="preserve"> </w:t>
      </w:r>
    </w:p>
    <w:p w:rsidR="00B72640" w:rsidRPr="00534232" w:rsidRDefault="00B72640" w:rsidP="00534232">
      <w:pPr>
        <w:pStyle w:val="NormalText"/>
        <w:rPr>
          <w:rStyle w:val="ATChar"/>
          <w:rFonts w:ascii="Calibri" w:hAnsi="Calibri" w:cs="Arial"/>
        </w:rPr>
      </w:pPr>
      <w:r w:rsidRPr="00534232">
        <w:rPr>
          <w:rStyle w:val="ATChar"/>
          <w:rFonts w:ascii="Calibri" w:hAnsi="Calibri" w:cs="Arial"/>
        </w:rPr>
        <w:t xml:space="preserve">Gurney JE, Perrett J, Crocker DR, Pascual JA, 1998, Mammals and farming: information for risk assessment, 1998 Update Contract PN0919 Milestone Report FERA Project No. M37. Available online: </w:t>
      </w:r>
      <w:hyperlink r:id="rId92" w:history="1">
        <w:r w:rsidRPr="00534232">
          <w:rPr>
            <w:rStyle w:val="ATChar"/>
            <w:rFonts w:ascii="Calibri" w:hAnsi="Calibri" w:cs="Arial"/>
          </w:rPr>
          <w:t>http://www.hse.gov.uk/pesticides/resources/M/MammBible.pdf</w:t>
        </w:r>
      </w:hyperlink>
      <w:r w:rsidRPr="00534232">
        <w:rPr>
          <w:rStyle w:val="ATChar"/>
          <w:rFonts w:ascii="Calibri" w:hAnsi="Calibri" w:cs="Arial"/>
        </w:rPr>
        <w:t xml:space="preserve"> </w:t>
      </w:r>
    </w:p>
    <w:p w:rsidR="00B72640" w:rsidRPr="00534232" w:rsidRDefault="00B72640" w:rsidP="00534232">
      <w:pPr>
        <w:pStyle w:val="NormalText"/>
        <w:rPr>
          <w:rStyle w:val="ATChar"/>
          <w:rFonts w:ascii="Calibri" w:hAnsi="Calibri" w:cs="Arial"/>
        </w:rPr>
      </w:pPr>
      <w:r w:rsidRPr="00534232">
        <w:rPr>
          <w:rStyle w:val="ATChar"/>
          <w:rFonts w:ascii="Calibri" w:hAnsi="Calibri" w:cs="Arial"/>
        </w:rPr>
        <w:t xml:space="preserve">Hart ADM, 1999, Exposure of non-target organisms to pesticides in gardens, Final Report of PN0916. Available online: </w:t>
      </w:r>
      <w:hyperlink r:id="rId93" w:history="1">
        <w:r w:rsidRPr="00534232">
          <w:rPr>
            <w:rStyle w:val="ATChar"/>
            <w:rFonts w:ascii="Calibri" w:hAnsi="Calibri" w:cs="Arial"/>
          </w:rPr>
          <w:t>http://www.hse.gov.uk/pesticides/resources/P/PN0916.pdf</w:t>
        </w:r>
      </w:hyperlink>
      <w:r w:rsidRPr="00534232">
        <w:rPr>
          <w:rStyle w:val="ATChar"/>
          <w:rFonts w:ascii="Calibri" w:hAnsi="Calibri" w:cs="Arial"/>
        </w:rPr>
        <w:t xml:space="preserve"> </w:t>
      </w:r>
    </w:p>
    <w:p w:rsidR="00B72640" w:rsidRPr="00534232" w:rsidRDefault="00B72640" w:rsidP="00534232">
      <w:pPr>
        <w:pStyle w:val="NormalText"/>
        <w:rPr>
          <w:rStyle w:val="ATChar"/>
          <w:rFonts w:ascii="Calibri" w:hAnsi="Calibri" w:cs="Arial"/>
        </w:rPr>
      </w:pPr>
      <w:r w:rsidRPr="00534232">
        <w:rPr>
          <w:rStyle w:val="ATChar"/>
          <w:rFonts w:ascii="Calibri" w:hAnsi="Calibri" w:cs="Arial"/>
        </w:rPr>
        <w:t xml:space="preserve">Hart ADM, 2002, Project PN0920: UK case studies on quantitative risk assessment: Final report 1. Available online: </w:t>
      </w:r>
      <w:hyperlink r:id="rId94" w:history="1">
        <w:r w:rsidRPr="00534232">
          <w:rPr>
            <w:rStyle w:val="ATChar"/>
            <w:rFonts w:ascii="Calibri" w:hAnsi="Calibri" w:cs="Arial"/>
          </w:rPr>
          <w:t>http://www.hse.gov.uk/pesticides/resources/P/PN0920_final_report.pdf</w:t>
        </w:r>
      </w:hyperlink>
      <w:r w:rsidRPr="00534232">
        <w:rPr>
          <w:rStyle w:val="ATChar"/>
          <w:rFonts w:ascii="Calibri" w:hAnsi="Calibri" w:cs="Arial"/>
        </w:rPr>
        <w:t xml:space="preserve"> </w:t>
      </w:r>
    </w:p>
    <w:p w:rsidR="00B72640" w:rsidRPr="00534232" w:rsidRDefault="00B72640" w:rsidP="00534232">
      <w:pPr>
        <w:pStyle w:val="NormalText"/>
        <w:rPr>
          <w:rStyle w:val="ATChar"/>
          <w:rFonts w:ascii="Calibri" w:hAnsi="Calibri" w:cs="Arial"/>
        </w:rPr>
      </w:pPr>
      <w:r w:rsidRPr="00534232">
        <w:rPr>
          <w:rStyle w:val="ATChar"/>
          <w:rFonts w:ascii="Calibri" w:hAnsi="Calibri" w:cs="Arial"/>
        </w:rPr>
        <w:t>Joermann G,1998, A review of secondary poisoning studies with rodenticides. EPPO Bull 28: 157-176.</w:t>
      </w:r>
    </w:p>
    <w:p w:rsidR="00B72640" w:rsidRPr="00534232" w:rsidRDefault="00B72640" w:rsidP="00534232">
      <w:pPr>
        <w:pStyle w:val="NormalText"/>
        <w:rPr>
          <w:rStyle w:val="ATChar"/>
          <w:rFonts w:ascii="Calibri" w:hAnsi="Calibri" w:cs="Arial"/>
        </w:rPr>
      </w:pPr>
      <w:r w:rsidRPr="00534232">
        <w:rPr>
          <w:rStyle w:val="ATChar"/>
          <w:rFonts w:ascii="Calibri" w:hAnsi="Calibri" w:cs="Arial"/>
        </w:rPr>
        <w:t xml:space="preserve">Pascual J, Crocker DR, Hart ADM, 1998, Project PN0919: Improving estimates of the exposure of non-target wildlife to pesticides in arable crops – a review of existing data – Discussion document for meeting on 15 May 1998, Contract PN0910/PN0919 Milestone report, Available online: </w:t>
      </w:r>
      <w:hyperlink r:id="rId95" w:history="1">
        <w:r w:rsidRPr="00534232">
          <w:rPr>
            <w:rStyle w:val="ATChar"/>
            <w:rFonts w:ascii="Calibri" w:hAnsi="Calibri" w:cs="Arial"/>
          </w:rPr>
          <w:t>http://www.hse.gov.uk/pesticides/resources/P/PN091920Arable20Literature20Review.pdf</w:t>
        </w:r>
      </w:hyperlink>
      <w:r w:rsidRPr="00534232">
        <w:rPr>
          <w:rStyle w:val="ATChar"/>
          <w:rFonts w:ascii="Calibri" w:hAnsi="Calibri" w:cs="Arial"/>
        </w:rPr>
        <w:t xml:space="preserve"> </w:t>
      </w:r>
    </w:p>
    <w:p w:rsidR="00B72640" w:rsidRPr="00534232" w:rsidRDefault="00B72640" w:rsidP="00534232">
      <w:pPr>
        <w:pStyle w:val="NormalText"/>
        <w:rPr>
          <w:rStyle w:val="ATChar"/>
          <w:rFonts w:ascii="Calibri" w:hAnsi="Calibri" w:cs="Arial"/>
        </w:rPr>
      </w:pPr>
      <w:r w:rsidRPr="00534232">
        <w:rPr>
          <w:rStyle w:val="ATChar"/>
          <w:rFonts w:ascii="Calibri" w:hAnsi="Calibri" w:cs="Arial"/>
        </w:rPr>
        <w:t xml:space="preserve">Prosser P, 1999, Project PN0907: Potential exposure of birds to treated seed, Final milestone report FERA. Available online: </w:t>
      </w:r>
      <w:hyperlink r:id="rId96" w:history="1">
        <w:r w:rsidRPr="00534232">
          <w:rPr>
            <w:rStyle w:val="ATChar"/>
            <w:rFonts w:ascii="Calibri" w:hAnsi="Calibri" w:cs="Arial"/>
          </w:rPr>
          <w:t>http://www.hse.gov.uk/pesticides/resources/R/Research_PN0907.pdf</w:t>
        </w:r>
      </w:hyperlink>
      <w:r w:rsidRPr="00534232">
        <w:rPr>
          <w:rStyle w:val="ATChar"/>
          <w:rFonts w:ascii="Calibri" w:hAnsi="Calibri" w:cs="Arial"/>
        </w:rPr>
        <w:t xml:space="preserve"> </w:t>
      </w:r>
    </w:p>
    <w:p w:rsidR="00B72640" w:rsidRPr="00534232" w:rsidRDefault="00B72640" w:rsidP="00534232">
      <w:pPr>
        <w:pStyle w:val="NormalText"/>
        <w:rPr>
          <w:rStyle w:val="ATChar"/>
          <w:rFonts w:ascii="Calibri" w:hAnsi="Calibri" w:cs="Arial"/>
        </w:rPr>
      </w:pPr>
      <w:r w:rsidRPr="00534232">
        <w:rPr>
          <w:rStyle w:val="ATChar"/>
          <w:rFonts w:ascii="Calibri" w:hAnsi="Calibri" w:cs="Arial"/>
        </w:rPr>
        <w:t xml:space="preserve">Prosser P, 2010, Consolidation of bird and mammal PT data for use in risk assessment, UK DEFRA, Food and Environment Research Agency (FERA). </w:t>
      </w:r>
    </w:p>
    <w:p w:rsidR="00B72640" w:rsidRPr="00534232" w:rsidRDefault="00B72640" w:rsidP="00534232">
      <w:pPr>
        <w:pStyle w:val="NormalText"/>
        <w:rPr>
          <w:rStyle w:val="ATChar"/>
          <w:rFonts w:ascii="Calibri" w:hAnsi="Calibri" w:cs="Arial"/>
        </w:rPr>
      </w:pPr>
      <w:r w:rsidRPr="00534232">
        <w:rPr>
          <w:rStyle w:val="ATChar"/>
          <w:rFonts w:ascii="Calibri" w:hAnsi="Calibri" w:cs="Arial"/>
        </w:rPr>
        <w:t>USEPA (United States Environmental Protection Agency), 2016, Refinements for risk assessment of pesticide treated seeds – interim guidance, USEPA Office of Pesticide Programs, Environmental Fate and Effects Division, Washington DC.</w:t>
      </w:r>
    </w:p>
    <w:p w:rsidR="00D92F37" w:rsidRDefault="00D92F37">
      <w:pPr>
        <w:spacing w:after="160" w:line="259" w:lineRule="auto"/>
      </w:pPr>
      <w:r>
        <w:br w:type="page"/>
      </w:r>
    </w:p>
    <w:p w:rsidR="00E44270" w:rsidRDefault="00E44270" w:rsidP="000440F9">
      <w:pPr>
        <w:pStyle w:val="Heading1"/>
        <w:numPr>
          <w:ilvl w:val="0"/>
          <w:numId w:val="22"/>
        </w:numPr>
      </w:pPr>
      <w:bookmarkStart w:id="200" w:name="_Toc526432240"/>
      <w:r>
        <w:lastRenderedPageBreak/>
        <w:t>APpendix B – Other Non-Target Arthropods</w:t>
      </w:r>
      <w:bookmarkEnd w:id="200"/>
    </w:p>
    <w:p w:rsidR="00E44270" w:rsidRPr="009B062C" w:rsidRDefault="00E44270" w:rsidP="00E44270">
      <w:pPr>
        <w:pStyle w:val="Heading2"/>
        <w:keepLines w:val="0"/>
        <w:tabs>
          <w:tab w:val="num" w:pos="1134"/>
        </w:tabs>
        <w:suppressAutoHyphens w:val="0"/>
        <w:spacing w:before="480" w:after="120" w:line="240" w:lineRule="auto"/>
        <w:ind w:left="1134" w:hanging="1134"/>
      </w:pPr>
      <w:bookmarkStart w:id="201" w:name="_Toc526432241"/>
      <w:r w:rsidRPr="009B062C">
        <w:t>Introduction</w:t>
      </w:r>
      <w:bookmarkEnd w:id="201"/>
    </w:p>
    <w:p w:rsidR="00E44270" w:rsidRPr="003C4118" w:rsidRDefault="00E44270" w:rsidP="00E44270">
      <w:pPr>
        <w:pStyle w:val="NormalText"/>
        <w:rPr>
          <w:rStyle w:val="ATChar"/>
          <w:rFonts w:ascii="Calibri" w:hAnsi="Calibri" w:cs="Arial"/>
        </w:rPr>
      </w:pPr>
      <w:r w:rsidRPr="003C4118">
        <w:rPr>
          <w:rStyle w:val="ATChar"/>
          <w:rFonts w:ascii="Calibri" w:hAnsi="Calibri" w:cs="Arial"/>
        </w:rPr>
        <w:t xml:space="preserve">Non-target arthropods play a vital role in the ecosystem and therefore pesticide products that are used as prescribed should not cause unacceptable effects on populations of non-target arthropods both in- and off-field. Many species of non-target arthropods are natural enemies of pests. Their presence and healthy activity keeps primary and secondary pests in check. The objective of the assessment is therefore to ensure that any risk to non-target arthropod populations, both within and off the cropping field, are highlighted and to assess the nature of the risk so that adequate risk reduction measures can be taken. </w:t>
      </w:r>
    </w:p>
    <w:p w:rsidR="00E44270" w:rsidRPr="003C4118" w:rsidRDefault="00E44270" w:rsidP="00E44270">
      <w:pPr>
        <w:pStyle w:val="Heading2"/>
        <w:keepLines w:val="0"/>
        <w:tabs>
          <w:tab w:val="num" w:pos="1134"/>
        </w:tabs>
        <w:suppressAutoHyphens w:val="0"/>
        <w:spacing w:before="480" w:after="120" w:line="240" w:lineRule="auto"/>
        <w:ind w:left="1134" w:hanging="1134"/>
      </w:pPr>
      <w:bookmarkStart w:id="202" w:name="_Toc526432242"/>
      <w:r w:rsidRPr="003C4118">
        <w:t>Toxicity values</w:t>
      </w:r>
      <w:bookmarkEnd w:id="202"/>
    </w:p>
    <w:p w:rsidR="00E44270" w:rsidRPr="00B40EA8" w:rsidRDefault="00E44270" w:rsidP="00E44270">
      <w:pPr>
        <w:pStyle w:val="BodyText"/>
        <w:rPr>
          <w:i/>
          <w:sz w:val="22"/>
          <w:szCs w:val="22"/>
        </w:rPr>
      </w:pPr>
      <w:r w:rsidRPr="00B40EA8">
        <w:rPr>
          <w:i/>
          <w:sz w:val="22"/>
          <w:szCs w:val="22"/>
        </w:rPr>
        <w:t>Tier 1 testing</w:t>
      </w:r>
    </w:p>
    <w:p w:rsidR="00E44270" w:rsidRPr="003C4118" w:rsidRDefault="00E44270" w:rsidP="00E44270">
      <w:pPr>
        <w:pStyle w:val="NormalText"/>
        <w:rPr>
          <w:rStyle w:val="ATChar"/>
          <w:rFonts w:ascii="Calibri" w:hAnsi="Calibri" w:cs="Arial"/>
        </w:rPr>
      </w:pPr>
      <w:r w:rsidRPr="003C4118">
        <w:rPr>
          <w:rStyle w:val="ATChar"/>
          <w:rFonts w:ascii="Calibri" w:hAnsi="Calibri" w:cs="Arial"/>
        </w:rPr>
        <w:t>The Tier 1 laboratory test is a dose–response test assessing lethal effects of the active substance on the test species. This tier has a screening character and is required for all representative formulations where exposure of non-target arthropods can occur. At this tier, detailed i</w:t>
      </w:r>
      <w:r w:rsidR="00A8423E">
        <w:rPr>
          <w:rStyle w:val="ATChar"/>
          <w:rFonts w:ascii="Calibri" w:hAnsi="Calibri" w:cs="Arial"/>
        </w:rPr>
        <w:t>nformation is not considered, eg</w:t>
      </w:r>
      <w:r w:rsidRPr="003C4118">
        <w:rPr>
          <w:rStyle w:val="ATChar"/>
          <w:rFonts w:ascii="Calibri" w:hAnsi="Calibri" w:cs="Arial"/>
        </w:rPr>
        <w:t xml:space="preserve"> about sublethal effects or about the effects of specific formulations. A representative formulation should be used for this test instead of the active substance as relevant experimental exposure of non-target arthropods to the pure active substance is impractical. Testing guidelines indicated in Candolfi et al. 2000) should be used for dose–response tests. The study should include different application rates of the test compound and should allow calculation of a dose–response regression curve. The report should include regression analysis and calculation of the required LR50 to be expressed in g </w:t>
      </w:r>
      <w:r w:rsidR="00A8423E">
        <w:rPr>
          <w:rStyle w:val="ATChar"/>
          <w:rFonts w:ascii="Calibri" w:hAnsi="Calibri" w:cs="Arial"/>
        </w:rPr>
        <w:t>ac/ha. In certain conditions, eg</w:t>
      </w:r>
      <w:r w:rsidRPr="003C4118">
        <w:rPr>
          <w:rStyle w:val="ATChar"/>
          <w:rFonts w:ascii="Calibri" w:hAnsi="Calibri" w:cs="Arial"/>
        </w:rPr>
        <w:t xml:space="preserve"> when the toxicity is very low compared with maximum field rates or in other cases where experimental assessment of a reliable LR50 value is not reasonably possible, a limit test at the maximum seasonal rate may be sufficient.</w:t>
      </w:r>
    </w:p>
    <w:p w:rsidR="00E44270" w:rsidRPr="003C4118" w:rsidRDefault="00E44270" w:rsidP="00E44270">
      <w:pPr>
        <w:pStyle w:val="NormalText"/>
        <w:rPr>
          <w:rStyle w:val="ATChar"/>
          <w:rFonts w:ascii="Calibri" w:hAnsi="Calibri" w:cs="Arial"/>
        </w:rPr>
      </w:pPr>
      <w:r w:rsidRPr="003C4118">
        <w:rPr>
          <w:rStyle w:val="ATChar"/>
          <w:rFonts w:ascii="Calibri" w:hAnsi="Calibri" w:cs="Arial"/>
        </w:rPr>
        <w:t xml:space="preserve">Standard species are </w:t>
      </w:r>
      <w:r w:rsidRPr="000440F9">
        <w:rPr>
          <w:rStyle w:val="ATChar"/>
          <w:rFonts w:ascii="Calibri" w:hAnsi="Calibri" w:cs="Arial"/>
          <w:i/>
        </w:rPr>
        <w:t>Aphidius rhopalosiphi</w:t>
      </w:r>
      <w:r w:rsidRPr="003C4118">
        <w:rPr>
          <w:rStyle w:val="ATChar"/>
          <w:rFonts w:ascii="Calibri" w:hAnsi="Calibri" w:cs="Arial"/>
        </w:rPr>
        <w:t xml:space="preserve"> (a parasitoid hymenopteran insect) and </w:t>
      </w:r>
      <w:r w:rsidRPr="000440F9">
        <w:rPr>
          <w:rStyle w:val="ATChar"/>
          <w:rFonts w:ascii="Calibri" w:hAnsi="Calibri" w:cs="Arial"/>
          <w:i/>
        </w:rPr>
        <w:t>Typhlodromus pyri</w:t>
      </w:r>
      <w:r w:rsidRPr="003C4118">
        <w:rPr>
          <w:rStyle w:val="ATChar"/>
          <w:rFonts w:ascii="Calibri" w:hAnsi="Calibri" w:cs="Arial"/>
        </w:rPr>
        <w:t xml:space="preserve"> (a predatory phytoseiid mite). These standard indicator species have been shown to be relatively sensitive and representative of non-target arthropods in a comparative study of arthropods of nine families exposed to 95 plant protection products (Candolfi et al. 1999) and are therefore suitable as indicator species for this group of terrestrial non-target arthropods.</w:t>
      </w:r>
    </w:p>
    <w:p w:rsidR="00E44270" w:rsidRPr="00B40EA8" w:rsidRDefault="00E44270" w:rsidP="00E44270">
      <w:pPr>
        <w:pStyle w:val="BodyText"/>
        <w:rPr>
          <w:i/>
          <w:sz w:val="22"/>
          <w:szCs w:val="22"/>
        </w:rPr>
      </w:pPr>
      <w:r w:rsidRPr="00B40EA8">
        <w:rPr>
          <w:i/>
          <w:sz w:val="22"/>
          <w:szCs w:val="22"/>
        </w:rPr>
        <w:t>Tier 2 testing</w:t>
      </w:r>
    </w:p>
    <w:p w:rsidR="00E44270" w:rsidRPr="003C4118" w:rsidRDefault="00E44270" w:rsidP="00E44270">
      <w:pPr>
        <w:pStyle w:val="NormalText"/>
        <w:rPr>
          <w:rStyle w:val="ATChar"/>
          <w:rFonts w:ascii="Calibri" w:hAnsi="Calibri" w:cs="Arial"/>
        </w:rPr>
      </w:pPr>
      <w:r w:rsidRPr="003C4118">
        <w:rPr>
          <w:rStyle w:val="ATChar"/>
          <w:rFonts w:ascii="Calibri" w:hAnsi="Calibri" w:cs="Arial"/>
        </w:rPr>
        <w:t>Higher-tier tests may compri</w:t>
      </w:r>
      <w:r w:rsidR="00A8423E">
        <w:rPr>
          <w:rStyle w:val="ATChar"/>
          <w:rFonts w:ascii="Calibri" w:hAnsi="Calibri" w:cs="Arial"/>
        </w:rPr>
        <w:t>se extended laboratory tests (eg</w:t>
      </w:r>
      <w:r w:rsidRPr="003C4118">
        <w:rPr>
          <w:rStyle w:val="ATChar"/>
          <w:rFonts w:ascii="Calibri" w:hAnsi="Calibri" w:cs="Arial"/>
        </w:rPr>
        <w:t xml:space="preserve"> on natural substrates), semi-field bioassays and field experiments. They are not necessarily executed in this order but depending on the question that needs to be answered one may choose, for instance, to skip extended laboratory tests and move directly to semi-field or field experiments.</w:t>
      </w:r>
    </w:p>
    <w:p w:rsidR="00E44270" w:rsidRPr="003C4118" w:rsidRDefault="00E44270" w:rsidP="00E44270">
      <w:pPr>
        <w:pStyle w:val="NormalText"/>
        <w:rPr>
          <w:rStyle w:val="ATChar"/>
          <w:rFonts w:ascii="Calibri" w:hAnsi="Calibri" w:cs="Arial"/>
        </w:rPr>
      </w:pPr>
      <w:r w:rsidRPr="003C4118">
        <w:rPr>
          <w:rStyle w:val="ATChar"/>
          <w:rFonts w:ascii="Calibri" w:hAnsi="Calibri" w:cs="Arial"/>
        </w:rPr>
        <w:t>If one or both indicator species are affected in tier 1 testing, the affected species should be tested further in higher-tier studies. Moreover, additional species should be included in higher-tier tests. The choice of additional species, including criteria for the choice and testing methodology, is discussed in Candolfi et al. 2001. IGRs should be tested in these higher tiers on susceptible, immature life stages.</w:t>
      </w:r>
    </w:p>
    <w:p w:rsidR="00E44270" w:rsidRPr="00C25DB5" w:rsidRDefault="00E44270" w:rsidP="00E44270">
      <w:pPr>
        <w:pStyle w:val="BodyText"/>
        <w:rPr>
          <w:i/>
          <w:sz w:val="22"/>
          <w:szCs w:val="22"/>
        </w:rPr>
      </w:pPr>
      <w:r w:rsidRPr="00C25DB5">
        <w:rPr>
          <w:i/>
          <w:sz w:val="22"/>
          <w:szCs w:val="22"/>
        </w:rPr>
        <w:lastRenderedPageBreak/>
        <w:t>Tier 3 testing</w:t>
      </w:r>
    </w:p>
    <w:p w:rsidR="00E44270" w:rsidRPr="003C4118" w:rsidRDefault="00E44270" w:rsidP="00E44270">
      <w:pPr>
        <w:pStyle w:val="NormalText"/>
        <w:rPr>
          <w:rStyle w:val="ATChar"/>
          <w:rFonts w:ascii="Calibri" w:hAnsi="Calibri" w:cs="Arial"/>
        </w:rPr>
      </w:pPr>
      <w:r w:rsidRPr="003C4118">
        <w:rPr>
          <w:rStyle w:val="ATChar"/>
          <w:rFonts w:ascii="Calibri" w:hAnsi="Calibri" w:cs="Arial"/>
        </w:rPr>
        <w:t xml:space="preserve">In field trials, effects on populations rather than on individuals should be the testing endpoint. The effect on the population of a species including time to recolonization/recovery should be analysed by comparison with control plots. There is no fixed threshold (trigger) value for acceptability of effects, because the consequence/impact of treatments and potential for recovery can be markedly different for different organisms and circumstances. Factors such as mobility of a species, reproduction time and developmental stage at risk can influence the severity of product effects on a population. </w:t>
      </w:r>
    </w:p>
    <w:p w:rsidR="00E44270" w:rsidRPr="003C4118" w:rsidRDefault="00E44270" w:rsidP="00E44270">
      <w:pPr>
        <w:pStyle w:val="Heading2"/>
        <w:keepLines w:val="0"/>
        <w:tabs>
          <w:tab w:val="num" w:pos="1134"/>
        </w:tabs>
        <w:suppressAutoHyphens w:val="0"/>
        <w:spacing w:before="480" w:after="120" w:line="240" w:lineRule="auto"/>
        <w:ind w:left="1134" w:hanging="1134"/>
      </w:pPr>
      <w:bookmarkStart w:id="203" w:name="_Toc526432243"/>
      <w:r w:rsidRPr="003C4118">
        <w:t>Risk assessment</w:t>
      </w:r>
      <w:bookmarkEnd w:id="203"/>
    </w:p>
    <w:p w:rsidR="00E44270" w:rsidRPr="003C4118" w:rsidRDefault="00E44270" w:rsidP="00E44270">
      <w:pPr>
        <w:pStyle w:val="NormalText"/>
        <w:rPr>
          <w:rStyle w:val="ATChar"/>
          <w:rFonts w:ascii="Calibri" w:hAnsi="Calibri" w:cs="Arial"/>
        </w:rPr>
      </w:pPr>
      <w:r w:rsidRPr="003C4118">
        <w:rPr>
          <w:rStyle w:val="ATChar"/>
          <w:rFonts w:ascii="Calibri" w:hAnsi="Calibri" w:cs="Arial"/>
        </w:rPr>
        <w:t xml:space="preserve">Other beneficial (predatory and parasitic) arthropods could be directly exposed to the active constituent within the crop during treatment or as a result of spray drift. Risks to beneficial arthropods are assessed using a tiered approach which is in line with EPPO (2003) guidance. </w:t>
      </w:r>
    </w:p>
    <w:p w:rsidR="00E44270" w:rsidRPr="003C4118" w:rsidRDefault="00E44270" w:rsidP="00E44270">
      <w:pPr>
        <w:pStyle w:val="NormalText"/>
        <w:rPr>
          <w:rStyle w:val="ATChar"/>
          <w:rFonts w:ascii="Calibri" w:hAnsi="Calibri" w:cs="Arial"/>
        </w:rPr>
      </w:pPr>
      <w:r w:rsidRPr="003C4118">
        <w:rPr>
          <w:rStyle w:val="ATChar"/>
          <w:rFonts w:ascii="Calibri" w:hAnsi="Calibri" w:cs="Arial"/>
        </w:rPr>
        <w:t>For multiple applications, a default foliar DT50 of 10 days is assumed. Foliar dissipation data can be used to refine the assessment if it is shown that the dissipation of the active constituent is faster than assumed:</w:t>
      </w:r>
    </w:p>
    <w:p w:rsidR="00E44270" w:rsidRDefault="00E44270" w:rsidP="00E44270">
      <w:pPr>
        <w:pStyle w:val="BodyText"/>
        <w:rPr>
          <w:sz w:val="22"/>
          <w:szCs w:val="22"/>
        </w:rPr>
      </w:pPr>
    </w:p>
    <w:p w:rsidR="00E44270" w:rsidRPr="001E0BBE" w:rsidRDefault="00E44270" w:rsidP="00E44270">
      <w:pPr>
        <w:pStyle w:val="BodyText"/>
        <w:ind w:left="720"/>
        <w:rPr>
          <w:sz w:val="20"/>
          <w:szCs w:val="22"/>
        </w:rPr>
      </w:pPr>
      <w:r>
        <w:rPr>
          <w:sz w:val="20"/>
          <w:szCs w:val="22"/>
        </w:rPr>
        <w:t>Cumulative rate</w:t>
      </w:r>
      <w:r w:rsidRPr="001E0BBE">
        <w:rPr>
          <w:sz w:val="20"/>
          <w:szCs w:val="22"/>
        </w:rPr>
        <w:t xml:space="preserve"> = </w:t>
      </w:r>
      <w:r>
        <w:rPr>
          <w:sz w:val="20"/>
          <w:szCs w:val="22"/>
        </w:rPr>
        <w:t>Single rate</w:t>
      </w:r>
      <w:r w:rsidRPr="001E0BBE">
        <w:rPr>
          <w:sz w:val="20"/>
          <w:szCs w:val="22"/>
        </w:rPr>
        <w:t xml:space="preserve"> · </w:t>
      </w:r>
      <w:r>
        <w:rPr>
          <w:sz w:val="20"/>
          <w:szCs w:val="22"/>
        </w:rPr>
        <w:t>(1-EXP(-N*ln2/DT</w:t>
      </w:r>
      <w:r w:rsidRPr="00622A17">
        <w:rPr>
          <w:sz w:val="20"/>
          <w:szCs w:val="22"/>
          <w:vertAlign w:val="subscript"/>
        </w:rPr>
        <w:t>50</w:t>
      </w:r>
      <w:r>
        <w:rPr>
          <w:sz w:val="20"/>
          <w:szCs w:val="22"/>
        </w:rPr>
        <w:t>*interval))/(1-EXP(-ln2/DT</w:t>
      </w:r>
      <w:r w:rsidRPr="00622A17">
        <w:rPr>
          <w:sz w:val="20"/>
          <w:szCs w:val="22"/>
          <w:vertAlign w:val="subscript"/>
        </w:rPr>
        <w:t>50</w:t>
      </w:r>
      <w:r>
        <w:rPr>
          <w:sz w:val="20"/>
          <w:szCs w:val="22"/>
        </w:rPr>
        <w:t>*interval))</w:t>
      </w:r>
    </w:p>
    <w:p w:rsidR="00E44270" w:rsidRPr="001E0BBE" w:rsidRDefault="00E44270" w:rsidP="00E44270">
      <w:pPr>
        <w:pStyle w:val="BodyText"/>
        <w:ind w:left="720"/>
        <w:rPr>
          <w:sz w:val="20"/>
          <w:szCs w:val="22"/>
        </w:rPr>
      </w:pPr>
    </w:p>
    <w:p w:rsidR="00E44270" w:rsidRPr="001E0BBE" w:rsidRDefault="00E44270" w:rsidP="00E44270">
      <w:pPr>
        <w:pStyle w:val="BodyText"/>
        <w:ind w:left="720"/>
        <w:rPr>
          <w:sz w:val="20"/>
          <w:szCs w:val="22"/>
        </w:rPr>
      </w:pPr>
      <w:r w:rsidRPr="001E0BBE">
        <w:rPr>
          <w:sz w:val="20"/>
          <w:szCs w:val="22"/>
        </w:rPr>
        <w:t>in which:</w:t>
      </w:r>
    </w:p>
    <w:p w:rsidR="00E44270" w:rsidRPr="001E0BBE" w:rsidRDefault="00E44270" w:rsidP="00E44270">
      <w:pPr>
        <w:pStyle w:val="BodyText"/>
        <w:ind w:left="720"/>
        <w:rPr>
          <w:sz w:val="20"/>
          <w:szCs w:val="22"/>
        </w:rPr>
      </w:pPr>
      <w:r>
        <w:rPr>
          <w:sz w:val="20"/>
          <w:szCs w:val="22"/>
        </w:rPr>
        <w:t>Cumulative</w:t>
      </w:r>
      <w:r w:rsidRPr="001E0BBE">
        <w:rPr>
          <w:sz w:val="20"/>
          <w:szCs w:val="22"/>
        </w:rPr>
        <w:t xml:space="preserve"> </w:t>
      </w:r>
      <w:r>
        <w:rPr>
          <w:sz w:val="20"/>
          <w:szCs w:val="22"/>
        </w:rPr>
        <w:t xml:space="preserve">rate </w:t>
      </w:r>
      <w:r w:rsidRPr="001E0BBE">
        <w:rPr>
          <w:sz w:val="20"/>
          <w:szCs w:val="22"/>
        </w:rPr>
        <w:t xml:space="preserve">= </w:t>
      </w:r>
      <w:r>
        <w:rPr>
          <w:sz w:val="20"/>
          <w:szCs w:val="22"/>
        </w:rPr>
        <w:t>accumulated application rate immediately after the last application (g ac/ha)</w:t>
      </w:r>
    </w:p>
    <w:p w:rsidR="00E44270" w:rsidRDefault="00E44270" w:rsidP="00E44270">
      <w:pPr>
        <w:pStyle w:val="BodyText"/>
        <w:ind w:left="720"/>
        <w:rPr>
          <w:sz w:val="20"/>
          <w:szCs w:val="22"/>
        </w:rPr>
      </w:pPr>
      <w:r>
        <w:rPr>
          <w:sz w:val="20"/>
          <w:szCs w:val="22"/>
        </w:rPr>
        <w:t>Single rate = single application rate (g ac/ha)</w:t>
      </w:r>
    </w:p>
    <w:p w:rsidR="00E44270" w:rsidRDefault="00E44270" w:rsidP="00E44270">
      <w:pPr>
        <w:pStyle w:val="BodyText"/>
        <w:ind w:left="720"/>
        <w:rPr>
          <w:sz w:val="20"/>
          <w:szCs w:val="22"/>
        </w:rPr>
      </w:pPr>
      <w:r>
        <w:rPr>
          <w:sz w:val="20"/>
          <w:szCs w:val="22"/>
        </w:rPr>
        <w:t>N = number of applications</w:t>
      </w:r>
    </w:p>
    <w:p w:rsidR="00E44270" w:rsidRDefault="00E44270" w:rsidP="00E44270">
      <w:pPr>
        <w:pStyle w:val="BodyText"/>
        <w:ind w:left="720"/>
        <w:rPr>
          <w:sz w:val="20"/>
          <w:szCs w:val="22"/>
        </w:rPr>
      </w:pPr>
      <w:r>
        <w:rPr>
          <w:sz w:val="20"/>
          <w:szCs w:val="22"/>
        </w:rPr>
        <w:t>DT</w:t>
      </w:r>
      <w:r w:rsidRPr="00622A17">
        <w:rPr>
          <w:sz w:val="20"/>
          <w:szCs w:val="22"/>
          <w:vertAlign w:val="subscript"/>
        </w:rPr>
        <w:t>50</w:t>
      </w:r>
      <w:r>
        <w:rPr>
          <w:sz w:val="20"/>
          <w:szCs w:val="22"/>
        </w:rPr>
        <w:t xml:space="preserve"> = foliar half-life (default 10 d)</w:t>
      </w:r>
    </w:p>
    <w:p w:rsidR="00E44270" w:rsidRDefault="00E44270" w:rsidP="00E44270">
      <w:pPr>
        <w:pStyle w:val="BodyText"/>
        <w:ind w:left="720"/>
        <w:rPr>
          <w:sz w:val="20"/>
          <w:szCs w:val="22"/>
        </w:rPr>
      </w:pPr>
      <w:r>
        <w:rPr>
          <w:sz w:val="20"/>
          <w:szCs w:val="22"/>
        </w:rPr>
        <w:t>Interval = time between application (d)</w:t>
      </w:r>
    </w:p>
    <w:p w:rsidR="007E5F4F" w:rsidRDefault="007E5F4F" w:rsidP="00E44270">
      <w:pPr>
        <w:pStyle w:val="BodyText"/>
        <w:ind w:left="720"/>
        <w:rPr>
          <w:sz w:val="22"/>
          <w:szCs w:val="22"/>
        </w:rPr>
      </w:pPr>
    </w:p>
    <w:p w:rsidR="00E44270" w:rsidRPr="0007346D" w:rsidRDefault="00E44270" w:rsidP="00E44270">
      <w:pPr>
        <w:pStyle w:val="BodyText"/>
        <w:rPr>
          <w:i/>
          <w:sz w:val="22"/>
          <w:szCs w:val="22"/>
        </w:rPr>
      </w:pPr>
      <w:r w:rsidRPr="0007346D">
        <w:rPr>
          <w:i/>
          <w:sz w:val="22"/>
          <w:szCs w:val="22"/>
        </w:rPr>
        <w:t>Tier 1 assessment</w:t>
      </w:r>
    </w:p>
    <w:p w:rsidR="00E44270" w:rsidRPr="003C4118" w:rsidRDefault="00E44270" w:rsidP="00225D67">
      <w:pPr>
        <w:pStyle w:val="NormalText"/>
        <w:rPr>
          <w:rStyle w:val="ATChar"/>
          <w:rFonts w:ascii="Calibri" w:hAnsi="Calibri" w:cs="Arial"/>
        </w:rPr>
      </w:pPr>
      <w:r w:rsidRPr="003C4118">
        <w:rPr>
          <w:rStyle w:val="ATChar"/>
          <w:rFonts w:ascii="Calibri" w:hAnsi="Calibri" w:cs="Arial"/>
        </w:rPr>
        <w:t>A screening level risk assessment utilises Tier 1 toxicity data and assumes the non-target arthropods are exposed to fresh-dried residues within the treatment area immediately after application (</w:t>
      </w:r>
      <w:r w:rsidR="00225D67">
        <w:rPr>
          <w:rStyle w:val="ATChar"/>
          <w:rFonts w:ascii="Calibri" w:hAnsi="Calibri" w:cs="Arial"/>
        </w:rPr>
        <w:fldChar w:fldCharType="begin"/>
      </w:r>
      <w:r w:rsidR="00225D67">
        <w:rPr>
          <w:rStyle w:val="ATChar"/>
          <w:rFonts w:ascii="Calibri" w:hAnsi="Calibri" w:cs="Arial"/>
        </w:rPr>
        <w:instrText xml:space="preserve"> REF _Ref528656593 \h  \* MERGEFORMAT </w:instrText>
      </w:r>
      <w:r w:rsidR="00225D67">
        <w:rPr>
          <w:rStyle w:val="ATChar"/>
          <w:rFonts w:ascii="Calibri" w:hAnsi="Calibri" w:cs="Arial"/>
        </w:rPr>
      </w:r>
      <w:r w:rsidR="00225D67">
        <w:rPr>
          <w:rStyle w:val="ATChar"/>
          <w:rFonts w:ascii="Calibri" w:hAnsi="Calibri" w:cs="Arial"/>
        </w:rPr>
        <w:fldChar w:fldCharType="separate"/>
      </w:r>
      <w:r w:rsidR="00225D67" w:rsidRPr="009A4CFC">
        <w:t xml:space="preserve">Table </w:t>
      </w:r>
      <w:r w:rsidR="00225D67">
        <w:rPr>
          <w:noProof/>
        </w:rPr>
        <w:t>16</w:t>
      </w:r>
      <w:r w:rsidR="00225D67">
        <w:rPr>
          <w:rStyle w:val="ATChar"/>
          <w:rFonts w:ascii="Calibri" w:hAnsi="Calibri" w:cs="Arial"/>
        </w:rPr>
        <w:fldChar w:fldCharType="end"/>
      </w:r>
      <w:r w:rsidRPr="003C4118">
        <w:rPr>
          <w:rStyle w:val="ATChar"/>
          <w:rFonts w:ascii="Calibri" w:hAnsi="Calibri" w:cs="Arial"/>
        </w:rPr>
        <w:t>).</w:t>
      </w:r>
    </w:p>
    <w:p w:rsidR="00E44270" w:rsidRPr="00622A17" w:rsidRDefault="00E44270" w:rsidP="00E44270">
      <w:pPr>
        <w:pStyle w:val="BodyText"/>
        <w:rPr>
          <w:i/>
          <w:sz w:val="22"/>
          <w:szCs w:val="22"/>
        </w:rPr>
      </w:pPr>
      <w:r w:rsidRPr="00622A17">
        <w:rPr>
          <w:i/>
          <w:sz w:val="22"/>
          <w:szCs w:val="22"/>
        </w:rPr>
        <w:t>Tier 2 assessment</w:t>
      </w:r>
    </w:p>
    <w:p w:rsidR="00E44270" w:rsidRPr="003C4118" w:rsidRDefault="00E44270" w:rsidP="00E44270">
      <w:pPr>
        <w:pStyle w:val="NormalText"/>
        <w:rPr>
          <w:rStyle w:val="ATChar"/>
          <w:rFonts w:ascii="Calibri" w:hAnsi="Calibri" w:cs="Arial"/>
        </w:rPr>
      </w:pPr>
      <w:r w:rsidRPr="003C4118">
        <w:rPr>
          <w:rStyle w:val="ATChar"/>
          <w:rFonts w:ascii="Calibri" w:hAnsi="Calibri" w:cs="Arial"/>
        </w:rPr>
        <w:t>If it is necessary to refine the assessment, a Tier 2 assessment is conducted which considers higher-tier tests conducted under progressively more natural, realistic conditions.</w:t>
      </w:r>
    </w:p>
    <w:p w:rsidR="00E44270" w:rsidRDefault="00E44270" w:rsidP="00E44270">
      <w:pPr>
        <w:pStyle w:val="BodyText"/>
        <w:rPr>
          <w:sz w:val="22"/>
          <w:szCs w:val="22"/>
        </w:rPr>
      </w:pPr>
      <w:r>
        <w:rPr>
          <w:sz w:val="22"/>
          <w:szCs w:val="22"/>
        </w:rPr>
        <w:t>Tier 3 assessment</w:t>
      </w:r>
    </w:p>
    <w:p w:rsidR="00E44270" w:rsidRPr="003C4118" w:rsidRDefault="00E44270" w:rsidP="00E44270">
      <w:pPr>
        <w:pStyle w:val="NormalText"/>
        <w:rPr>
          <w:rStyle w:val="ATChar"/>
          <w:rFonts w:ascii="Calibri" w:hAnsi="Calibri" w:cs="Arial"/>
        </w:rPr>
      </w:pPr>
      <w:r w:rsidRPr="003C4118">
        <w:rPr>
          <w:rStyle w:val="ATChar"/>
          <w:rFonts w:ascii="Calibri" w:hAnsi="Calibri" w:cs="Arial"/>
        </w:rPr>
        <w:t>The tier 3 assessment considers the results of field trials. Relevance to the Australian situation must be considered. Acceptability has to be assessed on a case-by-case basis for each arthropod taxon or group under investigation. Expert judgement is required to interpret field study results. In some cases, in particular with insecticides, a certain level of adverse impact on in-field arthropods is likely and almost unavoidable. The final criterion for acceptable risk in-field is that non-target arthropods affected by pesticide products should be able to recover to levels of corresponding control fields within, at most, 1 year after treatment(s).</w:t>
      </w:r>
    </w:p>
    <w:p w:rsidR="00E44270" w:rsidRPr="003C4118" w:rsidRDefault="00E44270" w:rsidP="00E44270">
      <w:pPr>
        <w:pStyle w:val="Heading2"/>
        <w:keepLines w:val="0"/>
        <w:tabs>
          <w:tab w:val="num" w:pos="1134"/>
        </w:tabs>
        <w:suppressAutoHyphens w:val="0"/>
        <w:spacing w:before="480" w:after="120" w:line="240" w:lineRule="auto"/>
        <w:ind w:left="1134" w:hanging="1134"/>
      </w:pPr>
      <w:bookmarkStart w:id="204" w:name="_Toc526432244"/>
      <w:r w:rsidRPr="003C4118">
        <w:lastRenderedPageBreak/>
        <w:t>Combination toxicity</w:t>
      </w:r>
      <w:bookmarkEnd w:id="204"/>
    </w:p>
    <w:p w:rsidR="00E44270" w:rsidRPr="003C4118" w:rsidRDefault="00E44270" w:rsidP="00E44270">
      <w:pPr>
        <w:pStyle w:val="NormalText"/>
        <w:rPr>
          <w:rStyle w:val="ATChar"/>
          <w:rFonts w:ascii="Calibri" w:hAnsi="Calibri" w:cs="Arial"/>
        </w:rPr>
      </w:pPr>
      <w:r w:rsidRPr="003C4118">
        <w:rPr>
          <w:rStyle w:val="ATChar"/>
          <w:rFonts w:ascii="Calibri" w:hAnsi="Calibri" w:cs="Arial"/>
        </w:rPr>
        <w:t>Other beneficial (predatory and parasitic) arthropods could be directly exposed to combined residues on treated plants during treatment. Risks are determined following direct exposure to combined residues immediately after application. In the absence of formulation toxicity data, combination toxicity is estimated assuming additive toxicity for organisms which are sensitive to at least two of the constituents in the mixture. The estimation method for combination toxicity is provided in Table X. If one active substance drives the overall toxicity (≥ 90%), then it is concluded that the toxicity is driven by the active constituent and additive toxicity is not considered further.</w:t>
      </w:r>
    </w:p>
    <w:p w:rsidR="00E44270" w:rsidRPr="003C4118" w:rsidRDefault="00E44270" w:rsidP="00E44270">
      <w:pPr>
        <w:pStyle w:val="NormalText"/>
        <w:rPr>
          <w:rStyle w:val="ATChar"/>
          <w:rFonts w:ascii="Calibri" w:hAnsi="Calibri" w:cs="Arial"/>
        </w:rPr>
      </w:pPr>
      <w:r w:rsidRPr="003C4118">
        <w:rPr>
          <w:rStyle w:val="ATChar"/>
          <w:rFonts w:ascii="Calibri" w:hAnsi="Calibri" w:cs="Arial"/>
        </w:rPr>
        <w:t>If formulation toxicity data are available, the observed toxicity of the mixture is compared to the predicted toxicity based on active substance data which can be done for any ratio of active substances by calculation of the Model Deviation Ratio (MDR). If the MDR is within the range of 0.2 to 5, the mixture toxicity is assumed to be additive. If the MRD is &lt;0.2, the mixture toxicity is considered to be less than additive (antagonistic) and if the MDR is &gt;5, the mixture toxicity is considered to be more than additive (synergistic).</w:t>
      </w:r>
    </w:p>
    <w:p w:rsidR="00E44270" w:rsidRPr="003C4118" w:rsidRDefault="00E44270" w:rsidP="00E44270">
      <w:pPr>
        <w:pStyle w:val="Heading2"/>
        <w:keepLines w:val="0"/>
        <w:tabs>
          <w:tab w:val="num" w:pos="1134"/>
        </w:tabs>
        <w:suppressAutoHyphens w:val="0"/>
        <w:spacing w:before="480" w:after="120" w:line="240" w:lineRule="auto"/>
        <w:ind w:left="1134" w:hanging="1134"/>
      </w:pPr>
      <w:bookmarkStart w:id="205" w:name="_Toc526432245"/>
      <w:r w:rsidRPr="003C4118">
        <w:t>Risk assessment tables</w:t>
      </w:r>
      <w:bookmarkEnd w:id="205"/>
    </w:p>
    <w:p w:rsidR="008B68EB" w:rsidRPr="009A4CFC" w:rsidRDefault="008B68EB" w:rsidP="008B68EB">
      <w:pPr>
        <w:pStyle w:val="Caption"/>
      </w:pPr>
      <w:r w:rsidRPr="009A4CFC">
        <w:t xml:space="preserve">Table </w:t>
      </w:r>
      <w:r w:rsidR="00EA08EB">
        <w:rPr>
          <w:noProof/>
        </w:rPr>
        <w:fldChar w:fldCharType="begin"/>
      </w:r>
      <w:r w:rsidR="00EA08EB">
        <w:rPr>
          <w:noProof/>
        </w:rPr>
        <w:instrText xml:space="preserve"> SEQ Table \* ARABIC </w:instrText>
      </w:r>
      <w:r w:rsidR="00EA08EB">
        <w:rPr>
          <w:noProof/>
        </w:rPr>
        <w:fldChar w:fldCharType="separate"/>
      </w:r>
      <w:r w:rsidR="00225D67">
        <w:rPr>
          <w:noProof/>
        </w:rPr>
        <w:t>15</w:t>
      </w:r>
      <w:r w:rsidR="00EA08EB">
        <w:rPr>
          <w:noProof/>
        </w:rPr>
        <w:fldChar w:fldCharType="end"/>
      </w:r>
      <w:r w:rsidRPr="009A4CFC">
        <w:t xml:space="preserve"> - </w:t>
      </w:r>
      <w:r w:rsidRPr="008B68EB">
        <w:t>Regulatory acceptable rates for other non-target arthropods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947"/>
        <w:gridCol w:w="2456"/>
        <w:gridCol w:w="2214"/>
        <w:gridCol w:w="1937"/>
        <w:gridCol w:w="1074"/>
      </w:tblGrid>
      <w:tr w:rsidR="00E44270" w:rsidRPr="00C426CC" w:rsidTr="00B76694">
        <w:trPr>
          <w:cantSplit/>
          <w:tblHeader/>
        </w:trPr>
        <w:tc>
          <w:tcPr>
            <w:tcW w:w="0" w:type="auto"/>
            <w:shd w:val="clear" w:color="auto" w:fill="auto"/>
          </w:tcPr>
          <w:p w:rsidR="00E44270" w:rsidRPr="006937CC" w:rsidRDefault="00E44270" w:rsidP="00B76694">
            <w:pPr>
              <w:jc w:val="center"/>
              <w:rPr>
                <w:b/>
                <w:sz w:val="18"/>
                <w:szCs w:val="20"/>
                <w:lang w:eastAsia="en-AU"/>
              </w:rPr>
            </w:pPr>
            <w:r w:rsidRPr="006937CC">
              <w:rPr>
                <w:b/>
                <w:sz w:val="18"/>
                <w:szCs w:val="20"/>
                <w:lang w:eastAsia="en-AU"/>
              </w:rPr>
              <w:t>Taxonomic group</w:t>
            </w:r>
          </w:p>
        </w:tc>
        <w:tc>
          <w:tcPr>
            <w:tcW w:w="0" w:type="auto"/>
          </w:tcPr>
          <w:p w:rsidR="00E44270" w:rsidRPr="006937CC" w:rsidRDefault="00E44270" w:rsidP="00B76694">
            <w:pPr>
              <w:jc w:val="center"/>
              <w:rPr>
                <w:b/>
                <w:sz w:val="18"/>
                <w:szCs w:val="20"/>
                <w:lang w:eastAsia="en-AU"/>
              </w:rPr>
            </w:pPr>
            <w:r>
              <w:rPr>
                <w:b/>
                <w:sz w:val="18"/>
                <w:szCs w:val="20"/>
                <w:lang w:eastAsia="en-AU"/>
              </w:rPr>
              <w:t>Indicator species</w:t>
            </w:r>
          </w:p>
        </w:tc>
        <w:tc>
          <w:tcPr>
            <w:tcW w:w="0" w:type="auto"/>
          </w:tcPr>
          <w:p w:rsidR="00E44270" w:rsidRPr="006937CC" w:rsidRDefault="00E44270" w:rsidP="00B76694">
            <w:pPr>
              <w:jc w:val="center"/>
              <w:rPr>
                <w:b/>
                <w:sz w:val="18"/>
                <w:szCs w:val="20"/>
                <w:lang w:eastAsia="en-AU"/>
              </w:rPr>
            </w:pPr>
            <w:r w:rsidRPr="006937CC">
              <w:rPr>
                <w:b/>
                <w:sz w:val="18"/>
                <w:szCs w:val="20"/>
                <w:lang w:eastAsia="en-AU"/>
              </w:rPr>
              <w:t>Endpoint</w:t>
            </w:r>
          </w:p>
        </w:tc>
        <w:tc>
          <w:tcPr>
            <w:tcW w:w="0" w:type="auto"/>
          </w:tcPr>
          <w:p w:rsidR="00E44270" w:rsidRPr="006937CC" w:rsidRDefault="00E44270" w:rsidP="00B76694">
            <w:pPr>
              <w:jc w:val="center"/>
              <w:rPr>
                <w:b/>
                <w:sz w:val="18"/>
                <w:szCs w:val="20"/>
                <w:lang w:eastAsia="en-AU"/>
              </w:rPr>
            </w:pPr>
            <w:r w:rsidRPr="006937CC">
              <w:rPr>
                <w:b/>
                <w:sz w:val="18"/>
                <w:szCs w:val="20"/>
                <w:lang w:eastAsia="en-AU"/>
              </w:rPr>
              <w:t xml:space="preserve">Assessment </w:t>
            </w:r>
            <w:r>
              <w:rPr>
                <w:b/>
                <w:sz w:val="18"/>
                <w:szCs w:val="20"/>
                <w:lang w:eastAsia="en-AU"/>
              </w:rPr>
              <w:t>f</w:t>
            </w:r>
            <w:r w:rsidRPr="006937CC">
              <w:rPr>
                <w:b/>
                <w:sz w:val="18"/>
                <w:szCs w:val="20"/>
                <w:lang w:eastAsia="en-AU"/>
              </w:rPr>
              <w:t>actor</w:t>
            </w:r>
            <w:r>
              <w:rPr>
                <w:b/>
                <w:sz w:val="18"/>
                <w:szCs w:val="20"/>
                <w:lang w:eastAsia="en-AU"/>
              </w:rPr>
              <w:t>*</w:t>
            </w:r>
          </w:p>
        </w:tc>
        <w:tc>
          <w:tcPr>
            <w:tcW w:w="0" w:type="auto"/>
            <w:shd w:val="clear" w:color="auto" w:fill="auto"/>
          </w:tcPr>
          <w:p w:rsidR="00E44270" w:rsidRPr="006937CC" w:rsidRDefault="00E44270" w:rsidP="00B76694">
            <w:pPr>
              <w:jc w:val="center"/>
              <w:rPr>
                <w:b/>
                <w:sz w:val="18"/>
                <w:szCs w:val="20"/>
                <w:lang w:eastAsia="en-AU"/>
              </w:rPr>
            </w:pPr>
            <w:r w:rsidRPr="006937CC">
              <w:rPr>
                <w:b/>
                <w:sz w:val="18"/>
                <w:szCs w:val="20"/>
                <w:lang w:eastAsia="en-AU"/>
              </w:rPr>
              <w:t>RA</w:t>
            </w:r>
            <w:r>
              <w:rPr>
                <w:b/>
                <w:sz w:val="18"/>
                <w:szCs w:val="20"/>
                <w:lang w:eastAsia="en-AU"/>
              </w:rPr>
              <w:t>R</w:t>
            </w:r>
          </w:p>
        </w:tc>
      </w:tr>
      <w:tr w:rsidR="00E44270" w:rsidRPr="00C426CC" w:rsidTr="00B76694">
        <w:trPr>
          <w:cantSplit/>
        </w:trPr>
        <w:tc>
          <w:tcPr>
            <w:tcW w:w="0" w:type="auto"/>
            <w:gridSpan w:val="5"/>
            <w:shd w:val="clear" w:color="auto" w:fill="auto"/>
          </w:tcPr>
          <w:p w:rsidR="00E44270" w:rsidRPr="00783EDD" w:rsidRDefault="00E44270" w:rsidP="00B76694">
            <w:pPr>
              <w:jc w:val="center"/>
              <w:rPr>
                <w:b/>
                <w:sz w:val="18"/>
                <w:szCs w:val="20"/>
                <w:lang w:eastAsia="en-AU"/>
              </w:rPr>
            </w:pPr>
            <w:r w:rsidRPr="00783EDD">
              <w:rPr>
                <w:b/>
                <w:sz w:val="18"/>
                <w:szCs w:val="20"/>
                <w:lang w:eastAsia="en-AU"/>
              </w:rPr>
              <w:t>Tier 1 toxicity testing</w:t>
            </w:r>
          </w:p>
        </w:tc>
      </w:tr>
      <w:tr w:rsidR="00E44270" w:rsidRPr="00C426CC" w:rsidTr="00B76694">
        <w:trPr>
          <w:cantSplit/>
        </w:trPr>
        <w:tc>
          <w:tcPr>
            <w:tcW w:w="0" w:type="auto"/>
            <w:shd w:val="clear" w:color="auto" w:fill="auto"/>
          </w:tcPr>
          <w:p w:rsidR="00E44270" w:rsidRPr="006937CC" w:rsidRDefault="00E44270" w:rsidP="00B76694">
            <w:pPr>
              <w:rPr>
                <w:sz w:val="18"/>
                <w:szCs w:val="20"/>
                <w:lang w:eastAsia="en-AU"/>
              </w:rPr>
            </w:pPr>
            <w:r>
              <w:rPr>
                <w:sz w:val="18"/>
                <w:szCs w:val="20"/>
                <w:lang w:eastAsia="en-AU"/>
              </w:rPr>
              <w:t>Predatory arthropods</w:t>
            </w:r>
          </w:p>
        </w:tc>
        <w:tc>
          <w:tcPr>
            <w:tcW w:w="0" w:type="auto"/>
          </w:tcPr>
          <w:p w:rsidR="00E44270" w:rsidRPr="00EE6188" w:rsidRDefault="00E44270" w:rsidP="00B76694">
            <w:pPr>
              <w:rPr>
                <w:i/>
                <w:sz w:val="18"/>
                <w:szCs w:val="18"/>
              </w:rPr>
            </w:pPr>
            <w:r w:rsidRPr="00EE6188">
              <w:rPr>
                <w:i/>
                <w:sz w:val="18"/>
                <w:szCs w:val="18"/>
              </w:rPr>
              <w:t>Typhlodromus pyri</w:t>
            </w:r>
          </w:p>
        </w:tc>
        <w:tc>
          <w:tcPr>
            <w:tcW w:w="0" w:type="auto"/>
          </w:tcPr>
          <w:p w:rsidR="00E44270" w:rsidRPr="006937CC" w:rsidRDefault="00E44270" w:rsidP="00B76694">
            <w:pPr>
              <w:jc w:val="right"/>
              <w:rPr>
                <w:sz w:val="18"/>
                <w:szCs w:val="20"/>
                <w:lang w:eastAsia="en-AU"/>
              </w:rPr>
            </w:pPr>
            <w:r>
              <w:rPr>
                <w:sz w:val="18"/>
                <w:szCs w:val="20"/>
                <w:lang w:eastAsia="en-AU"/>
              </w:rPr>
              <w:t>LR</w:t>
            </w:r>
            <w:r w:rsidRPr="00EC4082">
              <w:rPr>
                <w:sz w:val="18"/>
                <w:szCs w:val="20"/>
                <w:vertAlign w:val="subscript"/>
                <w:lang w:eastAsia="en-AU"/>
              </w:rPr>
              <w:t>50</w:t>
            </w:r>
            <w:r>
              <w:rPr>
                <w:sz w:val="18"/>
                <w:szCs w:val="20"/>
                <w:lang w:eastAsia="en-AU"/>
              </w:rPr>
              <w:t xml:space="preserve"> XX g ac/ha</w:t>
            </w:r>
          </w:p>
        </w:tc>
        <w:tc>
          <w:tcPr>
            <w:tcW w:w="0" w:type="auto"/>
          </w:tcPr>
          <w:p w:rsidR="00E44270" w:rsidRPr="006937CC" w:rsidRDefault="00E44270" w:rsidP="00B76694">
            <w:pPr>
              <w:jc w:val="center"/>
              <w:rPr>
                <w:sz w:val="18"/>
                <w:szCs w:val="20"/>
                <w:lang w:eastAsia="en-AU"/>
              </w:rPr>
            </w:pPr>
            <w:r>
              <w:rPr>
                <w:sz w:val="18"/>
                <w:szCs w:val="20"/>
                <w:lang w:eastAsia="en-AU"/>
              </w:rPr>
              <w:t>0.5</w:t>
            </w:r>
          </w:p>
        </w:tc>
        <w:tc>
          <w:tcPr>
            <w:tcW w:w="0" w:type="auto"/>
            <w:shd w:val="clear" w:color="auto" w:fill="auto"/>
          </w:tcPr>
          <w:p w:rsidR="00E44270" w:rsidRPr="006937CC" w:rsidRDefault="00E44270" w:rsidP="00B76694">
            <w:pPr>
              <w:jc w:val="right"/>
              <w:rPr>
                <w:sz w:val="18"/>
                <w:szCs w:val="20"/>
                <w:lang w:eastAsia="en-AU"/>
              </w:rPr>
            </w:pPr>
            <w:r>
              <w:rPr>
                <w:sz w:val="18"/>
                <w:szCs w:val="20"/>
                <w:lang w:eastAsia="en-AU"/>
              </w:rPr>
              <w:t>XX g ac/ha</w:t>
            </w:r>
          </w:p>
        </w:tc>
      </w:tr>
      <w:tr w:rsidR="00E44270" w:rsidRPr="00C426CC" w:rsidTr="00B76694">
        <w:trPr>
          <w:cantSplit/>
        </w:trPr>
        <w:tc>
          <w:tcPr>
            <w:tcW w:w="0" w:type="auto"/>
            <w:tcBorders>
              <w:bottom w:val="single" w:sz="4" w:space="0" w:color="auto"/>
            </w:tcBorders>
            <w:shd w:val="clear" w:color="auto" w:fill="auto"/>
          </w:tcPr>
          <w:p w:rsidR="00E44270" w:rsidRPr="006937CC" w:rsidRDefault="00E44270" w:rsidP="00B76694">
            <w:pPr>
              <w:rPr>
                <w:sz w:val="18"/>
                <w:szCs w:val="20"/>
                <w:lang w:eastAsia="en-AU"/>
              </w:rPr>
            </w:pPr>
            <w:r>
              <w:rPr>
                <w:sz w:val="18"/>
                <w:szCs w:val="20"/>
                <w:lang w:eastAsia="en-AU"/>
              </w:rPr>
              <w:t>Parasitic arthropods</w:t>
            </w:r>
          </w:p>
        </w:tc>
        <w:tc>
          <w:tcPr>
            <w:tcW w:w="0" w:type="auto"/>
          </w:tcPr>
          <w:p w:rsidR="00E44270" w:rsidRPr="00EE6188" w:rsidRDefault="00E44270" w:rsidP="00B76694">
            <w:pPr>
              <w:rPr>
                <w:i/>
                <w:sz w:val="18"/>
                <w:szCs w:val="18"/>
              </w:rPr>
            </w:pPr>
            <w:r w:rsidRPr="00EE6188">
              <w:rPr>
                <w:i/>
                <w:sz w:val="18"/>
                <w:szCs w:val="18"/>
              </w:rPr>
              <w:t>Aphidius rhopalosiphi</w:t>
            </w:r>
          </w:p>
        </w:tc>
        <w:tc>
          <w:tcPr>
            <w:tcW w:w="0" w:type="auto"/>
          </w:tcPr>
          <w:p w:rsidR="00E44270" w:rsidRDefault="00E44270" w:rsidP="00B76694">
            <w:pPr>
              <w:jc w:val="right"/>
              <w:rPr>
                <w:sz w:val="18"/>
                <w:szCs w:val="20"/>
                <w:lang w:eastAsia="en-AU"/>
              </w:rPr>
            </w:pPr>
            <w:r>
              <w:rPr>
                <w:sz w:val="18"/>
                <w:szCs w:val="20"/>
                <w:lang w:eastAsia="en-AU"/>
              </w:rPr>
              <w:t>LR</w:t>
            </w:r>
            <w:r w:rsidRPr="00EC4082">
              <w:rPr>
                <w:sz w:val="18"/>
                <w:szCs w:val="20"/>
                <w:vertAlign w:val="subscript"/>
                <w:lang w:eastAsia="en-AU"/>
              </w:rPr>
              <w:t>50</w:t>
            </w:r>
            <w:r>
              <w:rPr>
                <w:sz w:val="18"/>
                <w:szCs w:val="20"/>
                <w:lang w:eastAsia="en-AU"/>
              </w:rPr>
              <w:t xml:space="preserve"> XX g ac/ha</w:t>
            </w:r>
          </w:p>
        </w:tc>
        <w:tc>
          <w:tcPr>
            <w:tcW w:w="0" w:type="auto"/>
          </w:tcPr>
          <w:p w:rsidR="00E44270" w:rsidRDefault="00E44270" w:rsidP="00B76694">
            <w:pPr>
              <w:jc w:val="center"/>
              <w:rPr>
                <w:sz w:val="18"/>
                <w:szCs w:val="20"/>
                <w:lang w:eastAsia="en-AU"/>
              </w:rPr>
            </w:pPr>
            <w:r>
              <w:rPr>
                <w:sz w:val="18"/>
                <w:szCs w:val="20"/>
                <w:lang w:eastAsia="en-AU"/>
              </w:rPr>
              <w:t>0.5</w:t>
            </w:r>
          </w:p>
        </w:tc>
        <w:tc>
          <w:tcPr>
            <w:tcW w:w="0" w:type="auto"/>
            <w:shd w:val="clear" w:color="auto" w:fill="auto"/>
          </w:tcPr>
          <w:p w:rsidR="00E44270" w:rsidRPr="006937CC" w:rsidRDefault="00E44270" w:rsidP="00B76694">
            <w:pPr>
              <w:jc w:val="right"/>
              <w:rPr>
                <w:sz w:val="18"/>
                <w:szCs w:val="20"/>
                <w:lang w:eastAsia="en-AU"/>
              </w:rPr>
            </w:pPr>
            <w:r>
              <w:rPr>
                <w:sz w:val="18"/>
                <w:szCs w:val="20"/>
                <w:lang w:eastAsia="en-AU"/>
              </w:rPr>
              <w:t>XX g ac/ha</w:t>
            </w:r>
          </w:p>
        </w:tc>
      </w:tr>
      <w:tr w:rsidR="00E44270" w:rsidRPr="00C426CC" w:rsidTr="00B76694">
        <w:trPr>
          <w:cantSplit/>
        </w:trPr>
        <w:tc>
          <w:tcPr>
            <w:tcW w:w="0" w:type="auto"/>
            <w:gridSpan w:val="5"/>
            <w:tcBorders>
              <w:bottom w:val="nil"/>
            </w:tcBorders>
            <w:shd w:val="clear" w:color="auto" w:fill="auto"/>
          </w:tcPr>
          <w:p w:rsidR="00E44270" w:rsidRPr="00783EDD" w:rsidRDefault="00E44270" w:rsidP="00B76694">
            <w:pPr>
              <w:jc w:val="center"/>
              <w:rPr>
                <w:b/>
                <w:sz w:val="18"/>
                <w:szCs w:val="20"/>
                <w:lang w:eastAsia="en-AU"/>
              </w:rPr>
            </w:pPr>
            <w:r w:rsidRPr="00783EDD">
              <w:rPr>
                <w:b/>
                <w:sz w:val="18"/>
                <w:szCs w:val="20"/>
                <w:lang w:eastAsia="en-AU"/>
              </w:rPr>
              <w:t>Tier 2 toxicity testing</w:t>
            </w:r>
          </w:p>
        </w:tc>
      </w:tr>
      <w:tr w:rsidR="00E44270" w:rsidRPr="00C426CC" w:rsidTr="00B76694">
        <w:trPr>
          <w:cantSplit/>
        </w:trPr>
        <w:tc>
          <w:tcPr>
            <w:tcW w:w="0" w:type="auto"/>
            <w:tcBorders>
              <w:bottom w:val="nil"/>
            </w:tcBorders>
            <w:shd w:val="clear" w:color="auto" w:fill="auto"/>
          </w:tcPr>
          <w:p w:rsidR="00E44270" w:rsidRPr="00EE6188" w:rsidRDefault="00E44270" w:rsidP="00B76694">
            <w:pPr>
              <w:rPr>
                <w:sz w:val="18"/>
                <w:szCs w:val="18"/>
              </w:rPr>
            </w:pPr>
            <w:r w:rsidRPr="00EE6188">
              <w:rPr>
                <w:sz w:val="18"/>
                <w:szCs w:val="18"/>
              </w:rPr>
              <w:t>Predatory arthropods</w:t>
            </w:r>
          </w:p>
        </w:tc>
        <w:tc>
          <w:tcPr>
            <w:tcW w:w="0" w:type="auto"/>
          </w:tcPr>
          <w:p w:rsidR="00E44270" w:rsidRPr="00EE6188" w:rsidRDefault="00E44270" w:rsidP="00B76694">
            <w:pPr>
              <w:rPr>
                <w:sz w:val="18"/>
                <w:szCs w:val="18"/>
              </w:rPr>
            </w:pPr>
            <w:r w:rsidRPr="00EE6188">
              <w:rPr>
                <w:i/>
                <w:sz w:val="18"/>
                <w:szCs w:val="18"/>
              </w:rPr>
              <w:t>Typhlodromus pyri</w:t>
            </w:r>
          </w:p>
        </w:tc>
        <w:tc>
          <w:tcPr>
            <w:tcW w:w="0" w:type="auto"/>
          </w:tcPr>
          <w:p w:rsidR="00E44270" w:rsidRPr="00EE6188" w:rsidRDefault="00E44270" w:rsidP="00B76694">
            <w:pPr>
              <w:jc w:val="right"/>
              <w:rPr>
                <w:sz w:val="18"/>
                <w:szCs w:val="18"/>
              </w:rPr>
            </w:pPr>
            <w:r w:rsidRPr="00EE6188">
              <w:rPr>
                <w:sz w:val="18"/>
                <w:szCs w:val="18"/>
              </w:rPr>
              <w:t>LR</w:t>
            </w:r>
            <w:r w:rsidRPr="00EE6188">
              <w:rPr>
                <w:sz w:val="18"/>
                <w:szCs w:val="18"/>
                <w:vertAlign w:val="subscript"/>
              </w:rPr>
              <w:t>50</w:t>
            </w:r>
            <w:r w:rsidRPr="00EE6188">
              <w:rPr>
                <w:sz w:val="18"/>
                <w:szCs w:val="18"/>
              </w:rPr>
              <w:t xml:space="preserve"> </w:t>
            </w:r>
            <w:r>
              <w:rPr>
                <w:sz w:val="18"/>
                <w:szCs w:val="18"/>
              </w:rPr>
              <w:t>or ER</w:t>
            </w:r>
            <w:r w:rsidRPr="00783EDD">
              <w:rPr>
                <w:sz w:val="18"/>
                <w:szCs w:val="18"/>
                <w:vertAlign w:val="subscript"/>
              </w:rPr>
              <w:t>50</w:t>
            </w:r>
            <w:r>
              <w:rPr>
                <w:sz w:val="18"/>
                <w:szCs w:val="18"/>
              </w:rPr>
              <w:t xml:space="preserve"> XX g ac/ha</w:t>
            </w:r>
          </w:p>
        </w:tc>
        <w:tc>
          <w:tcPr>
            <w:tcW w:w="0" w:type="auto"/>
          </w:tcPr>
          <w:p w:rsidR="00E44270" w:rsidRDefault="00E44270" w:rsidP="00B76694">
            <w:pPr>
              <w:jc w:val="center"/>
              <w:rPr>
                <w:sz w:val="18"/>
                <w:szCs w:val="20"/>
                <w:lang w:eastAsia="en-AU"/>
              </w:rPr>
            </w:pPr>
            <w:r>
              <w:rPr>
                <w:sz w:val="18"/>
                <w:szCs w:val="20"/>
                <w:lang w:eastAsia="en-AU"/>
              </w:rPr>
              <w:t>1</w:t>
            </w:r>
          </w:p>
        </w:tc>
        <w:tc>
          <w:tcPr>
            <w:tcW w:w="0" w:type="auto"/>
            <w:shd w:val="clear" w:color="auto" w:fill="auto"/>
          </w:tcPr>
          <w:p w:rsidR="00E44270" w:rsidRPr="006937CC" w:rsidRDefault="00E44270" w:rsidP="00B76694">
            <w:pPr>
              <w:jc w:val="right"/>
              <w:rPr>
                <w:sz w:val="18"/>
                <w:szCs w:val="20"/>
                <w:lang w:eastAsia="en-AU"/>
              </w:rPr>
            </w:pPr>
            <w:r>
              <w:rPr>
                <w:sz w:val="18"/>
                <w:szCs w:val="20"/>
                <w:lang w:eastAsia="en-AU"/>
              </w:rPr>
              <w:t>XX g ac/ha</w:t>
            </w:r>
          </w:p>
        </w:tc>
      </w:tr>
      <w:tr w:rsidR="00E44270" w:rsidRPr="00C426CC" w:rsidTr="00B76694">
        <w:trPr>
          <w:cantSplit/>
        </w:trPr>
        <w:tc>
          <w:tcPr>
            <w:tcW w:w="0" w:type="auto"/>
            <w:tcBorders>
              <w:top w:val="nil"/>
              <w:bottom w:val="single" w:sz="4" w:space="0" w:color="auto"/>
            </w:tcBorders>
            <w:shd w:val="clear" w:color="auto" w:fill="auto"/>
          </w:tcPr>
          <w:p w:rsidR="00E44270" w:rsidRPr="00EE6188" w:rsidRDefault="00E44270" w:rsidP="00B76694">
            <w:pPr>
              <w:rPr>
                <w:sz w:val="18"/>
                <w:szCs w:val="18"/>
              </w:rPr>
            </w:pPr>
          </w:p>
        </w:tc>
        <w:tc>
          <w:tcPr>
            <w:tcW w:w="0" w:type="auto"/>
          </w:tcPr>
          <w:p w:rsidR="00E44270" w:rsidRPr="00EE6188" w:rsidRDefault="00E44270" w:rsidP="00B76694">
            <w:pPr>
              <w:rPr>
                <w:sz w:val="18"/>
                <w:szCs w:val="18"/>
              </w:rPr>
            </w:pPr>
            <w:r w:rsidRPr="00EE6188">
              <w:rPr>
                <w:i/>
                <w:sz w:val="18"/>
                <w:szCs w:val="18"/>
              </w:rPr>
              <w:t>Coccinella septempunctata</w:t>
            </w:r>
          </w:p>
        </w:tc>
        <w:tc>
          <w:tcPr>
            <w:tcW w:w="0" w:type="auto"/>
          </w:tcPr>
          <w:p w:rsidR="00E44270" w:rsidRPr="00EE6188" w:rsidRDefault="00E44270" w:rsidP="00B76694">
            <w:pPr>
              <w:jc w:val="right"/>
              <w:rPr>
                <w:sz w:val="18"/>
                <w:szCs w:val="18"/>
              </w:rPr>
            </w:pPr>
            <w:r w:rsidRPr="00EE6188">
              <w:rPr>
                <w:sz w:val="18"/>
                <w:szCs w:val="18"/>
              </w:rPr>
              <w:t>LR</w:t>
            </w:r>
            <w:r w:rsidRPr="00EE6188">
              <w:rPr>
                <w:sz w:val="18"/>
                <w:szCs w:val="18"/>
                <w:vertAlign w:val="subscript"/>
              </w:rPr>
              <w:t>50</w:t>
            </w:r>
            <w:r w:rsidRPr="00EE6188">
              <w:rPr>
                <w:sz w:val="18"/>
                <w:szCs w:val="18"/>
              </w:rPr>
              <w:t xml:space="preserve"> </w:t>
            </w:r>
            <w:r>
              <w:rPr>
                <w:sz w:val="18"/>
                <w:szCs w:val="18"/>
              </w:rPr>
              <w:t>or ER</w:t>
            </w:r>
            <w:r w:rsidRPr="00783EDD">
              <w:rPr>
                <w:sz w:val="18"/>
                <w:szCs w:val="18"/>
                <w:vertAlign w:val="subscript"/>
              </w:rPr>
              <w:t>50</w:t>
            </w:r>
            <w:r>
              <w:rPr>
                <w:sz w:val="18"/>
                <w:szCs w:val="18"/>
              </w:rPr>
              <w:t xml:space="preserve"> XX g ac/ha</w:t>
            </w:r>
          </w:p>
        </w:tc>
        <w:tc>
          <w:tcPr>
            <w:tcW w:w="0" w:type="auto"/>
          </w:tcPr>
          <w:p w:rsidR="00E44270" w:rsidRDefault="00E44270" w:rsidP="00B76694">
            <w:pPr>
              <w:jc w:val="center"/>
              <w:rPr>
                <w:sz w:val="18"/>
                <w:szCs w:val="20"/>
                <w:lang w:eastAsia="en-AU"/>
              </w:rPr>
            </w:pPr>
            <w:r>
              <w:rPr>
                <w:sz w:val="18"/>
                <w:szCs w:val="20"/>
                <w:lang w:eastAsia="en-AU"/>
              </w:rPr>
              <w:t>1</w:t>
            </w:r>
          </w:p>
        </w:tc>
        <w:tc>
          <w:tcPr>
            <w:tcW w:w="0" w:type="auto"/>
            <w:shd w:val="clear" w:color="auto" w:fill="auto"/>
          </w:tcPr>
          <w:p w:rsidR="00E44270" w:rsidRPr="006937CC" w:rsidRDefault="00E44270" w:rsidP="00B76694">
            <w:pPr>
              <w:jc w:val="right"/>
              <w:rPr>
                <w:sz w:val="18"/>
                <w:szCs w:val="20"/>
                <w:lang w:eastAsia="en-AU"/>
              </w:rPr>
            </w:pPr>
            <w:r>
              <w:rPr>
                <w:sz w:val="18"/>
                <w:szCs w:val="20"/>
                <w:lang w:eastAsia="en-AU"/>
              </w:rPr>
              <w:t>XX g ac/ha</w:t>
            </w:r>
          </w:p>
        </w:tc>
      </w:tr>
      <w:tr w:rsidR="00E44270" w:rsidRPr="00C426CC" w:rsidTr="00B76694">
        <w:trPr>
          <w:cantSplit/>
        </w:trPr>
        <w:tc>
          <w:tcPr>
            <w:tcW w:w="0" w:type="auto"/>
            <w:tcBorders>
              <w:bottom w:val="nil"/>
            </w:tcBorders>
            <w:shd w:val="clear" w:color="auto" w:fill="auto"/>
          </w:tcPr>
          <w:p w:rsidR="00E44270" w:rsidRPr="00EE6188" w:rsidRDefault="00E44270" w:rsidP="00B76694">
            <w:pPr>
              <w:rPr>
                <w:sz w:val="18"/>
                <w:szCs w:val="18"/>
              </w:rPr>
            </w:pPr>
            <w:r w:rsidRPr="00EE6188">
              <w:rPr>
                <w:sz w:val="18"/>
                <w:szCs w:val="18"/>
              </w:rPr>
              <w:t>Parasitic arthropods</w:t>
            </w:r>
          </w:p>
        </w:tc>
        <w:tc>
          <w:tcPr>
            <w:tcW w:w="0" w:type="auto"/>
          </w:tcPr>
          <w:p w:rsidR="00E44270" w:rsidRPr="00EE6188" w:rsidRDefault="00E44270" w:rsidP="00B76694">
            <w:pPr>
              <w:rPr>
                <w:sz w:val="18"/>
                <w:szCs w:val="18"/>
              </w:rPr>
            </w:pPr>
            <w:r w:rsidRPr="00EE6188">
              <w:rPr>
                <w:i/>
                <w:sz w:val="18"/>
                <w:szCs w:val="18"/>
              </w:rPr>
              <w:t>Aphidius rhopalosiphi</w:t>
            </w:r>
          </w:p>
        </w:tc>
        <w:tc>
          <w:tcPr>
            <w:tcW w:w="0" w:type="auto"/>
          </w:tcPr>
          <w:p w:rsidR="00E44270" w:rsidRPr="00EE6188" w:rsidRDefault="00E44270" w:rsidP="00B76694">
            <w:pPr>
              <w:jc w:val="right"/>
              <w:rPr>
                <w:sz w:val="18"/>
                <w:szCs w:val="18"/>
              </w:rPr>
            </w:pPr>
            <w:r w:rsidRPr="00EE6188">
              <w:rPr>
                <w:sz w:val="18"/>
                <w:szCs w:val="18"/>
              </w:rPr>
              <w:t>LR</w:t>
            </w:r>
            <w:r w:rsidRPr="00EE6188">
              <w:rPr>
                <w:sz w:val="18"/>
                <w:szCs w:val="18"/>
                <w:vertAlign w:val="subscript"/>
              </w:rPr>
              <w:t>50</w:t>
            </w:r>
            <w:r w:rsidRPr="00EE6188">
              <w:rPr>
                <w:sz w:val="18"/>
                <w:szCs w:val="18"/>
              </w:rPr>
              <w:t xml:space="preserve"> </w:t>
            </w:r>
            <w:r>
              <w:rPr>
                <w:sz w:val="18"/>
                <w:szCs w:val="18"/>
              </w:rPr>
              <w:t>or ER</w:t>
            </w:r>
            <w:r w:rsidRPr="00783EDD">
              <w:rPr>
                <w:sz w:val="18"/>
                <w:szCs w:val="18"/>
                <w:vertAlign w:val="subscript"/>
              </w:rPr>
              <w:t>50</w:t>
            </w:r>
            <w:r>
              <w:rPr>
                <w:sz w:val="18"/>
                <w:szCs w:val="18"/>
              </w:rPr>
              <w:t xml:space="preserve"> XX g ac/ha</w:t>
            </w:r>
          </w:p>
        </w:tc>
        <w:tc>
          <w:tcPr>
            <w:tcW w:w="0" w:type="auto"/>
          </w:tcPr>
          <w:p w:rsidR="00E44270" w:rsidRDefault="00E44270" w:rsidP="00B76694">
            <w:pPr>
              <w:jc w:val="center"/>
              <w:rPr>
                <w:sz w:val="18"/>
                <w:szCs w:val="20"/>
                <w:lang w:eastAsia="en-AU"/>
              </w:rPr>
            </w:pPr>
            <w:r>
              <w:rPr>
                <w:sz w:val="18"/>
                <w:szCs w:val="20"/>
                <w:lang w:eastAsia="en-AU"/>
              </w:rPr>
              <w:t>1</w:t>
            </w:r>
          </w:p>
        </w:tc>
        <w:tc>
          <w:tcPr>
            <w:tcW w:w="0" w:type="auto"/>
            <w:shd w:val="clear" w:color="auto" w:fill="auto"/>
          </w:tcPr>
          <w:p w:rsidR="00E44270" w:rsidRPr="006937CC" w:rsidRDefault="00E44270" w:rsidP="00B76694">
            <w:pPr>
              <w:jc w:val="right"/>
              <w:rPr>
                <w:sz w:val="18"/>
                <w:szCs w:val="20"/>
                <w:lang w:eastAsia="en-AU"/>
              </w:rPr>
            </w:pPr>
            <w:r>
              <w:rPr>
                <w:sz w:val="18"/>
                <w:szCs w:val="20"/>
                <w:lang w:eastAsia="en-AU"/>
              </w:rPr>
              <w:t>XX g ac/ha</w:t>
            </w:r>
          </w:p>
        </w:tc>
      </w:tr>
      <w:tr w:rsidR="00E44270" w:rsidRPr="00C426CC" w:rsidTr="00B76694">
        <w:trPr>
          <w:cantSplit/>
        </w:trPr>
        <w:tc>
          <w:tcPr>
            <w:tcW w:w="0" w:type="auto"/>
            <w:tcBorders>
              <w:top w:val="nil"/>
            </w:tcBorders>
            <w:shd w:val="clear" w:color="auto" w:fill="auto"/>
          </w:tcPr>
          <w:p w:rsidR="00E44270" w:rsidRPr="00EE6188" w:rsidRDefault="00E44270" w:rsidP="00B76694">
            <w:pPr>
              <w:rPr>
                <w:sz w:val="18"/>
                <w:szCs w:val="18"/>
              </w:rPr>
            </w:pPr>
          </w:p>
        </w:tc>
        <w:tc>
          <w:tcPr>
            <w:tcW w:w="0" w:type="auto"/>
          </w:tcPr>
          <w:p w:rsidR="00E44270" w:rsidRPr="00EE6188" w:rsidRDefault="00E44270" w:rsidP="00B76694">
            <w:pPr>
              <w:rPr>
                <w:sz w:val="18"/>
                <w:szCs w:val="18"/>
              </w:rPr>
            </w:pPr>
            <w:r w:rsidRPr="00EE6188">
              <w:rPr>
                <w:i/>
                <w:sz w:val="18"/>
                <w:szCs w:val="18"/>
              </w:rPr>
              <w:t>Aleochara bilineata</w:t>
            </w:r>
          </w:p>
        </w:tc>
        <w:tc>
          <w:tcPr>
            <w:tcW w:w="0" w:type="auto"/>
          </w:tcPr>
          <w:p w:rsidR="00E44270" w:rsidRPr="00EE6188" w:rsidRDefault="00E44270" w:rsidP="00B76694">
            <w:pPr>
              <w:jc w:val="right"/>
              <w:rPr>
                <w:sz w:val="18"/>
                <w:szCs w:val="18"/>
              </w:rPr>
            </w:pPr>
            <w:r w:rsidRPr="00EE6188">
              <w:rPr>
                <w:sz w:val="18"/>
                <w:szCs w:val="18"/>
              </w:rPr>
              <w:t>LR</w:t>
            </w:r>
            <w:r w:rsidRPr="00EE6188">
              <w:rPr>
                <w:sz w:val="18"/>
                <w:szCs w:val="18"/>
                <w:vertAlign w:val="subscript"/>
              </w:rPr>
              <w:t>50</w:t>
            </w:r>
            <w:r w:rsidRPr="00EE6188">
              <w:rPr>
                <w:sz w:val="18"/>
                <w:szCs w:val="18"/>
              </w:rPr>
              <w:t xml:space="preserve"> </w:t>
            </w:r>
            <w:r>
              <w:rPr>
                <w:sz w:val="18"/>
                <w:szCs w:val="18"/>
              </w:rPr>
              <w:t>or ER</w:t>
            </w:r>
            <w:r w:rsidRPr="00783EDD">
              <w:rPr>
                <w:sz w:val="18"/>
                <w:szCs w:val="18"/>
                <w:vertAlign w:val="subscript"/>
              </w:rPr>
              <w:t>50</w:t>
            </w:r>
            <w:r>
              <w:rPr>
                <w:sz w:val="18"/>
                <w:szCs w:val="18"/>
              </w:rPr>
              <w:t xml:space="preserve"> XX g ac/ha</w:t>
            </w:r>
          </w:p>
        </w:tc>
        <w:tc>
          <w:tcPr>
            <w:tcW w:w="0" w:type="auto"/>
          </w:tcPr>
          <w:p w:rsidR="00E44270" w:rsidRDefault="00E44270" w:rsidP="00B76694">
            <w:pPr>
              <w:jc w:val="center"/>
              <w:rPr>
                <w:sz w:val="18"/>
                <w:szCs w:val="20"/>
                <w:lang w:eastAsia="en-AU"/>
              </w:rPr>
            </w:pPr>
            <w:r>
              <w:rPr>
                <w:sz w:val="18"/>
                <w:szCs w:val="20"/>
                <w:lang w:eastAsia="en-AU"/>
              </w:rPr>
              <w:t>1</w:t>
            </w:r>
          </w:p>
        </w:tc>
        <w:tc>
          <w:tcPr>
            <w:tcW w:w="0" w:type="auto"/>
            <w:shd w:val="clear" w:color="auto" w:fill="auto"/>
          </w:tcPr>
          <w:p w:rsidR="00E44270" w:rsidRPr="006937CC" w:rsidRDefault="00E44270" w:rsidP="00B76694">
            <w:pPr>
              <w:jc w:val="right"/>
              <w:rPr>
                <w:sz w:val="18"/>
                <w:szCs w:val="20"/>
                <w:lang w:eastAsia="en-AU"/>
              </w:rPr>
            </w:pPr>
            <w:r>
              <w:rPr>
                <w:sz w:val="18"/>
                <w:szCs w:val="20"/>
                <w:lang w:eastAsia="en-AU"/>
              </w:rPr>
              <w:t>XX g ac/ha</w:t>
            </w:r>
          </w:p>
        </w:tc>
      </w:tr>
    </w:tbl>
    <w:p w:rsidR="00E44270" w:rsidRPr="00ED0747" w:rsidRDefault="00E44270" w:rsidP="00E44270">
      <w:pPr>
        <w:pStyle w:val="BodyText"/>
        <w:rPr>
          <w:sz w:val="20"/>
          <w:szCs w:val="22"/>
        </w:rPr>
      </w:pPr>
      <w:r w:rsidRPr="00ED0747">
        <w:rPr>
          <w:sz w:val="18"/>
          <w:szCs w:val="18"/>
        </w:rPr>
        <w:t>RA</w:t>
      </w:r>
      <w:r>
        <w:rPr>
          <w:sz w:val="18"/>
          <w:szCs w:val="18"/>
        </w:rPr>
        <w:t>R</w:t>
      </w:r>
      <w:r w:rsidRPr="00ED0747">
        <w:rPr>
          <w:sz w:val="18"/>
          <w:szCs w:val="18"/>
        </w:rPr>
        <w:t xml:space="preserve"> = regulatory acceptable </w:t>
      </w:r>
      <w:r>
        <w:rPr>
          <w:sz w:val="18"/>
          <w:szCs w:val="18"/>
        </w:rPr>
        <w:t>rate</w:t>
      </w:r>
      <w:r w:rsidRPr="00ED0747">
        <w:rPr>
          <w:sz w:val="18"/>
          <w:szCs w:val="18"/>
        </w:rPr>
        <w:t xml:space="preserve"> = endpoint/assessment factor</w:t>
      </w:r>
    </w:p>
    <w:p w:rsidR="00E44270" w:rsidRDefault="00E44270" w:rsidP="00E44270">
      <w:pPr>
        <w:pStyle w:val="BodyText"/>
        <w:rPr>
          <w:sz w:val="22"/>
          <w:szCs w:val="22"/>
        </w:rPr>
      </w:pPr>
      <w:r w:rsidRPr="00783EDD">
        <w:rPr>
          <w:sz w:val="18"/>
          <w:szCs w:val="22"/>
        </w:rPr>
        <w:t>*Tier 1 assessment factor for predatory and parasitic arthropods as per trigger value specified in EPPO (2003) at the tier 1 level of assessment for the indicator species. Other species and higher tiers (extended laboratory, semi-field and field studies) have an assessment factor of 1.</w:t>
      </w:r>
    </w:p>
    <w:p w:rsidR="007E5F4F" w:rsidRDefault="007E5F4F" w:rsidP="008B68EB">
      <w:pPr>
        <w:pStyle w:val="Caption"/>
        <w:sectPr w:rsidR="007E5F4F" w:rsidSect="001A19FE">
          <w:endnotePr>
            <w:numFmt w:val="decimal"/>
          </w:endnotePr>
          <w:pgSz w:w="11906" w:h="16838" w:code="9"/>
          <w:pgMar w:top="2552" w:right="1134" w:bottom="1134" w:left="1134" w:header="1758" w:footer="680" w:gutter="0"/>
          <w:cols w:space="708"/>
          <w:docGrid w:linePitch="360"/>
        </w:sectPr>
      </w:pPr>
      <w:bookmarkStart w:id="206" w:name="_Ref522027703"/>
    </w:p>
    <w:p w:rsidR="008B68EB" w:rsidRPr="009A4CFC" w:rsidRDefault="008B68EB" w:rsidP="008B68EB">
      <w:pPr>
        <w:pStyle w:val="Caption"/>
      </w:pPr>
      <w:bookmarkStart w:id="207" w:name="_Ref528656593"/>
      <w:r w:rsidRPr="009A4CFC">
        <w:lastRenderedPageBreak/>
        <w:t xml:space="preserve">Table </w:t>
      </w:r>
      <w:r w:rsidR="00EA08EB">
        <w:rPr>
          <w:noProof/>
        </w:rPr>
        <w:fldChar w:fldCharType="begin"/>
      </w:r>
      <w:r w:rsidR="00EA08EB">
        <w:rPr>
          <w:noProof/>
        </w:rPr>
        <w:instrText xml:space="preserve"> SEQ Table \* ARABIC </w:instrText>
      </w:r>
      <w:r w:rsidR="00EA08EB">
        <w:rPr>
          <w:noProof/>
        </w:rPr>
        <w:fldChar w:fldCharType="separate"/>
      </w:r>
      <w:r w:rsidR="00225D67">
        <w:rPr>
          <w:noProof/>
        </w:rPr>
        <w:t>16</w:t>
      </w:r>
      <w:r w:rsidR="00EA08EB">
        <w:rPr>
          <w:noProof/>
        </w:rPr>
        <w:fldChar w:fldCharType="end"/>
      </w:r>
      <w:bookmarkEnd w:id="206"/>
      <w:bookmarkEnd w:id="207"/>
      <w:r w:rsidRPr="009A4CFC">
        <w:t xml:space="preserve"> - </w:t>
      </w:r>
      <w:r>
        <w:t>A</w:t>
      </w:r>
      <w:r w:rsidRPr="00D25C02">
        <w:t>ssessment of risks to other non-target arthropods</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153"/>
        <w:gridCol w:w="2714"/>
        <w:gridCol w:w="1759"/>
        <w:gridCol w:w="1343"/>
        <w:gridCol w:w="1395"/>
      </w:tblGrid>
      <w:tr w:rsidR="00E44270" w:rsidRPr="00EE6188" w:rsidTr="000178C7">
        <w:tc>
          <w:tcPr>
            <w:tcW w:w="0" w:type="auto"/>
            <w:shd w:val="clear" w:color="auto" w:fill="auto"/>
          </w:tcPr>
          <w:p w:rsidR="00E44270" w:rsidRPr="00EE6188" w:rsidRDefault="00E44270" w:rsidP="00B76694">
            <w:pPr>
              <w:jc w:val="center"/>
              <w:rPr>
                <w:b/>
                <w:sz w:val="18"/>
                <w:szCs w:val="18"/>
              </w:rPr>
            </w:pPr>
            <w:r>
              <w:rPr>
                <w:b/>
                <w:sz w:val="18"/>
                <w:szCs w:val="18"/>
              </w:rPr>
              <w:t>Taxonomic g</w:t>
            </w:r>
            <w:r w:rsidRPr="00EE6188">
              <w:rPr>
                <w:b/>
                <w:sz w:val="18"/>
                <w:szCs w:val="18"/>
              </w:rPr>
              <w:t>roup</w:t>
            </w:r>
          </w:p>
        </w:tc>
        <w:tc>
          <w:tcPr>
            <w:tcW w:w="0" w:type="auto"/>
            <w:shd w:val="clear" w:color="auto" w:fill="auto"/>
          </w:tcPr>
          <w:p w:rsidR="00E44270" w:rsidRPr="00EE6188" w:rsidRDefault="00E44270" w:rsidP="00B76694">
            <w:pPr>
              <w:jc w:val="center"/>
              <w:rPr>
                <w:b/>
                <w:sz w:val="18"/>
                <w:szCs w:val="18"/>
              </w:rPr>
            </w:pPr>
            <w:r>
              <w:rPr>
                <w:b/>
                <w:sz w:val="18"/>
                <w:szCs w:val="18"/>
              </w:rPr>
              <w:t>Indicator s</w:t>
            </w:r>
            <w:r w:rsidRPr="00EE6188">
              <w:rPr>
                <w:b/>
                <w:sz w:val="18"/>
                <w:szCs w:val="18"/>
              </w:rPr>
              <w:t>pecies</w:t>
            </w:r>
          </w:p>
        </w:tc>
        <w:tc>
          <w:tcPr>
            <w:tcW w:w="0" w:type="auto"/>
            <w:shd w:val="clear" w:color="auto" w:fill="auto"/>
          </w:tcPr>
          <w:p w:rsidR="00E44270" w:rsidRPr="00EE6188" w:rsidRDefault="00E44270" w:rsidP="00B76694">
            <w:pPr>
              <w:jc w:val="center"/>
              <w:rPr>
                <w:b/>
                <w:sz w:val="18"/>
                <w:szCs w:val="18"/>
              </w:rPr>
            </w:pPr>
            <w:r>
              <w:rPr>
                <w:b/>
                <w:sz w:val="18"/>
                <w:szCs w:val="18"/>
              </w:rPr>
              <w:t>Application rate</w:t>
            </w:r>
          </w:p>
          <w:p w:rsidR="00E44270" w:rsidRPr="00EE6188" w:rsidRDefault="00E44270" w:rsidP="00B76694">
            <w:pPr>
              <w:jc w:val="center"/>
              <w:rPr>
                <w:b/>
                <w:sz w:val="18"/>
                <w:szCs w:val="18"/>
              </w:rPr>
            </w:pPr>
            <w:r w:rsidRPr="00EE6188">
              <w:rPr>
                <w:b/>
                <w:sz w:val="18"/>
                <w:szCs w:val="18"/>
              </w:rPr>
              <w:t>(g ac/ha)</w:t>
            </w:r>
          </w:p>
        </w:tc>
        <w:tc>
          <w:tcPr>
            <w:tcW w:w="717" w:type="pct"/>
            <w:shd w:val="clear" w:color="auto" w:fill="auto"/>
          </w:tcPr>
          <w:p w:rsidR="00E44270" w:rsidRPr="00EE6188" w:rsidRDefault="00E44270" w:rsidP="00B76694">
            <w:pPr>
              <w:jc w:val="center"/>
              <w:rPr>
                <w:b/>
                <w:sz w:val="18"/>
                <w:szCs w:val="18"/>
              </w:rPr>
            </w:pPr>
            <w:r w:rsidRPr="00EE6188">
              <w:rPr>
                <w:b/>
                <w:sz w:val="18"/>
                <w:szCs w:val="18"/>
              </w:rPr>
              <w:t>RAR</w:t>
            </w:r>
          </w:p>
          <w:p w:rsidR="00E44270" w:rsidRPr="00EE6188" w:rsidRDefault="00E44270" w:rsidP="00B76694">
            <w:pPr>
              <w:jc w:val="center"/>
              <w:rPr>
                <w:b/>
                <w:sz w:val="18"/>
                <w:szCs w:val="18"/>
              </w:rPr>
            </w:pPr>
            <w:r w:rsidRPr="00EE6188">
              <w:rPr>
                <w:b/>
                <w:sz w:val="18"/>
                <w:szCs w:val="18"/>
              </w:rPr>
              <w:t>(g ac/ha)</w:t>
            </w:r>
          </w:p>
        </w:tc>
        <w:tc>
          <w:tcPr>
            <w:tcW w:w="745" w:type="pct"/>
            <w:shd w:val="clear" w:color="auto" w:fill="auto"/>
          </w:tcPr>
          <w:p w:rsidR="00E44270" w:rsidRPr="00EE6188" w:rsidRDefault="00E44270" w:rsidP="00B76694">
            <w:pPr>
              <w:jc w:val="center"/>
              <w:rPr>
                <w:b/>
                <w:sz w:val="18"/>
                <w:szCs w:val="18"/>
              </w:rPr>
            </w:pPr>
            <w:r w:rsidRPr="00EE6188">
              <w:rPr>
                <w:b/>
                <w:sz w:val="18"/>
                <w:szCs w:val="18"/>
              </w:rPr>
              <w:t>RQ</w:t>
            </w:r>
          </w:p>
        </w:tc>
      </w:tr>
      <w:tr w:rsidR="00E44270" w:rsidRPr="00EE6188" w:rsidTr="00B76694">
        <w:tc>
          <w:tcPr>
            <w:tcW w:w="0" w:type="auto"/>
            <w:gridSpan w:val="5"/>
            <w:shd w:val="clear" w:color="auto" w:fill="auto"/>
          </w:tcPr>
          <w:p w:rsidR="00E44270" w:rsidRPr="00EE6188" w:rsidRDefault="00E44270" w:rsidP="00B76694">
            <w:pPr>
              <w:jc w:val="center"/>
              <w:rPr>
                <w:b/>
                <w:sz w:val="18"/>
                <w:szCs w:val="18"/>
              </w:rPr>
            </w:pPr>
            <w:r w:rsidRPr="00EE6188">
              <w:rPr>
                <w:b/>
                <w:sz w:val="18"/>
                <w:szCs w:val="18"/>
              </w:rPr>
              <w:t xml:space="preserve">Tier </w:t>
            </w:r>
            <w:r>
              <w:rPr>
                <w:b/>
                <w:sz w:val="18"/>
                <w:szCs w:val="18"/>
              </w:rPr>
              <w:t>1</w:t>
            </w:r>
            <w:r w:rsidRPr="00EE6188">
              <w:rPr>
                <w:b/>
                <w:sz w:val="18"/>
                <w:szCs w:val="18"/>
              </w:rPr>
              <w:t xml:space="preserve"> assessment</w:t>
            </w:r>
          </w:p>
        </w:tc>
      </w:tr>
      <w:tr w:rsidR="00E44270" w:rsidRPr="00EE6188" w:rsidTr="000178C7">
        <w:tc>
          <w:tcPr>
            <w:tcW w:w="0" w:type="auto"/>
            <w:shd w:val="clear" w:color="auto" w:fill="auto"/>
          </w:tcPr>
          <w:p w:rsidR="00E44270" w:rsidRPr="00EE6188" w:rsidRDefault="00E44270" w:rsidP="00B76694">
            <w:pPr>
              <w:rPr>
                <w:sz w:val="18"/>
                <w:szCs w:val="18"/>
              </w:rPr>
            </w:pPr>
            <w:r w:rsidRPr="00EE6188">
              <w:rPr>
                <w:sz w:val="18"/>
                <w:szCs w:val="18"/>
              </w:rPr>
              <w:t>Predatory arthropods</w:t>
            </w:r>
          </w:p>
        </w:tc>
        <w:tc>
          <w:tcPr>
            <w:tcW w:w="0" w:type="auto"/>
            <w:shd w:val="clear" w:color="auto" w:fill="auto"/>
          </w:tcPr>
          <w:p w:rsidR="00E44270" w:rsidRPr="00EE6188" w:rsidRDefault="00E44270" w:rsidP="00B76694">
            <w:pPr>
              <w:rPr>
                <w:i/>
                <w:sz w:val="18"/>
                <w:szCs w:val="18"/>
              </w:rPr>
            </w:pPr>
            <w:r w:rsidRPr="00EE6188">
              <w:rPr>
                <w:i/>
                <w:sz w:val="18"/>
                <w:szCs w:val="18"/>
              </w:rPr>
              <w:t>Typhlodromus pyri</w:t>
            </w:r>
          </w:p>
        </w:tc>
        <w:tc>
          <w:tcPr>
            <w:tcW w:w="0" w:type="auto"/>
            <w:shd w:val="clear" w:color="auto" w:fill="auto"/>
          </w:tcPr>
          <w:p w:rsidR="00E44270" w:rsidRPr="00EE6188" w:rsidRDefault="00E44270" w:rsidP="00B76694">
            <w:pPr>
              <w:jc w:val="center"/>
              <w:rPr>
                <w:sz w:val="18"/>
                <w:szCs w:val="18"/>
              </w:rPr>
            </w:pPr>
          </w:p>
        </w:tc>
        <w:tc>
          <w:tcPr>
            <w:tcW w:w="717" w:type="pct"/>
            <w:shd w:val="clear" w:color="auto" w:fill="auto"/>
          </w:tcPr>
          <w:p w:rsidR="00E44270" w:rsidRPr="00EE6188" w:rsidRDefault="00E44270" w:rsidP="00B76694">
            <w:pPr>
              <w:jc w:val="center"/>
              <w:rPr>
                <w:sz w:val="18"/>
                <w:szCs w:val="18"/>
              </w:rPr>
            </w:pPr>
          </w:p>
        </w:tc>
        <w:tc>
          <w:tcPr>
            <w:tcW w:w="745" w:type="pct"/>
            <w:shd w:val="clear" w:color="auto" w:fill="auto"/>
          </w:tcPr>
          <w:p w:rsidR="00E44270" w:rsidRPr="00EE6188" w:rsidRDefault="00E44270" w:rsidP="00B76694">
            <w:pPr>
              <w:jc w:val="center"/>
              <w:rPr>
                <w:sz w:val="18"/>
                <w:szCs w:val="18"/>
              </w:rPr>
            </w:pPr>
          </w:p>
        </w:tc>
      </w:tr>
      <w:tr w:rsidR="00E44270" w:rsidRPr="00EE6188" w:rsidTr="000178C7">
        <w:tc>
          <w:tcPr>
            <w:tcW w:w="0" w:type="auto"/>
            <w:shd w:val="clear" w:color="auto" w:fill="auto"/>
          </w:tcPr>
          <w:p w:rsidR="00E44270" w:rsidRPr="00EE6188" w:rsidRDefault="00E44270" w:rsidP="00B76694">
            <w:pPr>
              <w:rPr>
                <w:sz w:val="18"/>
                <w:szCs w:val="18"/>
              </w:rPr>
            </w:pPr>
            <w:r w:rsidRPr="00EE6188">
              <w:rPr>
                <w:sz w:val="18"/>
                <w:szCs w:val="18"/>
              </w:rPr>
              <w:t>Parasitic arthropods</w:t>
            </w:r>
          </w:p>
        </w:tc>
        <w:tc>
          <w:tcPr>
            <w:tcW w:w="0" w:type="auto"/>
            <w:shd w:val="clear" w:color="auto" w:fill="auto"/>
          </w:tcPr>
          <w:p w:rsidR="00E44270" w:rsidRPr="00EE6188" w:rsidRDefault="00E44270" w:rsidP="00B76694">
            <w:pPr>
              <w:rPr>
                <w:i/>
                <w:sz w:val="18"/>
                <w:szCs w:val="18"/>
              </w:rPr>
            </w:pPr>
            <w:r w:rsidRPr="00EE6188">
              <w:rPr>
                <w:i/>
                <w:sz w:val="18"/>
                <w:szCs w:val="18"/>
              </w:rPr>
              <w:t>Aphidius rhopalosiphi</w:t>
            </w:r>
          </w:p>
        </w:tc>
        <w:tc>
          <w:tcPr>
            <w:tcW w:w="0" w:type="auto"/>
            <w:shd w:val="clear" w:color="auto" w:fill="auto"/>
          </w:tcPr>
          <w:p w:rsidR="00E44270" w:rsidRPr="00EE6188" w:rsidRDefault="00E44270" w:rsidP="00B76694">
            <w:pPr>
              <w:jc w:val="center"/>
              <w:rPr>
                <w:sz w:val="18"/>
                <w:szCs w:val="18"/>
              </w:rPr>
            </w:pPr>
          </w:p>
        </w:tc>
        <w:tc>
          <w:tcPr>
            <w:tcW w:w="717" w:type="pct"/>
            <w:shd w:val="clear" w:color="auto" w:fill="auto"/>
          </w:tcPr>
          <w:p w:rsidR="00E44270" w:rsidRPr="00EE6188" w:rsidRDefault="00E44270" w:rsidP="00B76694">
            <w:pPr>
              <w:jc w:val="center"/>
              <w:rPr>
                <w:sz w:val="18"/>
                <w:szCs w:val="18"/>
              </w:rPr>
            </w:pPr>
          </w:p>
        </w:tc>
        <w:tc>
          <w:tcPr>
            <w:tcW w:w="745" w:type="pct"/>
            <w:shd w:val="clear" w:color="auto" w:fill="auto"/>
          </w:tcPr>
          <w:p w:rsidR="00E44270" w:rsidRPr="00EE6188" w:rsidRDefault="00E44270" w:rsidP="00B76694">
            <w:pPr>
              <w:jc w:val="center"/>
              <w:rPr>
                <w:sz w:val="18"/>
                <w:szCs w:val="18"/>
              </w:rPr>
            </w:pPr>
          </w:p>
        </w:tc>
      </w:tr>
      <w:tr w:rsidR="00E44270" w:rsidRPr="00EE6188" w:rsidTr="00B76694">
        <w:trPr>
          <w:trHeight w:val="28"/>
        </w:trPr>
        <w:tc>
          <w:tcPr>
            <w:tcW w:w="0" w:type="auto"/>
            <w:gridSpan w:val="5"/>
            <w:shd w:val="clear" w:color="auto" w:fill="auto"/>
          </w:tcPr>
          <w:p w:rsidR="00E44270" w:rsidRPr="00EE6188" w:rsidRDefault="00E44270" w:rsidP="00B76694">
            <w:pPr>
              <w:jc w:val="center"/>
              <w:rPr>
                <w:b/>
                <w:sz w:val="18"/>
                <w:szCs w:val="18"/>
              </w:rPr>
            </w:pPr>
            <w:r w:rsidRPr="00EE6188">
              <w:rPr>
                <w:b/>
                <w:sz w:val="18"/>
                <w:szCs w:val="18"/>
              </w:rPr>
              <w:t xml:space="preserve">Tier </w:t>
            </w:r>
            <w:r>
              <w:rPr>
                <w:b/>
                <w:sz w:val="18"/>
                <w:szCs w:val="18"/>
              </w:rPr>
              <w:t>2</w:t>
            </w:r>
            <w:r w:rsidRPr="00EE6188">
              <w:rPr>
                <w:b/>
                <w:sz w:val="18"/>
                <w:szCs w:val="18"/>
              </w:rPr>
              <w:t xml:space="preserve"> assessment</w:t>
            </w:r>
          </w:p>
        </w:tc>
      </w:tr>
      <w:tr w:rsidR="00E44270" w:rsidRPr="00EE6188" w:rsidTr="00B76694">
        <w:tc>
          <w:tcPr>
            <w:tcW w:w="0" w:type="auto"/>
            <w:tcBorders>
              <w:bottom w:val="nil"/>
            </w:tcBorders>
            <w:shd w:val="clear" w:color="auto" w:fill="auto"/>
          </w:tcPr>
          <w:p w:rsidR="00E44270" w:rsidRPr="00EE6188" w:rsidRDefault="00E44270" w:rsidP="00B76694">
            <w:pPr>
              <w:rPr>
                <w:sz w:val="18"/>
                <w:szCs w:val="18"/>
              </w:rPr>
            </w:pPr>
            <w:r w:rsidRPr="00EE6188">
              <w:rPr>
                <w:sz w:val="18"/>
                <w:szCs w:val="18"/>
              </w:rPr>
              <w:t>Predatory arthropods</w:t>
            </w:r>
          </w:p>
        </w:tc>
        <w:tc>
          <w:tcPr>
            <w:tcW w:w="0" w:type="auto"/>
            <w:shd w:val="clear" w:color="auto" w:fill="auto"/>
          </w:tcPr>
          <w:p w:rsidR="00E44270" w:rsidRPr="00EE6188" w:rsidRDefault="00E44270" w:rsidP="00B76694">
            <w:pPr>
              <w:rPr>
                <w:sz w:val="18"/>
                <w:szCs w:val="18"/>
              </w:rPr>
            </w:pPr>
            <w:r w:rsidRPr="00EE6188">
              <w:rPr>
                <w:i/>
                <w:sz w:val="18"/>
                <w:szCs w:val="18"/>
              </w:rPr>
              <w:t>Typhlodromus pyri</w:t>
            </w:r>
          </w:p>
        </w:tc>
        <w:tc>
          <w:tcPr>
            <w:tcW w:w="0" w:type="auto"/>
            <w:shd w:val="clear" w:color="auto" w:fill="auto"/>
          </w:tcPr>
          <w:p w:rsidR="00E44270" w:rsidRPr="00EE6188" w:rsidRDefault="00E44270" w:rsidP="00B76694">
            <w:pPr>
              <w:jc w:val="center"/>
              <w:rPr>
                <w:sz w:val="18"/>
                <w:szCs w:val="18"/>
              </w:rPr>
            </w:pPr>
          </w:p>
        </w:tc>
        <w:tc>
          <w:tcPr>
            <w:tcW w:w="0" w:type="auto"/>
            <w:shd w:val="clear" w:color="auto" w:fill="auto"/>
          </w:tcPr>
          <w:p w:rsidR="00E44270" w:rsidRPr="00EE6188" w:rsidRDefault="00E44270" w:rsidP="00B76694">
            <w:pPr>
              <w:jc w:val="center"/>
              <w:rPr>
                <w:sz w:val="18"/>
                <w:szCs w:val="18"/>
              </w:rPr>
            </w:pPr>
          </w:p>
        </w:tc>
        <w:tc>
          <w:tcPr>
            <w:tcW w:w="745" w:type="pct"/>
            <w:shd w:val="clear" w:color="auto" w:fill="auto"/>
          </w:tcPr>
          <w:p w:rsidR="00E44270" w:rsidRPr="00EE6188" w:rsidRDefault="00E44270" w:rsidP="00B76694">
            <w:pPr>
              <w:jc w:val="center"/>
              <w:rPr>
                <w:sz w:val="18"/>
                <w:szCs w:val="18"/>
              </w:rPr>
            </w:pPr>
          </w:p>
        </w:tc>
      </w:tr>
      <w:tr w:rsidR="00E44270" w:rsidRPr="00EE6188" w:rsidTr="00B76694">
        <w:tc>
          <w:tcPr>
            <w:tcW w:w="0" w:type="auto"/>
            <w:tcBorders>
              <w:top w:val="nil"/>
              <w:bottom w:val="single" w:sz="4" w:space="0" w:color="auto"/>
            </w:tcBorders>
            <w:shd w:val="clear" w:color="auto" w:fill="auto"/>
          </w:tcPr>
          <w:p w:rsidR="00E44270" w:rsidRPr="00EE6188" w:rsidRDefault="00E44270" w:rsidP="00B76694">
            <w:pPr>
              <w:rPr>
                <w:sz w:val="18"/>
                <w:szCs w:val="18"/>
              </w:rPr>
            </w:pPr>
          </w:p>
        </w:tc>
        <w:tc>
          <w:tcPr>
            <w:tcW w:w="0" w:type="auto"/>
            <w:shd w:val="clear" w:color="auto" w:fill="auto"/>
          </w:tcPr>
          <w:p w:rsidR="00E44270" w:rsidRPr="00EE6188" w:rsidRDefault="00E44270" w:rsidP="00B76694">
            <w:pPr>
              <w:rPr>
                <w:sz w:val="18"/>
                <w:szCs w:val="18"/>
              </w:rPr>
            </w:pPr>
            <w:r w:rsidRPr="00EE6188">
              <w:rPr>
                <w:i/>
                <w:sz w:val="18"/>
                <w:szCs w:val="18"/>
              </w:rPr>
              <w:t>Coccinella septempunctata</w:t>
            </w:r>
          </w:p>
        </w:tc>
        <w:tc>
          <w:tcPr>
            <w:tcW w:w="0" w:type="auto"/>
            <w:shd w:val="clear" w:color="auto" w:fill="auto"/>
          </w:tcPr>
          <w:p w:rsidR="00E44270" w:rsidRPr="00EE6188" w:rsidRDefault="00E44270" w:rsidP="00B76694">
            <w:pPr>
              <w:jc w:val="center"/>
              <w:rPr>
                <w:sz w:val="18"/>
                <w:szCs w:val="18"/>
              </w:rPr>
            </w:pPr>
          </w:p>
        </w:tc>
        <w:tc>
          <w:tcPr>
            <w:tcW w:w="0" w:type="auto"/>
            <w:shd w:val="clear" w:color="auto" w:fill="auto"/>
          </w:tcPr>
          <w:p w:rsidR="00E44270" w:rsidRPr="00EE6188" w:rsidRDefault="00E44270" w:rsidP="00B76694">
            <w:pPr>
              <w:jc w:val="center"/>
              <w:rPr>
                <w:sz w:val="18"/>
                <w:szCs w:val="18"/>
              </w:rPr>
            </w:pPr>
          </w:p>
        </w:tc>
        <w:tc>
          <w:tcPr>
            <w:tcW w:w="745" w:type="pct"/>
            <w:shd w:val="clear" w:color="auto" w:fill="auto"/>
          </w:tcPr>
          <w:p w:rsidR="00E44270" w:rsidRPr="00EE6188" w:rsidRDefault="00E44270" w:rsidP="00B76694">
            <w:pPr>
              <w:jc w:val="center"/>
              <w:rPr>
                <w:sz w:val="18"/>
                <w:szCs w:val="18"/>
              </w:rPr>
            </w:pPr>
          </w:p>
        </w:tc>
      </w:tr>
      <w:tr w:rsidR="00E44270" w:rsidRPr="00EE6188" w:rsidTr="00B76694">
        <w:tc>
          <w:tcPr>
            <w:tcW w:w="0" w:type="auto"/>
            <w:tcBorders>
              <w:bottom w:val="nil"/>
            </w:tcBorders>
            <w:shd w:val="clear" w:color="auto" w:fill="auto"/>
          </w:tcPr>
          <w:p w:rsidR="00E44270" w:rsidRPr="00EE6188" w:rsidRDefault="00E44270" w:rsidP="00B76694">
            <w:pPr>
              <w:rPr>
                <w:sz w:val="18"/>
                <w:szCs w:val="18"/>
              </w:rPr>
            </w:pPr>
            <w:r w:rsidRPr="00EE6188">
              <w:rPr>
                <w:sz w:val="18"/>
                <w:szCs w:val="18"/>
              </w:rPr>
              <w:t>Parasitic arthropods</w:t>
            </w:r>
          </w:p>
        </w:tc>
        <w:tc>
          <w:tcPr>
            <w:tcW w:w="0" w:type="auto"/>
            <w:shd w:val="clear" w:color="auto" w:fill="auto"/>
          </w:tcPr>
          <w:p w:rsidR="00E44270" w:rsidRPr="00EE6188" w:rsidRDefault="00E44270" w:rsidP="00B76694">
            <w:pPr>
              <w:rPr>
                <w:sz w:val="18"/>
                <w:szCs w:val="18"/>
              </w:rPr>
            </w:pPr>
            <w:r w:rsidRPr="00EE6188">
              <w:rPr>
                <w:i/>
                <w:sz w:val="18"/>
                <w:szCs w:val="18"/>
              </w:rPr>
              <w:t>Aphidius rhopalosiphi</w:t>
            </w:r>
          </w:p>
        </w:tc>
        <w:tc>
          <w:tcPr>
            <w:tcW w:w="0" w:type="auto"/>
            <w:shd w:val="clear" w:color="auto" w:fill="auto"/>
          </w:tcPr>
          <w:p w:rsidR="00E44270" w:rsidRPr="00EE6188" w:rsidRDefault="00E44270" w:rsidP="00B76694">
            <w:pPr>
              <w:jc w:val="center"/>
              <w:rPr>
                <w:sz w:val="18"/>
                <w:szCs w:val="18"/>
              </w:rPr>
            </w:pPr>
          </w:p>
        </w:tc>
        <w:tc>
          <w:tcPr>
            <w:tcW w:w="0" w:type="auto"/>
            <w:shd w:val="clear" w:color="auto" w:fill="auto"/>
          </w:tcPr>
          <w:p w:rsidR="00E44270" w:rsidRPr="00EE6188" w:rsidRDefault="00E44270" w:rsidP="00B76694">
            <w:pPr>
              <w:jc w:val="center"/>
              <w:rPr>
                <w:sz w:val="18"/>
                <w:szCs w:val="18"/>
              </w:rPr>
            </w:pPr>
          </w:p>
        </w:tc>
        <w:tc>
          <w:tcPr>
            <w:tcW w:w="745" w:type="pct"/>
            <w:shd w:val="clear" w:color="auto" w:fill="auto"/>
          </w:tcPr>
          <w:p w:rsidR="00E44270" w:rsidRPr="00EE6188" w:rsidRDefault="00E44270" w:rsidP="00B76694">
            <w:pPr>
              <w:jc w:val="center"/>
              <w:rPr>
                <w:sz w:val="18"/>
                <w:szCs w:val="18"/>
              </w:rPr>
            </w:pPr>
          </w:p>
        </w:tc>
      </w:tr>
      <w:tr w:rsidR="00E44270" w:rsidRPr="00EE6188" w:rsidTr="00B76694">
        <w:tc>
          <w:tcPr>
            <w:tcW w:w="0" w:type="auto"/>
            <w:tcBorders>
              <w:top w:val="nil"/>
            </w:tcBorders>
            <w:shd w:val="clear" w:color="auto" w:fill="auto"/>
          </w:tcPr>
          <w:p w:rsidR="00E44270" w:rsidRPr="00EE6188" w:rsidRDefault="00E44270" w:rsidP="00B76694">
            <w:pPr>
              <w:rPr>
                <w:sz w:val="18"/>
                <w:szCs w:val="18"/>
              </w:rPr>
            </w:pPr>
          </w:p>
        </w:tc>
        <w:tc>
          <w:tcPr>
            <w:tcW w:w="0" w:type="auto"/>
            <w:shd w:val="clear" w:color="auto" w:fill="auto"/>
          </w:tcPr>
          <w:p w:rsidR="00E44270" w:rsidRPr="00EE6188" w:rsidRDefault="00E44270" w:rsidP="00B76694">
            <w:pPr>
              <w:rPr>
                <w:sz w:val="18"/>
                <w:szCs w:val="18"/>
              </w:rPr>
            </w:pPr>
            <w:r w:rsidRPr="00EE6188">
              <w:rPr>
                <w:i/>
                <w:sz w:val="18"/>
                <w:szCs w:val="18"/>
              </w:rPr>
              <w:t>Aleochara bilineata</w:t>
            </w:r>
          </w:p>
        </w:tc>
        <w:tc>
          <w:tcPr>
            <w:tcW w:w="0" w:type="auto"/>
            <w:shd w:val="clear" w:color="auto" w:fill="auto"/>
          </w:tcPr>
          <w:p w:rsidR="00E44270" w:rsidRPr="00EE6188" w:rsidRDefault="00E44270" w:rsidP="00B76694">
            <w:pPr>
              <w:jc w:val="center"/>
              <w:rPr>
                <w:sz w:val="18"/>
                <w:szCs w:val="18"/>
              </w:rPr>
            </w:pPr>
          </w:p>
        </w:tc>
        <w:tc>
          <w:tcPr>
            <w:tcW w:w="0" w:type="auto"/>
            <w:shd w:val="clear" w:color="auto" w:fill="auto"/>
          </w:tcPr>
          <w:p w:rsidR="00E44270" w:rsidRPr="00EE6188" w:rsidRDefault="00E44270" w:rsidP="00B76694">
            <w:pPr>
              <w:jc w:val="center"/>
              <w:rPr>
                <w:sz w:val="18"/>
                <w:szCs w:val="18"/>
              </w:rPr>
            </w:pPr>
          </w:p>
        </w:tc>
        <w:tc>
          <w:tcPr>
            <w:tcW w:w="745" w:type="pct"/>
            <w:shd w:val="clear" w:color="auto" w:fill="auto"/>
          </w:tcPr>
          <w:p w:rsidR="00E44270" w:rsidRPr="00EE6188" w:rsidRDefault="00E44270" w:rsidP="00B76694">
            <w:pPr>
              <w:jc w:val="center"/>
              <w:rPr>
                <w:sz w:val="18"/>
                <w:szCs w:val="18"/>
              </w:rPr>
            </w:pPr>
          </w:p>
        </w:tc>
      </w:tr>
    </w:tbl>
    <w:p w:rsidR="00E44270" w:rsidRPr="00EE6188" w:rsidRDefault="00E44270" w:rsidP="00E44270">
      <w:pPr>
        <w:rPr>
          <w:sz w:val="18"/>
          <w:szCs w:val="18"/>
        </w:rPr>
      </w:pPr>
      <w:r>
        <w:rPr>
          <w:color w:val="FF0000"/>
          <w:sz w:val="18"/>
          <w:szCs w:val="18"/>
        </w:rPr>
        <w:t>Application r</w:t>
      </w:r>
      <w:r w:rsidRPr="009C1AB3">
        <w:rPr>
          <w:color w:val="FF0000"/>
          <w:sz w:val="18"/>
          <w:szCs w:val="18"/>
        </w:rPr>
        <w:t xml:space="preserve">ate is cumulative rate of 3× 150 g ac/ha, 7-day interval between applications and </w:t>
      </w:r>
      <w:r>
        <w:rPr>
          <w:color w:val="FF0000"/>
          <w:sz w:val="18"/>
          <w:szCs w:val="18"/>
        </w:rPr>
        <w:t xml:space="preserve">default foliar </w:t>
      </w:r>
      <w:r w:rsidRPr="009C1AB3">
        <w:rPr>
          <w:color w:val="FF0000"/>
          <w:sz w:val="18"/>
          <w:szCs w:val="18"/>
        </w:rPr>
        <w:t>DT</w:t>
      </w:r>
      <w:r w:rsidRPr="009C1AB3">
        <w:rPr>
          <w:color w:val="FF0000"/>
          <w:sz w:val="18"/>
          <w:szCs w:val="18"/>
          <w:vertAlign w:val="subscript"/>
        </w:rPr>
        <w:t>50</w:t>
      </w:r>
      <w:r w:rsidRPr="009C1AB3">
        <w:rPr>
          <w:color w:val="FF0000"/>
          <w:sz w:val="18"/>
          <w:szCs w:val="18"/>
        </w:rPr>
        <w:t xml:space="preserve"> </w:t>
      </w:r>
      <w:r>
        <w:rPr>
          <w:color w:val="FF0000"/>
          <w:sz w:val="18"/>
          <w:szCs w:val="18"/>
        </w:rPr>
        <w:t>10</w:t>
      </w:r>
      <w:r w:rsidRPr="009C1AB3">
        <w:rPr>
          <w:color w:val="FF0000"/>
          <w:sz w:val="18"/>
          <w:szCs w:val="18"/>
        </w:rPr>
        <w:t xml:space="preserve"> days</w:t>
      </w:r>
    </w:p>
    <w:p w:rsidR="00E44270" w:rsidRPr="00EE6188" w:rsidRDefault="00E44270" w:rsidP="00E44270">
      <w:pPr>
        <w:rPr>
          <w:sz w:val="18"/>
          <w:szCs w:val="18"/>
        </w:rPr>
      </w:pPr>
      <w:r w:rsidRPr="00EE6188">
        <w:rPr>
          <w:sz w:val="18"/>
          <w:szCs w:val="18"/>
        </w:rPr>
        <w:t xml:space="preserve">RAR = regulatory acceptable rate </w:t>
      </w:r>
      <w:r>
        <w:rPr>
          <w:sz w:val="18"/>
          <w:szCs w:val="18"/>
        </w:rPr>
        <w:t>(from Table X)</w:t>
      </w:r>
    </w:p>
    <w:p w:rsidR="00E44270" w:rsidRDefault="00E44270" w:rsidP="00E44270">
      <w:pPr>
        <w:pStyle w:val="BodyText"/>
        <w:rPr>
          <w:sz w:val="20"/>
        </w:rPr>
      </w:pPr>
      <w:r w:rsidRPr="00EE6188">
        <w:rPr>
          <w:sz w:val="18"/>
          <w:szCs w:val="18"/>
        </w:rPr>
        <w:t xml:space="preserve">RQ = </w:t>
      </w:r>
      <w:r>
        <w:rPr>
          <w:sz w:val="18"/>
          <w:szCs w:val="18"/>
        </w:rPr>
        <w:t>application rate</w:t>
      </w:r>
      <w:r w:rsidRPr="00EE6188">
        <w:rPr>
          <w:sz w:val="18"/>
          <w:szCs w:val="18"/>
        </w:rPr>
        <w:t xml:space="preserve"> / RAR, where acceptable RQ ≤1.0</w:t>
      </w:r>
    </w:p>
    <w:p w:rsidR="008B68EB" w:rsidRPr="009A4CFC" w:rsidRDefault="008B68EB" w:rsidP="008B68EB">
      <w:pPr>
        <w:pStyle w:val="Caption"/>
      </w:pPr>
      <w:r w:rsidRPr="009A4CFC">
        <w:lastRenderedPageBreak/>
        <w:t xml:space="preserve">Table </w:t>
      </w:r>
      <w:r w:rsidR="00EA08EB">
        <w:rPr>
          <w:noProof/>
        </w:rPr>
        <w:fldChar w:fldCharType="begin"/>
      </w:r>
      <w:r w:rsidR="00EA08EB">
        <w:rPr>
          <w:noProof/>
        </w:rPr>
        <w:instrText xml:space="preserve"> SEQ Table \* ARABIC </w:instrText>
      </w:r>
      <w:r w:rsidR="00EA08EB">
        <w:rPr>
          <w:noProof/>
        </w:rPr>
        <w:fldChar w:fldCharType="separate"/>
      </w:r>
      <w:r w:rsidR="00225D67">
        <w:rPr>
          <w:noProof/>
        </w:rPr>
        <w:t>17</w:t>
      </w:r>
      <w:r w:rsidR="00EA08EB">
        <w:rPr>
          <w:noProof/>
        </w:rPr>
        <w:fldChar w:fldCharType="end"/>
      </w:r>
      <w:r w:rsidRPr="009A4CFC">
        <w:t xml:space="preserve"> - </w:t>
      </w:r>
      <w:r w:rsidRPr="008B68EB">
        <w:t>Combination toxicity to other non-target arthropods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349"/>
        <w:gridCol w:w="2453"/>
        <w:gridCol w:w="2371"/>
        <w:gridCol w:w="2460"/>
      </w:tblGrid>
      <w:tr w:rsidR="00E44270" w:rsidRPr="003B32C1" w:rsidTr="008B68EB">
        <w:trPr>
          <w:cantSplit/>
          <w:tblHeader/>
        </w:trPr>
        <w:tc>
          <w:tcPr>
            <w:tcW w:w="2377" w:type="dxa"/>
            <w:tcBorders>
              <w:top w:val="nil"/>
              <w:left w:val="nil"/>
              <w:bottom w:val="nil"/>
              <w:right w:val="single" w:sz="4" w:space="0" w:color="auto"/>
            </w:tcBorders>
            <w:shd w:val="clear" w:color="auto" w:fill="auto"/>
          </w:tcPr>
          <w:p w:rsidR="00E44270" w:rsidRPr="003B32C1" w:rsidRDefault="00E44270" w:rsidP="00B76694">
            <w:pPr>
              <w:widowControl w:val="0"/>
              <w:rPr>
                <w:color w:val="000000"/>
                <w:sz w:val="18"/>
                <w:szCs w:val="18"/>
              </w:rPr>
            </w:pPr>
          </w:p>
        </w:tc>
        <w:tc>
          <w:tcPr>
            <w:tcW w:w="2486" w:type="dxa"/>
            <w:tcBorders>
              <w:left w:val="single" w:sz="4" w:space="0" w:color="auto"/>
            </w:tcBorders>
            <w:shd w:val="clear" w:color="auto" w:fill="auto"/>
          </w:tcPr>
          <w:p w:rsidR="00E44270" w:rsidRPr="003B32C1" w:rsidRDefault="00E44270" w:rsidP="00B76694">
            <w:pPr>
              <w:widowControl w:val="0"/>
              <w:jc w:val="center"/>
              <w:rPr>
                <w:b/>
                <w:color w:val="000000"/>
                <w:sz w:val="18"/>
                <w:szCs w:val="18"/>
              </w:rPr>
            </w:pPr>
            <w:r>
              <w:rPr>
                <w:b/>
                <w:color w:val="000000"/>
                <w:sz w:val="18"/>
                <w:szCs w:val="18"/>
              </w:rPr>
              <w:t>Active 1</w:t>
            </w:r>
          </w:p>
        </w:tc>
        <w:tc>
          <w:tcPr>
            <w:tcW w:w="2403" w:type="dxa"/>
            <w:shd w:val="clear" w:color="auto" w:fill="auto"/>
          </w:tcPr>
          <w:p w:rsidR="00E44270" w:rsidRPr="003B32C1" w:rsidRDefault="00E44270" w:rsidP="00B76694">
            <w:pPr>
              <w:widowControl w:val="0"/>
              <w:jc w:val="center"/>
              <w:rPr>
                <w:b/>
                <w:color w:val="000000"/>
                <w:sz w:val="18"/>
                <w:szCs w:val="18"/>
              </w:rPr>
            </w:pPr>
            <w:r>
              <w:rPr>
                <w:b/>
                <w:color w:val="000000"/>
                <w:sz w:val="18"/>
                <w:szCs w:val="18"/>
              </w:rPr>
              <w:t>Active 2</w:t>
            </w:r>
          </w:p>
        </w:tc>
        <w:tc>
          <w:tcPr>
            <w:tcW w:w="2486" w:type="dxa"/>
          </w:tcPr>
          <w:p w:rsidR="00E44270" w:rsidRPr="003B32C1" w:rsidRDefault="00E44270" w:rsidP="00B76694">
            <w:pPr>
              <w:widowControl w:val="0"/>
              <w:jc w:val="center"/>
              <w:rPr>
                <w:b/>
                <w:color w:val="000000"/>
                <w:sz w:val="18"/>
                <w:szCs w:val="18"/>
              </w:rPr>
            </w:pPr>
            <w:r w:rsidRPr="003B32C1">
              <w:rPr>
                <w:b/>
                <w:color w:val="000000"/>
                <w:sz w:val="18"/>
                <w:szCs w:val="18"/>
              </w:rPr>
              <w:t>Combination</w:t>
            </w:r>
            <w:r w:rsidRPr="003B32C1">
              <w:rPr>
                <w:b/>
                <w:color w:val="000000"/>
                <w:sz w:val="18"/>
                <w:szCs w:val="18"/>
                <w:vertAlign w:val="superscript"/>
              </w:rPr>
              <w:footnoteReference w:id="7"/>
            </w:r>
            <w:r w:rsidRPr="003B32C1">
              <w:rPr>
                <w:b/>
                <w:color w:val="000000"/>
                <w:sz w:val="18"/>
                <w:szCs w:val="18"/>
              </w:rPr>
              <w:t xml:space="preserve"> </w:t>
            </w:r>
            <w:r w:rsidRPr="003B32C1">
              <w:rPr>
                <w:sz w:val="18"/>
                <w:szCs w:val="18"/>
                <w:vertAlign w:val="superscript"/>
              </w:rPr>
              <w:footnoteReference w:id="8"/>
            </w:r>
            <w:r>
              <w:rPr>
                <w:b/>
                <w:color w:val="000000"/>
                <w:sz w:val="18"/>
                <w:szCs w:val="18"/>
              </w:rPr>
              <w:t xml:space="preserve"> </w:t>
            </w:r>
            <w:r>
              <w:rPr>
                <w:rStyle w:val="FootnoteReference"/>
                <w:b/>
                <w:color w:val="000000"/>
                <w:sz w:val="18"/>
                <w:szCs w:val="18"/>
              </w:rPr>
              <w:footnoteReference w:id="9"/>
            </w:r>
          </w:p>
        </w:tc>
      </w:tr>
      <w:tr w:rsidR="00E44270" w:rsidRPr="003B32C1" w:rsidTr="008B68EB">
        <w:trPr>
          <w:cantSplit/>
          <w:tblHeader/>
        </w:trPr>
        <w:tc>
          <w:tcPr>
            <w:tcW w:w="2377" w:type="dxa"/>
            <w:tcBorders>
              <w:top w:val="nil"/>
              <w:left w:val="nil"/>
              <w:bottom w:val="nil"/>
              <w:right w:val="single" w:sz="4" w:space="0" w:color="auto"/>
            </w:tcBorders>
            <w:shd w:val="clear" w:color="auto" w:fill="auto"/>
          </w:tcPr>
          <w:p w:rsidR="00E44270" w:rsidRPr="003B32C1" w:rsidRDefault="00E44270" w:rsidP="00B76694">
            <w:pPr>
              <w:widowControl w:val="0"/>
              <w:rPr>
                <w:color w:val="000000"/>
                <w:sz w:val="18"/>
                <w:szCs w:val="18"/>
              </w:rPr>
            </w:pPr>
            <w:r w:rsidRPr="003B32C1">
              <w:rPr>
                <w:color w:val="000000"/>
                <w:sz w:val="18"/>
                <w:szCs w:val="18"/>
              </w:rPr>
              <w:t>Fraction in combination</w:t>
            </w:r>
          </w:p>
        </w:tc>
        <w:tc>
          <w:tcPr>
            <w:tcW w:w="2486" w:type="dxa"/>
            <w:tcBorders>
              <w:top w:val="nil"/>
              <w:left w:val="nil"/>
              <w:bottom w:val="single" w:sz="8" w:space="0" w:color="auto"/>
              <w:right w:val="single" w:sz="8" w:space="0" w:color="auto"/>
            </w:tcBorders>
            <w:shd w:val="clear" w:color="auto" w:fill="auto"/>
          </w:tcPr>
          <w:p w:rsidR="00E44270" w:rsidRPr="008033E2" w:rsidRDefault="00E44270" w:rsidP="00B76694">
            <w:pPr>
              <w:widowControl w:val="0"/>
              <w:jc w:val="center"/>
              <w:rPr>
                <w:b/>
                <w:color w:val="FF0000"/>
                <w:sz w:val="18"/>
                <w:szCs w:val="18"/>
              </w:rPr>
            </w:pPr>
            <w:r>
              <w:rPr>
                <w:b/>
                <w:color w:val="FF0000"/>
                <w:sz w:val="18"/>
                <w:szCs w:val="18"/>
              </w:rPr>
              <w:t>0.XX</w:t>
            </w:r>
          </w:p>
        </w:tc>
        <w:tc>
          <w:tcPr>
            <w:tcW w:w="2403" w:type="dxa"/>
            <w:tcBorders>
              <w:top w:val="nil"/>
              <w:left w:val="nil"/>
              <w:bottom w:val="single" w:sz="8" w:space="0" w:color="auto"/>
              <w:right w:val="single" w:sz="8" w:space="0" w:color="auto"/>
            </w:tcBorders>
            <w:shd w:val="clear" w:color="auto" w:fill="auto"/>
          </w:tcPr>
          <w:p w:rsidR="00E44270" w:rsidRPr="008033E2" w:rsidRDefault="00E44270" w:rsidP="00B76694">
            <w:pPr>
              <w:widowControl w:val="0"/>
              <w:jc w:val="center"/>
              <w:rPr>
                <w:b/>
                <w:color w:val="FF0000"/>
                <w:sz w:val="18"/>
                <w:szCs w:val="18"/>
              </w:rPr>
            </w:pPr>
            <w:r>
              <w:rPr>
                <w:b/>
                <w:color w:val="FF0000"/>
                <w:sz w:val="18"/>
                <w:szCs w:val="18"/>
              </w:rPr>
              <w:t>0.XX</w:t>
            </w:r>
          </w:p>
        </w:tc>
        <w:tc>
          <w:tcPr>
            <w:tcW w:w="2486" w:type="dxa"/>
          </w:tcPr>
          <w:p w:rsidR="00E44270" w:rsidRPr="003B32C1" w:rsidRDefault="00E44270" w:rsidP="00B76694">
            <w:pPr>
              <w:widowControl w:val="0"/>
              <w:jc w:val="center"/>
              <w:rPr>
                <w:b/>
                <w:color w:val="000000"/>
                <w:sz w:val="18"/>
                <w:szCs w:val="18"/>
              </w:rPr>
            </w:pPr>
            <w:r w:rsidRPr="003B32C1">
              <w:rPr>
                <w:b/>
                <w:color w:val="000000"/>
                <w:sz w:val="18"/>
                <w:szCs w:val="18"/>
              </w:rPr>
              <w:t>1.00</w:t>
            </w:r>
          </w:p>
        </w:tc>
      </w:tr>
      <w:tr w:rsidR="00E44270" w:rsidRPr="003B32C1" w:rsidTr="008B68EB">
        <w:trPr>
          <w:cantSplit/>
        </w:trPr>
        <w:tc>
          <w:tcPr>
            <w:tcW w:w="2377" w:type="dxa"/>
            <w:tcBorders>
              <w:top w:val="nil"/>
              <w:left w:val="nil"/>
              <w:bottom w:val="nil"/>
              <w:right w:val="single" w:sz="4" w:space="0" w:color="auto"/>
            </w:tcBorders>
            <w:shd w:val="clear" w:color="auto" w:fill="auto"/>
          </w:tcPr>
          <w:p w:rsidR="00E44270" w:rsidRPr="003B32C1" w:rsidRDefault="00E44270" w:rsidP="00B76694">
            <w:pPr>
              <w:widowControl w:val="0"/>
              <w:rPr>
                <w:color w:val="000000"/>
                <w:sz w:val="18"/>
                <w:szCs w:val="18"/>
              </w:rPr>
            </w:pPr>
            <w:r>
              <w:rPr>
                <w:color w:val="000000"/>
                <w:sz w:val="18"/>
                <w:szCs w:val="18"/>
              </w:rPr>
              <w:t>Toxicity to predatory arthropods</w:t>
            </w:r>
          </w:p>
        </w:tc>
        <w:tc>
          <w:tcPr>
            <w:tcW w:w="2486" w:type="dxa"/>
            <w:tcBorders>
              <w:top w:val="nil"/>
              <w:left w:val="nil"/>
              <w:bottom w:val="single" w:sz="8" w:space="0" w:color="auto"/>
              <w:right w:val="single" w:sz="8" w:space="0" w:color="auto"/>
            </w:tcBorders>
            <w:shd w:val="clear" w:color="auto" w:fill="auto"/>
          </w:tcPr>
          <w:p w:rsidR="00E44270" w:rsidRDefault="00E44270" w:rsidP="00B76694">
            <w:pPr>
              <w:widowControl w:val="0"/>
              <w:rPr>
                <w:color w:val="000000"/>
                <w:sz w:val="18"/>
                <w:szCs w:val="18"/>
              </w:rPr>
            </w:pPr>
            <w:r w:rsidRPr="003B32C1">
              <w:rPr>
                <w:color w:val="000000"/>
                <w:sz w:val="18"/>
                <w:szCs w:val="18"/>
              </w:rPr>
              <w:t>L</w:t>
            </w:r>
            <w:r>
              <w:rPr>
                <w:color w:val="000000"/>
                <w:sz w:val="18"/>
                <w:szCs w:val="18"/>
              </w:rPr>
              <w:t>R</w:t>
            </w:r>
            <w:r w:rsidRPr="003B32C1">
              <w:rPr>
                <w:color w:val="000000"/>
                <w:sz w:val="18"/>
                <w:szCs w:val="18"/>
                <w:vertAlign w:val="subscript"/>
              </w:rPr>
              <w:t>50</w:t>
            </w:r>
            <w:r>
              <w:rPr>
                <w:color w:val="000000"/>
                <w:sz w:val="18"/>
                <w:szCs w:val="18"/>
              </w:rPr>
              <w:t xml:space="preserve"> </w:t>
            </w:r>
            <w:r w:rsidRPr="00135741">
              <w:rPr>
                <w:color w:val="FF0000"/>
                <w:sz w:val="18"/>
                <w:szCs w:val="18"/>
              </w:rPr>
              <w:t>XX</w:t>
            </w:r>
            <w:r w:rsidRPr="003B32C1">
              <w:rPr>
                <w:color w:val="000000"/>
                <w:sz w:val="18"/>
                <w:szCs w:val="18"/>
              </w:rPr>
              <w:t xml:space="preserve"> </w:t>
            </w:r>
            <w:r>
              <w:rPr>
                <w:color w:val="000000"/>
                <w:sz w:val="18"/>
                <w:szCs w:val="18"/>
              </w:rPr>
              <w:t>g ac/ha</w:t>
            </w:r>
            <w:r w:rsidRPr="003B32C1">
              <w:rPr>
                <w:color w:val="000000"/>
                <w:sz w:val="18"/>
                <w:szCs w:val="18"/>
              </w:rPr>
              <w:t xml:space="preserve"> </w:t>
            </w:r>
          </w:p>
          <w:p w:rsidR="00E44270" w:rsidRDefault="00E44270" w:rsidP="00B76694">
            <w:pPr>
              <w:widowControl w:val="0"/>
              <w:rPr>
                <w:color w:val="FF0000"/>
                <w:sz w:val="18"/>
                <w:szCs w:val="18"/>
              </w:rPr>
            </w:pPr>
            <w:r w:rsidRPr="00135741">
              <w:rPr>
                <w:color w:val="FF0000"/>
                <w:sz w:val="18"/>
                <w:szCs w:val="18"/>
              </w:rPr>
              <w:t>Test item</w:t>
            </w:r>
          </w:p>
          <w:p w:rsidR="00E44270" w:rsidRPr="00135741" w:rsidRDefault="00E44270" w:rsidP="00B76694">
            <w:pPr>
              <w:widowControl w:val="0"/>
              <w:rPr>
                <w:color w:val="FF0000"/>
                <w:sz w:val="18"/>
                <w:szCs w:val="18"/>
              </w:rPr>
            </w:pPr>
            <w:r>
              <w:rPr>
                <w:color w:val="FF0000"/>
                <w:sz w:val="18"/>
                <w:szCs w:val="18"/>
              </w:rPr>
              <w:t>Test type</w:t>
            </w:r>
          </w:p>
          <w:p w:rsidR="00E44270" w:rsidRPr="00135741" w:rsidRDefault="00E44270" w:rsidP="00B76694">
            <w:pPr>
              <w:widowControl w:val="0"/>
              <w:rPr>
                <w:i/>
                <w:color w:val="FF0000"/>
                <w:sz w:val="18"/>
                <w:szCs w:val="18"/>
              </w:rPr>
            </w:pPr>
            <w:r w:rsidRPr="00135741">
              <w:rPr>
                <w:i/>
                <w:color w:val="FF0000"/>
                <w:sz w:val="18"/>
                <w:szCs w:val="18"/>
              </w:rPr>
              <w:t>Test species</w:t>
            </w:r>
          </w:p>
          <w:p w:rsidR="00E44270" w:rsidRPr="003B32C1" w:rsidRDefault="00E44270" w:rsidP="00B76694">
            <w:pPr>
              <w:widowControl w:val="0"/>
              <w:rPr>
                <w:color w:val="000000"/>
                <w:sz w:val="18"/>
                <w:szCs w:val="18"/>
                <w:lang w:eastAsia="en-AU"/>
              </w:rPr>
            </w:pPr>
            <w:r w:rsidRPr="00135741">
              <w:rPr>
                <w:color w:val="FF0000"/>
                <w:sz w:val="18"/>
                <w:szCs w:val="18"/>
                <w:lang w:eastAsia="en-AU"/>
              </w:rPr>
              <w:t>Reference</w:t>
            </w:r>
          </w:p>
        </w:tc>
        <w:tc>
          <w:tcPr>
            <w:tcW w:w="2403" w:type="dxa"/>
            <w:tcBorders>
              <w:top w:val="nil"/>
              <w:left w:val="nil"/>
              <w:bottom w:val="single" w:sz="8" w:space="0" w:color="auto"/>
              <w:right w:val="single" w:sz="8" w:space="0" w:color="auto"/>
            </w:tcBorders>
            <w:shd w:val="clear" w:color="auto" w:fill="auto"/>
          </w:tcPr>
          <w:p w:rsidR="00E44270" w:rsidRDefault="00E44270" w:rsidP="00B76694">
            <w:pPr>
              <w:widowControl w:val="0"/>
              <w:rPr>
                <w:color w:val="000000"/>
                <w:sz w:val="18"/>
                <w:szCs w:val="18"/>
              </w:rPr>
            </w:pPr>
            <w:r w:rsidRPr="003B32C1">
              <w:rPr>
                <w:color w:val="000000"/>
                <w:sz w:val="18"/>
                <w:szCs w:val="18"/>
              </w:rPr>
              <w:t>L</w:t>
            </w:r>
            <w:r>
              <w:rPr>
                <w:color w:val="000000"/>
                <w:sz w:val="18"/>
                <w:szCs w:val="18"/>
              </w:rPr>
              <w:t>R</w:t>
            </w:r>
            <w:r w:rsidRPr="003B32C1">
              <w:rPr>
                <w:color w:val="000000"/>
                <w:sz w:val="18"/>
                <w:szCs w:val="18"/>
                <w:vertAlign w:val="subscript"/>
              </w:rPr>
              <w:t>50</w:t>
            </w:r>
            <w:r>
              <w:rPr>
                <w:color w:val="000000"/>
                <w:sz w:val="18"/>
                <w:szCs w:val="18"/>
              </w:rPr>
              <w:t xml:space="preserve"> </w:t>
            </w:r>
            <w:r w:rsidRPr="00135741">
              <w:rPr>
                <w:color w:val="FF0000"/>
                <w:sz w:val="18"/>
                <w:szCs w:val="18"/>
              </w:rPr>
              <w:t>XX</w:t>
            </w:r>
            <w:r w:rsidRPr="003B32C1">
              <w:rPr>
                <w:color w:val="000000"/>
                <w:sz w:val="18"/>
                <w:szCs w:val="18"/>
              </w:rPr>
              <w:t xml:space="preserve"> </w:t>
            </w:r>
            <w:r>
              <w:rPr>
                <w:color w:val="000000"/>
                <w:sz w:val="18"/>
                <w:szCs w:val="18"/>
              </w:rPr>
              <w:t>g ac/ha</w:t>
            </w:r>
            <w:r w:rsidRPr="003B32C1">
              <w:rPr>
                <w:color w:val="000000"/>
                <w:sz w:val="18"/>
                <w:szCs w:val="18"/>
              </w:rPr>
              <w:t xml:space="preserve"> </w:t>
            </w:r>
          </w:p>
          <w:p w:rsidR="00E44270" w:rsidRDefault="00E44270" w:rsidP="00B76694">
            <w:pPr>
              <w:widowControl w:val="0"/>
              <w:rPr>
                <w:color w:val="FF0000"/>
                <w:sz w:val="18"/>
                <w:szCs w:val="18"/>
              </w:rPr>
            </w:pPr>
            <w:r w:rsidRPr="00135741">
              <w:rPr>
                <w:color w:val="FF0000"/>
                <w:sz w:val="18"/>
                <w:szCs w:val="18"/>
              </w:rPr>
              <w:t>Test item</w:t>
            </w:r>
          </w:p>
          <w:p w:rsidR="00E44270" w:rsidRPr="00135741" w:rsidRDefault="00E44270" w:rsidP="00B76694">
            <w:pPr>
              <w:widowControl w:val="0"/>
              <w:rPr>
                <w:color w:val="FF0000"/>
                <w:sz w:val="18"/>
                <w:szCs w:val="18"/>
              </w:rPr>
            </w:pPr>
            <w:r>
              <w:rPr>
                <w:color w:val="FF0000"/>
                <w:sz w:val="18"/>
                <w:szCs w:val="18"/>
              </w:rPr>
              <w:t>Test type</w:t>
            </w:r>
          </w:p>
          <w:p w:rsidR="00E44270" w:rsidRPr="00135741" w:rsidRDefault="00E44270" w:rsidP="00B76694">
            <w:pPr>
              <w:widowControl w:val="0"/>
              <w:rPr>
                <w:i/>
                <w:color w:val="FF0000"/>
                <w:sz w:val="18"/>
                <w:szCs w:val="18"/>
              </w:rPr>
            </w:pPr>
            <w:r w:rsidRPr="00135741">
              <w:rPr>
                <w:i/>
                <w:color w:val="FF0000"/>
                <w:sz w:val="18"/>
                <w:szCs w:val="18"/>
              </w:rPr>
              <w:t>Test species</w:t>
            </w:r>
          </w:p>
          <w:p w:rsidR="00E44270" w:rsidRPr="003B32C1" w:rsidRDefault="00E44270" w:rsidP="00B76694">
            <w:pPr>
              <w:widowControl w:val="0"/>
              <w:rPr>
                <w:color w:val="000000"/>
                <w:sz w:val="18"/>
                <w:szCs w:val="18"/>
                <w:lang w:eastAsia="en-AU"/>
              </w:rPr>
            </w:pPr>
            <w:r w:rsidRPr="00135741">
              <w:rPr>
                <w:color w:val="FF0000"/>
                <w:sz w:val="18"/>
                <w:szCs w:val="18"/>
                <w:lang w:eastAsia="en-AU"/>
              </w:rPr>
              <w:t>Reference</w:t>
            </w:r>
          </w:p>
        </w:tc>
        <w:tc>
          <w:tcPr>
            <w:tcW w:w="2486" w:type="dxa"/>
          </w:tcPr>
          <w:p w:rsidR="00E44270" w:rsidRDefault="00E44270" w:rsidP="00B76694">
            <w:pPr>
              <w:widowControl w:val="0"/>
              <w:rPr>
                <w:color w:val="000000"/>
                <w:sz w:val="18"/>
                <w:szCs w:val="18"/>
              </w:rPr>
            </w:pPr>
            <w:r>
              <w:rPr>
                <w:color w:val="000000"/>
                <w:sz w:val="18"/>
                <w:szCs w:val="18"/>
              </w:rPr>
              <w:t>Measured:</w:t>
            </w:r>
          </w:p>
          <w:p w:rsidR="00E44270" w:rsidRPr="003B32C1" w:rsidRDefault="00E44270" w:rsidP="00B76694">
            <w:pPr>
              <w:widowControl w:val="0"/>
              <w:rPr>
                <w:color w:val="000000"/>
                <w:sz w:val="18"/>
                <w:szCs w:val="18"/>
              </w:rPr>
            </w:pPr>
            <w:r w:rsidRPr="003B32C1">
              <w:rPr>
                <w:color w:val="000000"/>
                <w:sz w:val="18"/>
                <w:szCs w:val="18"/>
              </w:rPr>
              <w:t>L</w:t>
            </w:r>
            <w:r>
              <w:rPr>
                <w:color w:val="000000"/>
                <w:sz w:val="18"/>
                <w:szCs w:val="18"/>
              </w:rPr>
              <w:t>R</w:t>
            </w:r>
            <w:r w:rsidRPr="003B32C1">
              <w:rPr>
                <w:color w:val="000000"/>
                <w:sz w:val="18"/>
                <w:szCs w:val="18"/>
                <w:vertAlign w:val="subscript"/>
              </w:rPr>
              <w:t>50</w:t>
            </w:r>
            <w:r>
              <w:rPr>
                <w:color w:val="000000"/>
                <w:sz w:val="18"/>
                <w:szCs w:val="18"/>
              </w:rPr>
              <w:t xml:space="preserve"> </w:t>
            </w:r>
            <w:r w:rsidRPr="00135741">
              <w:rPr>
                <w:color w:val="FF0000"/>
                <w:sz w:val="18"/>
                <w:szCs w:val="18"/>
              </w:rPr>
              <w:t>XX</w:t>
            </w:r>
            <w:r w:rsidRPr="003B32C1">
              <w:rPr>
                <w:color w:val="000000"/>
                <w:sz w:val="18"/>
                <w:szCs w:val="18"/>
              </w:rPr>
              <w:t xml:space="preserve"> </w:t>
            </w:r>
            <w:r>
              <w:rPr>
                <w:color w:val="000000"/>
                <w:sz w:val="18"/>
                <w:szCs w:val="18"/>
              </w:rPr>
              <w:t>g acs/ha</w:t>
            </w:r>
          </w:p>
          <w:p w:rsidR="00E44270" w:rsidRDefault="00E44270" w:rsidP="00B76694">
            <w:pPr>
              <w:widowControl w:val="0"/>
              <w:rPr>
                <w:color w:val="FF0000"/>
                <w:sz w:val="18"/>
                <w:szCs w:val="18"/>
              </w:rPr>
            </w:pPr>
            <w:r w:rsidRPr="00135741">
              <w:rPr>
                <w:color w:val="FF0000"/>
                <w:sz w:val="18"/>
                <w:szCs w:val="18"/>
              </w:rPr>
              <w:t>Test item</w:t>
            </w:r>
          </w:p>
          <w:p w:rsidR="00E44270" w:rsidRPr="00135741" w:rsidRDefault="00E44270" w:rsidP="00B76694">
            <w:pPr>
              <w:widowControl w:val="0"/>
              <w:rPr>
                <w:color w:val="FF0000"/>
                <w:sz w:val="18"/>
                <w:szCs w:val="18"/>
              </w:rPr>
            </w:pPr>
            <w:r>
              <w:rPr>
                <w:color w:val="FF0000"/>
                <w:sz w:val="18"/>
                <w:szCs w:val="18"/>
              </w:rPr>
              <w:t>Test duration + medium</w:t>
            </w:r>
          </w:p>
          <w:p w:rsidR="00E44270" w:rsidRPr="00135741" w:rsidRDefault="00E44270" w:rsidP="00B76694">
            <w:pPr>
              <w:widowControl w:val="0"/>
              <w:rPr>
                <w:i/>
                <w:color w:val="FF0000"/>
                <w:sz w:val="18"/>
                <w:szCs w:val="18"/>
              </w:rPr>
            </w:pPr>
            <w:r w:rsidRPr="00135741">
              <w:rPr>
                <w:i/>
                <w:color w:val="FF0000"/>
                <w:sz w:val="18"/>
                <w:szCs w:val="18"/>
              </w:rPr>
              <w:t>Test species</w:t>
            </w:r>
          </w:p>
          <w:p w:rsidR="00E44270" w:rsidRDefault="00E44270" w:rsidP="00B76694">
            <w:pPr>
              <w:widowControl w:val="0"/>
              <w:rPr>
                <w:sz w:val="18"/>
                <w:szCs w:val="18"/>
                <w:lang w:eastAsia="en-AU"/>
              </w:rPr>
            </w:pPr>
            <w:r w:rsidRPr="00135741">
              <w:rPr>
                <w:color w:val="FF0000"/>
                <w:sz w:val="18"/>
                <w:szCs w:val="18"/>
                <w:lang w:eastAsia="en-AU"/>
              </w:rPr>
              <w:t>Reference</w:t>
            </w:r>
          </w:p>
          <w:p w:rsidR="00E44270" w:rsidRDefault="00E44270" w:rsidP="00B76694">
            <w:pPr>
              <w:widowControl w:val="0"/>
              <w:rPr>
                <w:sz w:val="18"/>
                <w:szCs w:val="18"/>
                <w:lang w:eastAsia="en-AU"/>
              </w:rPr>
            </w:pPr>
          </w:p>
          <w:p w:rsidR="00E44270" w:rsidRDefault="00E44270" w:rsidP="00B76694">
            <w:pPr>
              <w:widowControl w:val="0"/>
              <w:rPr>
                <w:sz w:val="18"/>
                <w:szCs w:val="18"/>
                <w:lang w:eastAsia="en-AU"/>
              </w:rPr>
            </w:pPr>
            <w:r>
              <w:rPr>
                <w:sz w:val="18"/>
                <w:szCs w:val="18"/>
                <w:lang w:eastAsia="en-AU"/>
              </w:rPr>
              <w:t>Predicted:</w:t>
            </w:r>
          </w:p>
          <w:p w:rsidR="00E44270" w:rsidRDefault="00E44270" w:rsidP="00B76694">
            <w:pPr>
              <w:widowControl w:val="0"/>
              <w:rPr>
                <w:color w:val="000000"/>
                <w:sz w:val="18"/>
                <w:szCs w:val="18"/>
              </w:rPr>
            </w:pPr>
            <w:r w:rsidRPr="003B32C1">
              <w:rPr>
                <w:color w:val="000000"/>
                <w:sz w:val="18"/>
                <w:szCs w:val="18"/>
              </w:rPr>
              <w:t>L</w:t>
            </w:r>
            <w:r>
              <w:rPr>
                <w:color w:val="000000"/>
                <w:sz w:val="18"/>
                <w:szCs w:val="18"/>
              </w:rPr>
              <w:t>R</w:t>
            </w:r>
            <w:r w:rsidRPr="003B32C1">
              <w:rPr>
                <w:color w:val="000000"/>
                <w:sz w:val="18"/>
                <w:szCs w:val="18"/>
                <w:vertAlign w:val="subscript"/>
              </w:rPr>
              <w:t>50</w:t>
            </w:r>
            <w:r>
              <w:rPr>
                <w:color w:val="000000"/>
                <w:sz w:val="18"/>
                <w:szCs w:val="18"/>
              </w:rPr>
              <w:t xml:space="preserve"> </w:t>
            </w:r>
            <w:r w:rsidRPr="00135741">
              <w:rPr>
                <w:color w:val="FF0000"/>
                <w:sz w:val="18"/>
                <w:szCs w:val="18"/>
              </w:rPr>
              <w:t>XX</w:t>
            </w:r>
            <w:r w:rsidRPr="003B32C1">
              <w:rPr>
                <w:color w:val="000000"/>
                <w:sz w:val="18"/>
                <w:szCs w:val="18"/>
              </w:rPr>
              <w:t xml:space="preserve"> </w:t>
            </w:r>
            <w:r>
              <w:rPr>
                <w:color w:val="000000"/>
                <w:sz w:val="18"/>
                <w:szCs w:val="18"/>
              </w:rPr>
              <w:t>g acs/ha</w:t>
            </w:r>
          </w:p>
          <w:p w:rsidR="00E44270" w:rsidRDefault="00E44270" w:rsidP="00B76694">
            <w:pPr>
              <w:widowControl w:val="0"/>
              <w:rPr>
                <w:color w:val="000000"/>
                <w:sz w:val="18"/>
                <w:szCs w:val="18"/>
              </w:rPr>
            </w:pPr>
          </w:p>
          <w:p w:rsidR="00E44270" w:rsidRDefault="00E44270" w:rsidP="00B76694">
            <w:pPr>
              <w:widowControl w:val="0"/>
              <w:rPr>
                <w:color w:val="000000"/>
                <w:sz w:val="18"/>
                <w:szCs w:val="18"/>
              </w:rPr>
            </w:pPr>
            <w:r>
              <w:rPr>
                <w:color w:val="000000"/>
                <w:sz w:val="18"/>
                <w:szCs w:val="18"/>
              </w:rPr>
              <w:t>Relative toxicity contributions:</w:t>
            </w:r>
          </w:p>
          <w:p w:rsidR="00E44270" w:rsidRDefault="00E44270" w:rsidP="00B76694">
            <w:pPr>
              <w:widowControl w:val="0"/>
              <w:rPr>
                <w:color w:val="000000"/>
                <w:sz w:val="18"/>
                <w:szCs w:val="18"/>
              </w:rPr>
            </w:pPr>
            <w:r w:rsidRPr="008033E2">
              <w:rPr>
                <w:color w:val="FF0000"/>
                <w:sz w:val="18"/>
                <w:szCs w:val="18"/>
              </w:rPr>
              <w:t>X</w:t>
            </w:r>
            <w:r>
              <w:rPr>
                <w:color w:val="000000"/>
                <w:sz w:val="18"/>
                <w:szCs w:val="18"/>
              </w:rPr>
              <w:t xml:space="preserve">% + </w:t>
            </w:r>
            <w:r w:rsidRPr="008033E2">
              <w:rPr>
                <w:color w:val="FF0000"/>
                <w:sz w:val="18"/>
                <w:szCs w:val="18"/>
              </w:rPr>
              <w:t>X</w:t>
            </w:r>
            <w:r>
              <w:rPr>
                <w:color w:val="000000"/>
                <w:sz w:val="18"/>
                <w:szCs w:val="18"/>
              </w:rPr>
              <w:t>%</w:t>
            </w:r>
          </w:p>
          <w:p w:rsidR="00E44270" w:rsidRDefault="00E44270" w:rsidP="00B76694">
            <w:pPr>
              <w:widowControl w:val="0"/>
              <w:rPr>
                <w:color w:val="000000"/>
                <w:sz w:val="18"/>
                <w:szCs w:val="18"/>
              </w:rPr>
            </w:pPr>
          </w:p>
          <w:p w:rsidR="00E44270" w:rsidRPr="00135741" w:rsidRDefault="00E44270" w:rsidP="00B76694">
            <w:pPr>
              <w:widowControl w:val="0"/>
              <w:rPr>
                <w:color w:val="000000"/>
                <w:sz w:val="18"/>
                <w:szCs w:val="18"/>
              </w:rPr>
            </w:pPr>
            <w:r>
              <w:rPr>
                <w:color w:val="000000"/>
                <w:sz w:val="18"/>
                <w:szCs w:val="18"/>
              </w:rPr>
              <w:t xml:space="preserve">MDR </w:t>
            </w:r>
            <w:r w:rsidRPr="00802A63">
              <w:rPr>
                <w:color w:val="FF0000"/>
                <w:sz w:val="18"/>
                <w:szCs w:val="18"/>
              </w:rPr>
              <w:t>X</w:t>
            </w:r>
          </w:p>
        </w:tc>
      </w:tr>
      <w:tr w:rsidR="00E44270" w:rsidRPr="003B32C1" w:rsidTr="008B68EB">
        <w:trPr>
          <w:cantSplit/>
        </w:trPr>
        <w:tc>
          <w:tcPr>
            <w:tcW w:w="2377" w:type="dxa"/>
            <w:tcBorders>
              <w:top w:val="nil"/>
              <w:left w:val="nil"/>
              <w:bottom w:val="nil"/>
              <w:right w:val="single" w:sz="4" w:space="0" w:color="auto"/>
            </w:tcBorders>
            <w:shd w:val="clear" w:color="auto" w:fill="auto"/>
          </w:tcPr>
          <w:p w:rsidR="00E44270" w:rsidRPr="003B32C1" w:rsidRDefault="00E44270" w:rsidP="00B76694">
            <w:pPr>
              <w:widowControl w:val="0"/>
              <w:rPr>
                <w:color w:val="000000"/>
                <w:sz w:val="18"/>
                <w:szCs w:val="18"/>
              </w:rPr>
            </w:pPr>
            <w:r>
              <w:rPr>
                <w:color w:val="000000"/>
                <w:sz w:val="18"/>
                <w:szCs w:val="18"/>
              </w:rPr>
              <w:t>Toxicity to parasitic arthropods</w:t>
            </w:r>
          </w:p>
        </w:tc>
        <w:tc>
          <w:tcPr>
            <w:tcW w:w="2486" w:type="dxa"/>
            <w:tcBorders>
              <w:top w:val="nil"/>
              <w:left w:val="nil"/>
              <w:bottom w:val="single" w:sz="8" w:space="0" w:color="auto"/>
              <w:right w:val="single" w:sz="8" w:space="0" w:color="auto"/>
            </w:tcBorders>
            <w:shd w:val="clear" w:color="auto" w:fill="auto"/>
          </w:tcPr>
          <w:p w:rsidR="00E44270" w:rsidRDefault="00E44270" w:rsidP="00B76694">
            <w:pPr>
              <w:widowControl w:val="0"/>
              <w:rPr>
                <w:color w:val="000000"/>
                <w:sz w:val="18"/>
                <w:szCs w:val="18"/>
              </w:rPr>
            </w:pPr>
            <w:r w:rsidRPr="003B32C1">
              <w:rPr>
                <w:color w:val="000000"/>
                <w:sz w:val="18"/>
                <w:szCs w:val="18"/>
              </w:rPr>
              <w:t>L</w:t>
            </w:r>
            <w:r>
              <w:rPr>
                <w:color w:val="000000"/>
                <w:sz w:val="18"/>
                <w:szCs w:val="18"/>
              </w:rPr>
              <w:t>R</w:t>
            </w:r>
            <w:r w:rsidRPr="003B32C1">
              <w:rPr>
                <w:color w:val="000000"/>
                <w:sz w:val="18"/>
                <w:szCs w:val="18"/>
                <w:vertAlign w:val="subscript"/>
              </w:rPr>
              <w:t>50</w:t>
            </w:r>
            <w:r>
              <w:rPr>
                <w:color w:val="000000"/>
                <w:sz w:val="18"/>
                <w:szCs w:val="18"/>
              </w:rPr>
              <w:t xml:space="preserve"> </w:t>
            </w:r>
            <w:r w:rsidRPr="00135741">
              <w:rPr>
                <w:color w:val="FF0000"/>
                <w:sz w:val="18"/>
                <w:szCs w:val="18"/>
              </w:rPr>
              <w:t>XX</w:t>
            </w:r>
            <w:r w:rsidRPr="003B32C1">
              <w:rPr>
                <w:color w:val="000000"/>
                <w:sz w:val="18"/>
                <w:szCs w:val="18"/>
              </w:rPr>
              <w:t xml:space="preserve"> </w:t>
            </w:r>
            <w:r>
              <w:rPr>
                <w:color w:val="000000"/>
                <w:sz w:val="18"/>
                <w:szCs w:val="18"/>
              </w:rPr>
              <w:t>g ac/ha</w:t>
            </w:r>
            <w:r w:rsidRPr="003B32C1">
              <w:rPr>
                <w:color w:val="000000"/>
                <w:sz w:val="18"/>
                <w:szCs w:val="18"/>
              </w:rPr>
              <w:t xml:space="preserve"> </w:t>
            </w:r>
          </w:p>
          <w:p w:rsidR="00E44270" w:rsidRDefault="00E44270" w:rsidP="00B76694">
            <w:pPr>
              <w:widowControl w:val="0"/>
              <w:rPr>
                <w:color w:val="FF0000"/>
                <w:sz w:val="18"/>
                <w:szCs w:val="18"/>
              </w:rPr>
            </w:pPr>
            <w:r w:rsidRPr="00135741">
              <w:rPr>
                <w:color w:val="FF0000"/>
                <w:sz w:val="18"/>
                <w:szCs w:val="18"/>
              </w:rPr>
              <w:t>Test item</w:t>
            </w:r>
          </w:p>
          <w:p w:rsidR="00E44270" w:rsidRPr="00135741" w:rsidRDefault="00E44270" w:rsidP="00B76694">
            <w:pPr>
              <w:widowControl w:val="0"/>
              <w:rPr>
                <w:color w:val="FF0000"/>
                <w:sz w:val="18"/>
                <w:szCs w:val="18"/>
              </w:rPr>
            </w:pPr>
            <w:r>
              <w:rPr>
                <w:color w:val="FF0000"/>
                <w:sz w:val="18"/>
                <w:szCs w:val="18"/>
              </w:rPr>
              <w:t>Test type</w:t>
            </w:r>
          </w:p>
          <w:p w:rsidR="00E44270" w:rsidRPr="00135741" w:rsidRDefault="00E44270" w:rsidP="00B76694">
            <w:pPr>
              <w:widowControl w:val="0"/>
              <w:rPr>
                <w:i/>
                <w:color w:val="FF0000"/>
                <w:sz w:val="18"/>
                <w:szCs w:val="18"/>
              </w:rPr>
            </w:pPr>
            <w:r w:rsidRPr="00135741">
              <w:rPr>
                <w:i/>
                <w:color w:val="FF0000"/>
                <w:sz w:val="18"/>
                <w:szCs w:val="18"/>
              </w:rPr>
              <w:t>Test species</w:t>
            </w:r>
          </w:p>
          <w:p w:rsidR="00E44270" w:rsidRPr="003B32C1" w:rsidRDefault="00E44270" w:rsidP="00B76694">
            <w:pPr>
              <w:widowControl w:val="0"/>
              <w:rPr>
                <w:color w:val="000000"/>
                <w:sz w:val="18"/>
                <w:szCs w:val="18"/>
                <w:lang w:eastAsia="en-AU"/>
              </w:rPr>
            </w:pPr>
            <w:r w:rsidRPr="00135741">
              <w:rPr>
                <w:color w:val="FF0000"/>
                <w:sz w:val="18"/>
                <w:szCs w:val="18"/>
                <w:lang w:eastAsia="en-AU"/>
              </w:rPr>
              <w:t>Reference</w:t>
            </w:r>
          </w:p>
        </w:tc>
        <w:tc>
          <w:tcPr>
            <w:tcW w:w="2403" w:type="dxa"/>
            <w:tcBorders>
              <w:top w:val="nil"/>
              <w:left w:val="nil"/>
              <w:bottom w:val="single" w:sz="8" w:space="0" w:color="auto"/>
              <w:right w:val="single" w:sz="8" w:space="0" w:color="auto"/>
            </w:tcBorders>
            <w:shd w:val="clear" w:color="auto" w:fill="auto"/>
          </w:tcPr>
          <w:p w:rsidR="00E44270" w:rsidRDefault="00E44270" w:rsidP="00B76694">
            <w:pPr>
              <w:widowControl w:val="0"/>
              <w:rPr>
                <w:color w:val="000000"/>
                <w:sz w:val="18"/>
                <w:szCs w:val="18"/>
              </w:rPr>
            </w:pPr>
            <w:r w:rsidRPr="003B32C1">
              <w:rPr>
                <w:color w:val="000000"/>
                <w:sz w:val="18"/>
                <w:szCs w:val="18"/>
              </w:rPr>
              <w:t>L</w:t>
            </w:r>
            <w:r>
              <w:rPr>
                <w:color w:val="000000"/>
                <w:sz w:val="18"/>
                <w:szCs w:val="18"/>
              </w:rPr>
              <w:t>R</w:t>
            </w:r>
            <w:r w:rsidRPr="003B32C1">
              <w:rPr>
                <w:color w:val="000000"/>
                <w:sz w:val="18"/>
                <w:szCs w:val="18"/>
                <w:vertAlign w:val="subscript"/>
              </w:rPr>
              <w:t>50</w:t>
            </w:r>
            <w:r>
              <w:rPr>
                <w:color w:val="000000"/>
                <w:sz w:val="18"/>
                <w:szCs w:val="18"/>
              </w:rPr>
              <w:t xml:space="preserve"> </w:t>
            </w:r>
            <w:r w:rsidRPr="00135741">
              <w:rPr>
                <w:color w:val="FF0000"/>
                <w:sz w:val="18"/>
                <w:szCs w:val="18"/>
              </w:rPr>
              <w:t>XX</w:t>
            </w:r>
            <w:r w:rsidRPr="003B32C1">
              <w:rPr>
                <w:color w:val="000000"/>
                <w:sz w:val="18"/>
                <w:szCs w:val="18"/>
              </w:rPr>
              <w:t xml:space="preserve"> </w:t>
            </w:r>
            <w:r>
              <w:rPr>
                <w:color w:val="000000"/>
                <w:sz w:val="18"/>
                <w:szCs w:val="18"/>
              </w:rPr>
              <w:t>g ac/ha</w:t>
            </w:r>
            <w:r w:rsidRPr="003B32C1">
              <w:rPr>
                <w:color w:val="000000"/>
                <w:sz w:val="18"/>
                <w:szCs w:val="18"/>
              </w:rPr>
              <w:t xml:space="preserve"> </w:t>
            </w:r>
          </w:p>
          <w:p w:rsidR="00E44270" w:rsidRDefault="00E44270" w:rsidP="00B76694">
            <w:pPr>
              <w:widowControl w:val="0"/>
              <w:rPr>
                <w:color w:val="FF0000"/>
                <w:sz w:val="18"/>
                <w:szCs w:val="18"/>
              </w:rPr>
            </w:pPr>
            <w:r w:rsidRPr="00135741">
              <w:rPr>
                <w:color w:val="FF0000"/>
                <w:sz w:val="18"/>
                <w:szCs w:val="18"/>
              </w:rPr>
              <w:t>Test item</w:t>
            </w:r>
          </w:p>
          <w:p w:rsidR="00E44270" w:rsidRPr="00135741" w:rsidRDefault="00E44270" w:rsidP="00B76694">
            <w:pPr>
              <w:widowControl w:val="0"/>
              <w:rPr>
                <w:color w:val="FF0000"/>
                <w:sz w:val="18"/>
                <w:szCs w:val="18"/>
              </w:rPr>
            </w:pPr>
            <w:r>
              <w:rPr>
                <w:color w:val="FF0000"/>
                <w:sz w:val="18"/>
                <w:szCs w:val="18"/>
              </w:rPr>
              <w:t>Test type</w:t>
            </w:r>
          </w:p>
          <w:p w:rsidR="00E44270" w:rsidRPr="00135741" w:rsidRDefault="00E44270" w:rsidP="00B76694">
            <w:pPr>
              <w:widowControl w:val="0"/>
              <w:rPr>
                <w:i/>
                <w:color w:val="FF0000"/>
                <w:sz w:val="18"/>
                <w:szCs w:val="18"/>
              </w:rPr>
            </w:pPr>
            <w:r w:rsidRPr="00135741">
              <w:rPr>
                <w:i/>
                <w:color w:val="FF0000"/>
                <w:sz w:val="18"/>
                <w:szCs w:val="18"/>
              </w:rPr>
              <w:t>Test species</w:t>
            </w:r>
          </w:p>
          <w:p w:rsidR="00E44270" w:rsidRPr="003B32C1" w:rsidRDefault="00E44270" w:rsidP="00B76694">
            <w:pPr>
              <w:widowControl w:val="0"/>
              <w:rPr>
                <w:color w:val="000000"/>
                <w:sz w:val="18"/>
                <w:szCs w:val="18"/>
                <w:lang w:eastAsia="en-AU"/>
              </w:rPr>
            </w:pPr>
            <w:r w:rsidRPr="00135741">
              <w:rPr>
                <w:color w:val="FF0000"/>
                <w:sz w:val="18"/>
                <w:szCs w:val="18"/>
                <w:lang w:eastAsia="en-AU"/>
              </w:rPr>
              <w:t>Reference</w:t>
            </w:r>
          </w:p>
        </w:tc>
        <w:tc>
          <w:tcPr>
            <w:tcW w:w="2486" w:type="dxa"/>
          </w:tcPr>
          <w:p w:rsidR="00E44270" w:rsidRDefault="00E44270" w:rsidP="00B76694">
            <w:pPr>
              <w:widowControl w:val="0"/>
              <w:rPr>
                <w:color w:val="000000"/>
                <w:sz w:val="18"/>
                <w:szCs w:val="18"/>
              </w:rPr>
            </w:pPr>
            <w:r>
              <w:rPr>
                <w:color w:val="000000"/>
                <w:sz w:val="18"/>
                <w:szCs w:val="18"/>
              </w:rPr>
              <w:t>Measured:</w:t>
            </w:r>
          </w:p>
          <w:p w:rsidR="00E44270" w:rsidRPr="003B32C1" w:rsidRDefault="00E44270" w:rsidP="00B76694">
            <w:pPr>
              <w:widowControl w:val="0"/>
              <w:rPr>
                <w:color w:val="000000"/>
                <w:sz w:val="18"/>
                <w:szCs w:val="18"/>
              </w:rPr>
            </w:pPr>
            <w:r w:rsidRPr="003B32C1">
              <w:rPr>
                <w:color w:val="000000"/>
                <w:sz w:val="18"/>
                <w:szCs w:val="18"/>
              </w:rPr>
              <w:t>L</w:t>
            </w:r>
            <w:r>
              <w:rPr>
                <w:color w:val="000000"/>
                <w:sz w:val="18"/>
                <w:szCs w:val="18"/>
              </w:rPr>
              <w:t>R</w:t>
            </w:r>
            <w:r w:rsidRPr="003B32C1">
              <w:rPr>
                <w:color w:val="000000"/>
                <w:sz w:val="18"/>
                <w:szCs w:val="18"/>
                <w:vertAlign w:val="subscript"/>
              </w:rPr>
              <w:t>50</w:t>
            </w:r>
            <w:r>
              <w:rPr>
                <w:color w:val="000000"/>
                <w:sz w:val="18"/>
                <w:szCs w:val="18"/>
              </w:rPr>
              <w:t xml:space="preserve"> </w:t>
            </w:r>
            <w:r w:rsidRPr="00135741">
              <w:rPr>
                <w:color w:val="FF0000"/>
                <w:sz w:val="18"/>
                <w:szCs w:val="18"/>
              </w:rPr>
              <w:t>XX</w:t>
            </w:r>
            <w:r w:rsidRPr="003B32C1">
              <w:rPr>
                <w:color w:val="000000"/>
                <w:sz w:val="18"/>
                <w:szCs w:val="18"/>
              </w:rPr>
              <w:t xml:space="preserve"> </w:t>
            </w:r>
            <w:r>
              <w:rPr>
                <w:color w:val="000000"/>
                <w:sz w:val="18"/>
                <w:szCs w:val="18"/>
              </w:rPr>
              <w:t>g acs/ha</w:t>
            </w:r>
          </w:p>
          <w:p w:rsidR="00E44270" w:rsidRDefault="00E44270" w:rsidP="00B76694">
            <w:pPr>
              <w:widowControl w:val="0"/>
              <w:rPr>
                <w:color w:val="FF0000"/>
                <w:sz w:val="18"/>
                <w:szCs w:val="18"/>
              </w:rPr>
            </w:pPr>
            <w:r w:rsidRPr="00135741">
              <w:rPr>
                <w:color w:val="FF0000"/>
                <w:sz w:val="18"/>
                <w:szCs w:val="18"/>
              </w:rPr>
              <w:t>Test item</w:t>
            </w:r>
          </w:p>
          <w:p w:rsidR="00E44270" w:rsidRPr="00135741" w:rsidRDefault="00E44270" w:rsidP="00B76694">
            <w:pPr>
              <w:widowControl w:val="0"/>
              <w:rPr>
                <w:color w:val="FF0000"/>
                <w:sz w:val="18"/>
                <w:szCs w:val="18"/>
              </w:rPr>
            </w:pPr>
            <w:r>
              <w:rPr>
                <w:color w:val="FF0000"/>
                <w:sz w:val="18"/>
                <w:szCs w:val="18"/>
              </w:rPr>
              <w:t>Test duration + medium</w:t>
            </w:r>
          </w:p>
          <w:p w:rsidR="00E44270" w:rsidRPr="00135741" w:rsidRDefault="00E44270" w:rsidP="00B76694">
            <w:pPr>
              <w:widowControl w:val="0"/>
              <w:rPr>
                <w:i/>
                <w:color w:val="FF0000"/>
                <w:sz w:val="18"/>
                <w:szCs w:val="18"/>
              </w:rPr>
            </w:pPr>
            <w:r w:rsidRPr="00135741">
              <w:rPr>
                <w:i/>
                <w:color w:val="FF0000"/>
                <w:sz w:val="18"/>
                <w:szCs w:val="18"/>
              </w:rPr>
              <w:t>Test species</w:t>
            </w:r>
          </w:p>
          <w:p w:rsidR="00E44270" w:rsidRDefault="00E44270" w:rsidP="00B76694">
            <w:pPr>
              <w:widowControl w:val="0"/>
              <w:rPr>
                <w:sz w:val="18"/>
                <w:szCs w:val="18"/>
                <w:lang w:eastAsia="en-AU"/>
              </w:rPr>
            </w:pPr>
            <w:r w:rsidRPr="00135741">
              <w:rPr>
                <w:color w:val="FF0000"/>
                <w:sz w:val="18"/>
                <w:szCs w:val="18"/>
                <w:lang w:eastAsia="en-AU"/>
              </w:rPr>
              <w:t>Reference</w:t>
            </w:r>
          </w:p>
          <w:p w:rsidR="00E44270" w:rsidRDefault="00E44270" w:rsidP="00B76694">
            <w:pPr>
              <w:widowControl w:val="0"/>
              <w:rPr>
                <w:sz w:val="18"/>
                <w:szCs w:val="18"/>
                <w:lang w:eastAsia="en-AU"/>
              </w:rPr>
            </w:pPr>
          </w:p>
          <w:p w:rsidR="00E44270" w:rsidRDefault="00E44270" w:rsidP="00B76694">
            <w:pPr>
              <w:widowControl w:val="0"/>
              <w:rPr>
                <w:sz w:val="18"/>
                <w:szCs w:val="18"/>
                <w:lang w:eastAsia="en-AU"/>
              </w:rPr>
            </w:pPr>
            <w:r>
              <w:rPr>
                <w:sz w:val="18"/>
                <w:szCs w:val="18"/>
                <w:lang w:eastAsia="en-AU"/>
              </w:rPr>
              <w:t>Predicted:</w:t>
            </w:r>
          </w:p>
          <w:p w:rsidR="00E44270" w:rsidRDefault="00E44270" w:rsidP="00B76694">
            <w:pPr>
              <w:widowControl w:val="0"/>
              <w:rPr>
                <w:color w:val="000000"/>
                <w:sz w:val="18"/>
                <w:szCs w:val="18"/>
              </w:rPr>
            </w:pPr>
            <w:r w:rsidRPr="003B32C1">
              <w:rPr>
                <w:color w:val="000000"/>
                <w:sz w:val="18"/>
                <w:szCs w:val="18"/>
              </w:rPr>
              <w:t>L</w:t>
            </w:r>
            <w:r>
              <w:rPr>
                <w:color w:val="000000"/>
                <w:sz w:val="18"/>
                <w:szCs w:val="18"/>
              </w:rPr>
              <w:t>R</w:t>
            </w:r>
            <w:r w:rsidRPr="003B32C1">
              <w:rPr>
                <w:color w:val="000000"/>
                <w:sz w:val="18"/>
                <w:szCs w:val="18"/>
                <w:vertAlign w:val="subscript"/>
              </w:rPr>
              <w:t>50</w:t>
            </w:r>
            <w:r>
              <w:rPr>
                <w:color w:val="000000"/>
                <w:sz w:val="18"/>
                <w:szCs w:val="18"/>
              </w:rPr>
              <w:t xml:space="preserve"> </w:t>
            </w:r>
            <w:r w:rsidRPr="00135741">
              <w:rPr>
                <w:color w:val="FF0000"/>
                <w:sz w:val="18"/>
                <w:szCs w:val="18"/>
              </w:rPr>
              <w:t>XX</w:t>
            </w:r>
            <w:r w:rsidRPr="003B32C1">
              <w:rPr>
                <w:color w:val="000000"/>
                <w:sz w:val="18"/>
                <w:szCs w:val="18"/>
              </w:rPr>
              <w:t xml:space="preserve"> </w:t>
            </w:r>
            <w:r>
              <w:rPr>
                <w:color w:val="000000"/>
                <w:sz w:val="18"/>
                <w:szCs w:val="18"/>
              </w:rPr>
              <w:t>g acs/ha</w:t>
            </w:r>
          </w:p>
          <w:p w:rsidR="00E44270" w:rsidRDefault="00E44270" w:rsidP="00B76694">
            <w:pPr>
              <w:widowControl w:val="0"/>
              <w:rPr>
                <w:color w:val="000000"/>
                <w:sz w:val="18"/>
                <w:szCs w:val="18"/>
              </w:rPr>
            </w:pPr>
          </w:p>
          <w:p w:rsidR="00E44270" w:rsidRDefault="00E44270" w:rsidP="00B76694">
            <w:pPr>
              <w:widowControl w:val="0"/>
              <w:rPr>
                <w:color w:val="000000"/>
                <w:sz w:val="18"/>
                <w:szCs w:val="18"/>
              </w:rPr>
            </w:pPr>
            <w:r>
              <w:rPr>
                <w:color w:val="000000"/>
                <w:sz w:val="18"/>
                <w:szCs w:val="18"/>
              </w:rPr>
              <w:t>Relative toxicity contributions:</w:t>
            </w:r>
          </w:p>
          <w:p w:rsidR="00E44270" w:rsidRDefault="00E44270" w:rsidP="00B76694">
            <w:pPr>
              <w:widowControl w:val="0"/>
              <w:rPr>
                <w:color w:val="000000"/>
                <w:sz w:val="18"/>
                <w:szCs w:val="18"/>
              </w:rPr>
            </w:pPr>
            <w:r w:rsidRPr="008033E2">
              <w:rPr>
                <w:color w:val="FF0000"/>
                <w:sz w:val="18"/>
                <w:szCs w:val="18"/>
              </w:rPr>
              <w:t>X</w:t>
            </w:r>
            <w:r>
              <w:rPr>
                <w:color w:val="000000"/>
                <w:sz w:val="18"/>
                <w:szCs w:val="18"/>
              </w:rPr>
              <w:t xml:space="preserve">% + </w:t>
            </w:r>
            <w:r w:rsidRPr="008033E2">
              <w:rPr>
                <w:color w:val="FF0000"/>
                <w:sz w:val="18"/>
                <w:szCs w:val="18"/>
              </w:rPr>
              <w:t>X</w:t>
            </w:r>
            <w:r>
              <w:rPr>
                <w:color w:val="000000"/>
                <w:sz w:val="18"/>
                <w:szCs w:val="18"/>
              </w:rPr>
              <w:t>%</w:t>
            </w:r>
          </w:p>
          <w:p w:rsidR="00E44270" w:rsidRDefault="00E44270" w:rsidP="00B76694">
            <w:pPr>
              <w:widowControl w:val="0"/>
              <w:rPr>
                <w:color w:val="000000"/>
                <w:sz w:val="18"/>
                <w:szCs w:val="18"/>
              </w:rPr>
            </w:pPr>
          </w:p>
          <w:p w:rsidR="00E44270" w:rsidRPr="00135741" w:rsidRDefault="00E44270" w:rsidP="00B76694">
            <w:pPr>
              <w:widowControl w:val="0"/>
              <w:rPr>
                <w:color w:val="000000"/>
                <w:sz w:val="18"/>
                <w:szCs w:val="18"/>
              </w:rPr>
            </w:pPr>
            <w:r>
              <w:rPr>
                <w:color w:val="000000"/>
                <w:sz w:val="18"/>
                <w:szCs w:val="18"/>
              </w:rPr>
              <w:t xml:space="preserve">MDR </w:t>
            </w:r>
            <w:r w:rsidRPr="00802A63">
              <w:rPr>
                <w:color w:val="FF0000"/>
                <w:sz w:val="18"/>
                <w:szCs w:val="18"/>
              </w:rPr>
              <w:t>X</w:t>
            </w:r>
          </w:p>
        </w:tc>
      </w:tr>
    </w:tbl>
    <w:p w:rsidR="00E44270" w:rsidRPr="009B062C" w:rsidRDefault="00E44270" w:rsidP="00E44270">
      <w:pPr>
        <w:pStyle w:val="Heading2"/>
        <w:keepLines w:val="0"/>
        <w:tabs>
          <w:tab w:val="num" w:pos="1134"/>
        </w:tabs>
        <w:suppressAutoHyphens w:val="0"/>
        <w:spacing w:before="480" w:after="120" w:line="240" w:lineRule="auto"/>
        <w:ind w:left="1134" w:hanging="1134"/>
      </w:pPr>
      <w:bookmarkStart w:id="208" w:name="_Toc526432246"/>
      <w:r w:rsidRPr="009B062C">
        <w:lastRenderedPageBreak/>
        <w:t>Risk mitigation</w:t>
      </w:r>
      <w:bookmarkEnd w:id="208"/>
    </w:p>
    <w:p w:rsidR="00E44270" w:rsidRPr="003C4118" w:rsidRDefault="00E44270" w:rsidP="00E44270">
      <w:pPr>
        <w:pStyle w:val="NormalText"/>
        <w:rPr>
          <w:rStyle w:val="ATChar"/>
          <w:rFonts w:ascii="Calibri" w:hAnsi="Calibri" w:cs="Arial"/>
        </w:rPr>
      </w:pPr>
      <w:r w:rsidRPr="003C4118">
        <w:rPr>
          <w:rStyle w:val="ATChar"/>
          <w:rFonts w:ascii="Calibri" w:hAnsi="Calibri" w:cs="Arial"/>
        </w:rPr>
        <w:t>Risk management should be done separately for the in-field and off-field situations. ‘In-field’ is the land intended for agricultural production activities (including horticulture and forestry). The field includes a cropped area and field margins. A cropped area is that part of the field intended to grow the crop. It extends half a row distance beyond the centre of the last crop row. A field margin is the outer part of the field, between the cropped area and the off-field area. The field margin includes the parts of land used for agricultural purposes such as roads and fences, wind breaks, and vegetation planted for reduction of drift (catch crop) and run-off. ‘Off-field’ is all area surrounding the field. The off-field area includes natural and semi-natural habitats, in particular hedgerows and woodland. The edge of the field is the boundary line between the field margin and the off-field area.</w:t>
      </w:r>
    </w:p>
    <w:p w:rsidR="00E44270" w:rsidRPr="007B152B" w:rsidRDefault="00E44270" w:rsidP="00E44270">
      <w:pPr>
        <w:pStyle w:val="BodyText"/>
        <w:rPr>
          <w:i/>
          <w:sz w:val="22"/>
          <w:szCs w:val="22"/>
        </w:rPr>
      </w:pPr>
      <w:r w:rsidRPr="007B152B">
        <w:rPr>
          <w:i/>
          <w:sz w:val="22"/>
          <w:szCs w:val="22"/>
        </w:rPr>
        <w:t>In</w:t>
      </w:r>
      <w:r>
        <w:rPr>
          <w:i/>
          <w:sz w:val="22"/>
          <w:szCs w:val="22"/>
        </w:rPr>
        <w:t>-field risks</w:t>
      </w:r>
    </w:p>
    <w:p w:rsidR="00E44270" w:rsidRPr="003C4118" w:rsidRDefault="00E44270" w:rsidP="00E44270">
      <w:pPr>
        <w:pStyle w:val="NormalText"/>
        <w:rPr>
          <w:rStyle w:val="ATChar"/>
          <w:rFonts w:ascii="Calibri" w:hAnsi="Calibri" w:cs="Arial"/>
        </w:rPr>
      </w:pPr>
      <w:r w:rsidRPr="003C4118">
        <w:rPr>
          <w:rStyle w:val="ATChar"/>
          <w:rFonts w:ascii="Calibri" w:hAnsi="Calibri" w:cs="Arial"/>
        </w:rPr>
        <w:t>If acceptable risk cannot be determined within the treatment area and compatibility with IPM is desired, then restraints on the application rate, application frequency or intervals, or timing of application (early and late crop stages, presence of concerned populations of non-target arthropods) can be considered. Otherwise, the product is not considered to be compatible with IPM.</w:t>
      </w:r>
    </w:p>
    <w:p w:rsidR="00E44270" w:rsidRPr="00C448D2" w:rsidRDefault="00E44270" w:rsidP="00E44270">
      <w:pPr>
        <w:pStyle w:val="BodyText"/>
        <w:rPr>
          <w:i/>
          <w:sz w:val="22"/>
          <w:szCs w:val="22"/>
        </w:rPr>
      </w:pPr>
      <w:r>
        <w:rPr>
          <w:i/>
          <w:sz w:val="22"/>
          <w:szCs w:val="22"/>
        </w:rPr>
        <w:t>Off-field risks</w:t>
      </w:r>
    </w:p>
    <w:p w:rsidR="00E44270" w:rsidRPr="003C4118" w:rsidRDefault="00E44270" w:rsidP="00E44270">
      <w:pPr>
        <w:pStyle w:val="NormalText"/>
        <w:rPr>
          <w:rStyle w:val="ATChar"/>
          <w:rFonts w:ascii="Calibri" w:hAnsi="Calibri" w:cs="Arial"/>
        </w:rPr>
      </w:pPr>
      <w:r w:rsidRPr="003C4118">
        <w:rPr>
          <w:rStyle w:val="ATChar"/>
          <w:rFonts w:ascii="Calibri" w:hAnsi="Calibri" w:cs="Arial"/>
        </w:rPr>
        <w:t>Currently the APVMA does not required mandatory no-spray zones for the protection of non-target arthropods, and therefore does not conduct a spray drift assessment. In the interim, advisory text is required to minimise spray drift to non-crop areas when in-field risks are identified.</w:t>
      </w:r>
    </w:p>
    <w:p w:rsidR="00E44270" w:rsidRPr="009B062C" w:rsidRDefault="00E44270" w:rsidP="00E44270">
      <w:pPr>
        <w:pStyle w:val="Heading2"/>
        <w:keepLines w:val="0"/>
        <w:tabs>
          <w:tab w:val="num" w:pos="1134"/>
        </w:tabs>
        <w:suppressAutoHyphens w:val="0"/>
        <w:spacing w:before="480" w:after="120" w:line="240" w:lineRule="auto"/>
        <w:ind w:left="1134" w:hanging="1134"/>
      </w:pPr>
      <w:bookmarkStart w:id="209" w:name="_Toc526432247"/>
      <w:r w:rsidRPr="009B062C">
        <w:t>References</w:t>
      </w:r>
      <w:bookmarkEnd w:id="209"/>
    </w:p>
    <w:p w:rsidR="00E44270" w:rsidRPr="003C4118" w:rsidRDefault="00E44270" w:rsidP="00E44270">
      <w:pPr>
        <w:pStyle w:val="NormalText"/>
        <w:rPr>
          <w:rStyle w:val="ATChar"/>
          <w:rFonts w:ascii="Calibri" w:hAnsi="Calibri" w:cs="Arial"/>
        </w:rPr>
      </w:pPr>
      <w:r w:rsidRPr="003C4118">
        <w:rPr>
          <w:rStyle w:val="ATChar"/>
          <w:rFonts w:ascii="Calibri" w:hAnsi="Calibri" w:cs="Arial"/>
        </w:rPr>
        <w:t>Candolfi MP, Bakker F, Cañez V, Miles M, Neumann C, Pilling E, Primiani M, Romijn K, Schmuck R, Storck-Weyhermüller S, Ufer A, Waltersdorfer A (1999) Sensitivity of non-target arthropods to plant protection products: Could Typhlodromus pyri and Aphidius spp. be used as indicator species? Chemosphere 39: 1357–1370</w:t>
      </w:r>
    </w:p>
    <w:p w:rsidR="00E44270" w:rsidRPr="003C4118" w:rsidRDefault="00E44270" w:rsidP="00E44270">
      <w:pPr>
        <w:pStyle w:val="NormalText"/>
        <w:rPr>
          <w:rStyle w:val="ATChar"/>
          <w:rFonts w:ascii="Calibri" w:hAnsi="Calibri" w:cs="Arial"/>
        </w:rPr>
      </w:pPr>
      <w:r w:rsidRPr="003C4118">
        <w:rPr>
          <w:rStyle w:val="ATChar"/>
          <w:rFonts w:ascii="Calibri" w:hAnsi="Calibri" w:cs="Arial"/>
        </w:rPr>
        <w:t>Candolfi MP, Blümel S, Forster R, Bakker F, Grimm C, Hassan SA, Heimbach U, Mead-Briggs MA, Reber B, Schumuck R, Vogt H, 2000, Guidelines to evaluate side-effects of plant protection products on non-target arthropods, IOBC/BART/EPPO Joint Initiative, IOBC/OILB WPRS/SROP, Ghent, BE.</w:t>
      </w:r>
    </w:p>
    <w:p w:rsidR="00E44270" w:rsidRPr="003C4118" w:rsidRDefault="00E44270" w:rsidP="00E44270">
      <w:pPr>
        <w:pStyle w:val="NormalText"/>
        <w:rPr>
          <w:rStyle w:val="ATChar"/>
          <w:rFonts w:ascii="Calibri" w:hAnsi="Calibri" w:cs="Arial"/>
        </w:rPr>
      </w:pPr>
      <w:r w:rsidRPr="003C4118">
        <w:rPr>
          <w:rStyle w:val="ATChar"/>
          <w:rFonts w:ascii="Calibri" w:hAnsi="Calibri" w:cs="Arial"/>
        </w:rPr>
        <w:t>Candolfi MP, Barrett KL, Campbell P, Forster R, Grandy N, Huet M-C, Lewis G, Oomen PA, Schmuck R, Vogt H, 2001,  Guidance document on regulatory testing and risk assessment procedures for plant protection products with non-target arthropods. In SETAC/ESCORT2 Workshop</w:t>
      </w:r>
      <w:r>
        <w:rPr>
          <w:rStyle w:val="ATChar"/>
          <w:rFonts w:ascii="Calibri" w:hAnsi="Calibri" w:cs="Arial"/>
        </w:rPr>
        <w:t xml:space="preserve"> </w:t>
      </w:r>
      <w:r w:rsidRPr="003C4118">
        <w:rPr>
          <w:rStyle w:val="ATChar"/>
          <w:rFonts w:ascii="Calibri" w:hAnsi="Calibri" w:cs="Arial"/>
        </w:rPr>
        <w:t>Report, 21–23 March 2000, Wageningen, NL.</w:t>
      </w:r>
    </w:p>
    <w:p w:rsidR="00E44270" w:rsidRPr="003C4118" w:rsidRDefault="00E44270" w:rsidP="00E44270">
      <w:pPr>
        <w:pStyle w:val="NormalText"/>
        <w:rPr>
          <w:rStyle w:val="ATChar"/>
          <w:rFonts w:ascii="Calibri" w:hAnsi="Calibri" w:cs="Arial"/>
        </w:rPr>
      </w:pPr>
      <w:r w:rsidRPr="003C4118">
        <w:rPr>
          <w:rStyle w:val="ATChar"/>
          <w:rFonts w:ascii="Calibri" w:hAnsi="Calibri" w:cs="Arial"/>
        </w:rPr>
        <w:t>EPPO (European and Mediterranean Plant Protection Organization), 2003, Environmental risk assessment scheme for plant protection products: Chapter 9: Non-target terrestrial arthropods, PP3/9(2)</w:t>
      </w:r>
    </w:p>
    <w:p w:rsidR="00E44270" w:rsidRDefault="00E44270" w:rsidP="000440F9">
      <w:pPr>
        <w:pStyle w:val="Heading1"/>
        <w:numPr>
          <w:ilvl w:val="0"/>
          <w:numId w:val="21"/>
        </w:numPr>
      </w:pPr>
      <w:bookmarkStart w:id="210" w:name="_Toc526432248"/>
      <w:r>
        <w:lastRenderedPageBreak/>
        <w:t>APpendix C – SOil Organisms</w:t>
      </w:r>
      <w:bookmarkEnd w:id="210"/>
    </w:p>
    <w:p w:rsidR="00E44270" w:rsidRPr="00B72640" w:rsidRDefault="00E44270" w:rsidP="00E44270">
      <w:pPr>
        <w:pStyle w:val="Heading2"/>
        <w:ind w:left="851" w:hanging="851"/>
      </w:pPr>
      <w:bookmarkStart w:id="211" w:name="_Toc526432249"/>
      <w:r w:rsidRPr="00B72640">
        <w:t>Introduction</w:t>
      </w:r>
      <w:bookmarkEnd w:id="211"/>
    </w:p>
    <w:p w:rsidR="00E44270" w:rsidRPr="00B72640" w:rsidRDefault="00E44270" w:rsidP="00E44270">
      <w:pPr>
        <w:pStyle w:val="NormalText"/>
      </w:pPr>
      <w:bookmarkStart w:id="212" w:name="_Toc114571417"/>
      <w:r w:rsidRPr="00B72640">
        <w:t xml:space="preserve">The assessment of the effects and risks of chemicals for the terrestrial environment is a complex matter. This complexity comes, among others, from factors such as the need for sharing of the available landscape among urban/industrial activities, agricultural production in the form of agro-systems, and supporting terrestrial ecosystems. In addition, terrestrial systems are not associated with a single compartment, but with the interface between soil and the atmosphere. </w:t>
      </w:r>
    </w:p>
    <w:p w:rsidR="00E44270" w:rsidRPr="00B72640" w:rsidRDefault="00E44270" w:rsidP="00E44270">
      <w:pPr>
        <w:pStyle w:val="NormalText"/>
      </w:pPr>
      <w:r w:rsidRPr="00B72640">
        <w:t>General adverse effects on the soil organisms include effects on soil functions and on organisms (invertebrates, micro-organisms) important for proper soil function and nutrient cycle conservation. There is a common understanding that the ecological risk assessment aims not at individuals but at the protection of populations. In general the continuance of populations of non-target organisms should be ensured. Structural and functional endpoints should be regarded of equal importance.</w:t>
      </w:r>
    </w:p>
    <w:p w:rsidR="00E44270" w:rsidRPr="00B72640" w:rsidRDefault="00E44270" w:rsidP="00E44270">
      <w:pPr>
        <w:pStyle w:val="NormalText"/>
      </w:pPr>
      <w:r w:rsidRPr="00B72640">
        <w:t xml:space="preserve">Soil organisms are species that dwell primarily in the soil and soil litter. Soil organisms are exposed to active constituents from contact and oral uptake routes of exposure in the surrounding soil compartment. A ‘healthy’ soil supports a range of ecosystem functions or services (such as nutrient cycling) that are essential for supporting the growth of crops as well as the organisms that depend on those crops. Soil communities of invertebrates and microorganisms are the most diverse part inhabiting agricultural landscapes. </w:t>
      </w:r>
    </w:p>
    <w:p w:rsidR="00E44270" w:rsidRPr="00B72640" w:rsidRDefault="00E44270" w:rsidP="00E44270">
      <w:pPr>
        <w:pStyle w:val="NormalText"/>
      </w:pPr>
      <w:r w:rsidRPr="00B72640">
        <w:t xml:space="preserve">The general protection goal is to protect biodiversity and ecosystems. EFSA (2017) has proposed specific protection goals for soil organisms being key drivers for relevant ecosystem services in agricultural landscapes such as nutrient cycling, soil structure, pest control and biodiversity. Considering the time-scales and biological processes related to the dispersal of the majority of soil organisms, risk assessment are made at in- and off-field scale considering field boundary levels. </w:t>
      </w:r>
    </w:p>
    <w:p w:rsidR="00E44270" w:rsidRPr="00B72640" w:rsidRDefault="00E44270" w:rsidP="00E44270">
      <w:pPr>
        <w:pStyle w:val="NormalText"/>
      </w:pPr>
      <w:r w:rsidRPr="00B72640">
        <w:t>For outdoor situations, the following applications are considered to have negligible soil exposure:</w:t>
      </w:r>
    </w:p>
    <w:p w:rsidR="00E44270" w:rsidRPr="0092472F" w:rsidRDefault="007E5F4F" w:rsidP="00E44270">
      <w:pPr>
        <w:pStyle w:val="Bullet1"/>
        <w:ind w:left="714" w:hanging="357"/>
      </w:pPr>
      <w:r>
        <w:t>w</w:t>
      </w:r>
      <w:r w:rsidR="00E44270" w:rsidRPr="0092472F">
        <w:t>hen precautions are taken to prevent contact with the soil (eg, when pots/container</w:t>
      </w:r>
      <w:r>
        <w:t>s are placed on plastic sheets)</w:t>
      </w:r>
    </w:p>
    <w:p w:rsidR="00E44270" w:rsidRPr="0092472F" w:rsidRDefault="007E5F4F" w:rsidP="00E44270">
      <w:pPr>
        <w:pStyle w:val="Bullet1"/>
        <w:ind w:left="714" w:hanging="357"/>
      </w:pPr>
      <w:r>
        <w:t>w</w:t>
      </w:r>
      <w:r w:rsidR="00E44270" w:rsidRPr="0092472F">
        <w:t>hen crop is not cultured i</w:t>
      </w:r>
      <w:r>
        <w:t>n soil, but on other substrates</w:t>
      </w:r>
    </w:p>
    <w:p w:rsidR="00E44270" w:rsidRPr="0092472F" w:rsidRDefault="007E5F4F" w:rsidP="00E44270">
      <w:pPr>
        <w:pStyle w:val="Bullet1"/>
        <w:ind w:left="714" w:hanging="357"/>
      </w:pPr>
      <w:r>
        <w:t>w</w:t>
      </w:r>
      <w:r w:rsidR="00E44270" w:rsidRPr="0092472F">
        <w:t>o</w:t>
      </w:r>
      <w:r w:rsidR="00E44270">
        <w:t>un</w:t>
      </w:r>
      <w:r w:rsidR="00E44270" w:rsidRPr="0092472F">
        <w:t>d healin</w:t>
      </w:r>
      <w:r>
        <w:t>g with pastes</w:t>
      </w:r>
    </w:p>
    <w:p w:rsidR="00E44270" w:rsidRPr="0092472F" w:rsidRDefault="007E5F4F" w:rsidP="00E44270">
      <w:pPr>
        <w:pStyle w:val="Bullet1"/>
        <w:ind w:left="714" w:hanging="357"/>
      </w:pPr>
      <w:r>
        <w:t>use under glass</w:t>
      </w:r>
    </w:p>
    <w:p w:rsidR="00E44270" w:rsidRPr="0092472F" w:rsidRDefault="007E5F4F" w:rsidP="00E44270">
      <w:pPr>
        <w:pStyle w:val="Bullet1"/>
        <w:ind w:left="714" w:hanging="357"/>
      </w:pPr>
      <w:r>
        <w:t>use on timber or felled trees</w:t>
      </w:r>
    </w:p>
    <w:p w:rsidR="00E44270" w:rsidRPr="0092472F" w:rsidRDefault="007E5F4F" w:rsidP="00E44270">
      <w:pPr>
        <w:pStyle w:val="Bullet1"/>
        <w:ind w:left="714" w:hanging="357"/>
      </w:pPr>
      <w:r>
        <w:t>u</w:t>
      </w:r>
      <w:r w:rsidR="00E44270" w:rsidRPr="0092472F">
        <w:t>se of baitboxes against rodents with their subsequent removal.</w:t>
      </w:r>
    </w:p>
    <w:p w:rsidR="00E44270" w:rsidRPr="0092472F" w:rsidRDefault="00E44270" w:rsidP="00E44270">
      <w:pPr>
        <w:pStyle w:val="NormalText"/>
      </w:pPr>
      <w:r w:rsidRPr="00B72640">
        <w:t>Soil sterilants and similar products are, in most cases, designed to have broad-spectrum activity against the soil microflora, and so will evidently show strong activity when tested according to the subscheme. The environmental risk posed by such products should be judged on other criteria, particularly on the basis of persistence, mobility, and effects on other non-target organisms.</w:t>
      </w:r>
    </w:p>
    <w:p w:rsidR="00E44270" w:rsidRPr="00B72640" w:rsidRDefault="00E44270" w:rsidP="00E44270">
      <w:pPr>
        <w:pStyle w:val="Heading2"/>
        <w:ind w:left="851" w:hanging="851"/>
      </w:pPr>
      <w:bookmarkStart w:id="213" w:name="_Toc526432250"/>
      <w:r w:rsidRPr="00B72640">
        <w:lastRenderedPageBreak/>
        <w:t>Toxicity figures</w:t>
      </w:r>
      <w:bookmarkEnd w:id="213"/>
    </w:p>
    <w:p w:rsidR="00E44270" w:rsidRPr="00B72640" w:rsidRDefault="00E44270" w:rsidP="00E44270">
      <w:pPr>
        <w:pStyle w:val="NormalText"/>
      </w:pPr>
      <w:r w:rsidRPr="00B72640">
        <w:t>In general, toxicity testing should be conducted using the technical grade active constituent. However, certain study types may be conducted with a formulated product instead of the active substance. This may be applicable to, for example, the earthworm reproduction test and the soil micro-flora test.</w:t>
      </w:r>
    </w:p>
    <w:p w:rsidR="00E44270" w:rsidRPr="00B72640" w:rsidRDefault="00E44270" w:rsidP="00E44270">
      <w:pPr>
        <w:pStyle w:val="NormalText"/>
      </w:pPr>
      <w:r w:rsidRPr="00B72640">
        <w:t>If testing with formulated product, it should be representative of the formulation proposed for registration. Refer to EC (2002) for guidance on when testing of soil metabolites are required.</w:t>
      </w:r>
    </w:p>
    <w:p w:rsidR="00E44270" w:rsidRPr="000440F9" w:rsidRDefault="00E44270" w:rsidP="00E44270">
      <w:pPr>
        <w:pStyle w:val="BodyText"/>
        <w:ind w:left="1134" w:hanging="1134"/>
        <w:rPr>
          <w:rFonts w:asciiTheme="minorHAnsi" w:hAnsiTheme="minorHAnsi"/>
          <w:sz w:val="22"/>
          <w:szCs w:val="22"/>
        </w:rPr>
      </w:pPr>
      <w:r w:rsidRPr="000440F9">
        <w:rPr>
          <w:rFonts w:asciiTheme="minorHAnsi" w:hAnsiTheme="minorHAnsi"/>
          <w:sz w:val="22"/>
          <w:szCs w:val="22"/>
        </w:rPr>
        <w:t xml:space="preserve">Acute: </w:t>
      </w:r>
      <w:r w:rsidRPr="000440F9">
        <w:rPr>
          <w:rFonts w:asciiTheme="minorHAnsi" w:hAnsiTheme="minorHAnsi"/>
          <w:sz w:val="22"/>
          <w:szCs w:val="22"/>
        </w:rPr>
        <w:tab/>
      </w:r>
      <w:r w:rsidRPr="000440F9">
        <w:rPr>
          <w:rFonts w:asciiTheme="minorHAnsi" w:hAnsiTheme="minorHAnsi"/>
          <w:i/>
          <w:sz w:val="22"/>
          <w:szCs w:val="22"/>
        </w:rPr>
        <w:t>Eisenia fetida</w:t>
      </w:r>
      <w:r w:rsidRPr="000440F9">
        <w:rPr>
          <w:rFonts w:asciiTheme="minorHAnsi" w:hAnsiTheme="minorHAnsi"/>
          <w:sz w:val="22"/>
          <w:szCs w:val="22"/>
        </w:rPr>
        <w:t>: LC</w:t>
      </w:r>
      <w:r w:rsidRPr="000440F9">
        <w:rPr>
          <w:rFonts w:asciiTheme="minorHAnsi" w:hAnsiTheme="minorHAnsi"/>
          <w:sz w:val="22"/>
          <w:szCs w:val="22"/>
          <w:vertAlign w:val="subscript"/>
        </w:rPr>
        <w:t>50</w:t>
      </w:r>
      <w:r w:rsidRPr="000440F9">
        <w:rPr>
          <w:rFonts w:asciiTheme="minorHAnsi" w:hAnsiTheme="minorHAnsi"/>
          <w:sz w:val="22"/>
          <w:szCs w:val="22"/>
        </w:rPr>
        <w:t xml:space="preserve"> (OECD guideline 207)</w:t>
      </w:r>
    </w:p>
    <w:p w:rsidR="00E44270" w:rsidRPr="000440F9" w:rsidRDefault="00E44270" w:rsidP="00E44270">
      <w:pPr>
        <w:pStyle w:val="BodyText"/>
        <w:ind w:left="1134" w:hanging="1134"/>
        <w:rPr>
          <w:rFonts w:asciiTheme="minorHAnsi" w:hAnsiTheme="minorHAnsi"/>
          <w:sz w:val="22"/>
          <w:szCs w:val="22"/>
        </w:rPr>
      </w:pPr>
    </w:p>
    <w:p w:rsidR="00E44270" w:rsidRPr="000440F9" w:rsidRDefault="00E44270" w:rsidP="00E44270">
      <w:pPr>
        <w:pStyle w:val="BodyText"/>
        <w:ind w:left="1134" w:hanging="1134"/>
        <w:rPr>
          <w:rFonts w:asciiTheme="minorHAnsi" w:hAnsiTheme="minorHAnsi"/>
          <w:sz w:val="22"/>
          <w:szCs w:val="22"/>
        </w:rPr>
      </w:pPr>
      <w:r w:rsidRPr="000440F9">
        <w:rPr>
          <w:rFonts w:asciiTheme="minorHAnsi" w:hAnsiTheme="minorHAnsi"/>
          <w:sz w:val="22"/>
          <w:szCs w:val="22"/>
        </w:rPr>
        <w:t xml:space="preserve">Chronic: </w:t>
      </w:r>
      <w:r w:rsidRPr="000440F9">
        <w:rPr>
          <w:rFonts w:asciiTheme="minorHAnsi" w:hAnsiTheme="minorHAnsi"/>
          <w:sz w:val="22"/>
          <w:szCs w:val="22"/>
        </w:rPr>
        <w:tab/>
      </w:r>
      <w:r w:rsidRPr="000440F9">
        <w:rPr>
          <w:rFonts w:asciiTheme="minorHAnsi" w:hAnsiTheme="minorHAnsi"/>
          <w:i/>
          <w:sz w:val="22"/>
          <w:szCs w:val="22"/>
        </w:rPr>
        <w:t>Eisenia fetida</w:t>
      </w:r>
      <w:r w:rsidRPr="000440F9">
        <w:rPr>
          <w:rFonts w:asciiTheme="minorHAnsi" w:hAnsiTheme="minorHAnsi"/>
          <w:sz w:val="22"/>
          <w:szCs w:val="22"/>
        </w:rPr>
        <w:t>: NOEC (OECD guideline 222)</w:t>
      </w:r>
      <w:r w:rsidRPr="000440F9">
        <w:rPr>
          <w:rStyle w:val="FootnoteReference"/>
          <w:rFonts w:asciiTheme="minorHAnsi" w:hAnsiTheme="minorHAnsi"/>
          <w:sz w:val="22"/>
          <w:szCs w:val="22"/>
        </w:rPr>
        <w:footnoteReference w:id="10"/>
      </w:r>
    </w:p>
    <w:p w:rsidR="00E44270" w:rsidRPr="000440F9" w:rsidRDefault="00E44270" w:rsidP="00E44270">
      <w:pPr>
        <w:pStyle w:val="BodyText"/>
        <w:ind w:left="1134" w:hanging="1134"/>
        <w:rPr>
          <w:rFonts w:asciiTheme="minorHAnsi" w:hAnsiTheme="minorHAnsi"/>
          <w:sz w:val="22"/>
          <w:szCs w:val="22"/>
        </w:rPr>
      </w:pPr>
      <w:r w:rsidRPr="000440F9">
        <w:rPr>
          <w:rFonts w:asciiTheme="minorHAnsi" w:hAnsiTheme="minorHAnsi"/>
          <w:sz w:val="22"/>
          <w:szCs w:val="22"/>
        </w:rPr>
        <w:tab/>
      </w:r>
      <w:r w:rsidRPr="000440F9">
        <w:rPr>
          <w:rFonts w:asciiTheme="minorHAnsi" w:hAnsiTheme="minorHAnsi"/>
          <w:i/>
          <w:sz w:val="22"/>
          <w:szCs w:val="22"/>
        </w:rPr>
        <w:t>Folsomia candida</w:t>
      </w:r>
      <w:r w:rsidRPr="000440F9">
        <w:rPr>
          <w:rFonts w:asciiTheme="minorHAnsi" w:hAnsiTheme="minorHAnsi"/>
          <w:sz w:val="22"/>
          <w:szCs w:val="22"/>
        </w:rPr>
        <w:t>: NOEC (OECD guideline 232)</w:t>
      </w:r>
      <w:r w:rsidRPr="000440F9">
        <w:rPr>
          <w:rStyle w:val="FootnoteReference"/>
          <w:rFonts w:asciiTheme="minorHAnsi" w:hAnsiTheme="minorHAnsi"/>
          <w:sz w:val="22"/>
          <w:szCs w:val="22"/>
        </w:rPr>
        <w:footnoteReference w:id="11"/>
      </w:r>
    </w:p>
    <w:p w:rsidR="00E44270" w:rsidRPr="000440F9" w:rsidRDefault="00E44270" w:rsidP="00E44270">
      <w:pPr>
        <w:pStyle w:val="BodyText"/>
        <w:ind w:left="1134"/>
        <w:rPr>
          <w:rFonts w:asciiTheme="minorHAnsi" w:hAnsiTheme="minorHAnsi"/>
          <w:sz w:val="22"/>
          <w:szCs w:val="22"/>
        </w:rPr>
      </w:pPr>
      <w:r w:rsidRPr="000440F9">
        <w:rPr>
          <w:rFonts w:asciiTheme="minorHAnsi" w:hAnsiTheme="minorHAnsi"/>
          <w:i/>
          <w:sz w:val="22"/>
          <w:szCs w:val="22"/>
        </w:rPr>
        <w:t>Hypoaspis aculeifer</w:t>
      </w:r>
      <w:r w:rsidRPr="000440F9">
        <w:rPr>
          <w:rFonts w:asciiTheme="minorHAnsi" w:hAnsiTheme="minorHAnsi"/>
          <w:sz w:val="22"/>
          <w:szCs w:val="22"/>
        </w:rPr>
        <w:t>: NOEC (OECD guideline 226)</w:t>
      </w:r>
      <w:r w:rsidRPr="000440F9">
        <w:rPr>
          <w:rFonts w:asciiTheme="minorHAnsi" w:hAnsiTheme="minorHAnsi"/>
          <w:sz w:val="22"/>
          <w:szCs w:val="22"/>
          <w:vertAlign w:val="superscript"/>
        </w:rPr>
        <w:t>2</w:t>
      </w:r>
    </w:p>
    <w:p w:rsidR="00E44270" w:rsidRPr="000440F9" w:rsidRDefault="00E44270" w:rsidP="00E44270">
      <w:pPr>
        <w:pStyle w:val="BodyText"/>
        <w:ind w:left="1134"/>
        <w:rPr>
          <w:rFonts w:asciiTheme="minorHAnsi" w:hAnsiTheme="minorHAnsi"/>
          <w:sz w:val="22"/>
          <w:szCs w:val="22"/>
        </w:rPr>
      </w:pPr>
      <w:r w:rsidRPr="000440F9">
        <w:rPr>
          <w:rFonts w:asciiTheme="minorHAnsi" w:hAnsiTheme="minorHAnsi"/>
          <w:sz w:val="22"/>
          <w:szCs w:val="22"/>
        </w:rPr>
        <w:t>Soil nitrification: NOEC (OECD 216)</w:t>
      </w:r>
    </w:p>
    <w:p w:rsidR="00E44270" w:rsidRPr="000440F9" w:rsidRDefault="00E44270" w:rsidP="00E44270">
      <w:pPr>
        <w:pStyle w:val="BodyText"/>
        <w:ind w:left="1134"/>
        <w:rPr>
          <w:rFonts w:asciiTheme="minorHAnsi" w:hAnsiTheme="minorHAnsi"/>
          <w:sz w:val="22"/>
          <w:szCs w:val="22"/>
        </w:rPr>
      </w:pPr>
      <w:r w:rsidRPr="000440F9">
        <w:rPr>
          <w:rFonts w:asciiTheme="minorHAnsi" w:hAnsiTheme="minorHAnsi"/>
          <w:sz w:val="22"/>
          <w:szCs w:val="22"/>
        </w:rPr>
        <w:t>Carbon mineralisation: NOEC (OECD 217)</w:t>
      </w:r>
    </w:p>
    <w:p w:rsidR="00E44270" w:rsidRPr="000440F9" w:rsidRDefault="00E44270" w:rsidP="00E44270">
      <w:pPr>
        <w:pStyle w:val="BodyText"/>
        <w:ind w:left="1134"/>
        <w:rPr>
          <w:rFonts w:asciiTheme="minorHAnsi" w:hAnsiTheme="minorHAnsi"/>
          <w:sz w:val="22"/>
          <w:szCs w:val="22"/>
        </w:rPr>
      </w:pPr>
      <w:r w:rsidRPr="000440F9">
        <w:rPr>
          <w:rFonts w:asciiTheme="minorHAnsi" w:hAnsiTheme="minorHAnsi"/>
          <w:sz w:val="22"/>
          <w:szCs w:val="22"/>
        </w:rPr>
        <w:t>Litter bag test: NOEC (2004 draft OECD guideline)</w:t>
      </w:r>
      <w:r w:rsidRPr="000440F9">
        <w:rPr>
          <w:rStyle w:val="FootnoteReference"/>
          <w:rFonts w:asciiTheme="minorHAnsi" w:hAnsiTheme="minorHAnsi"/>
          <w:sz w:val="22"/>
          <w:szCs w:val="22"/>
        </w:rPr>
        <w:footnoteReference w:id="12"/>
      </w:r>
    </w:p>
    <w:p w:rsidR="00E44270" w:rsidRPr="00D92F37" w:rsidRDefault="00E44270" w:rsidP="00E44270">
      <w:pPr>
        <w:pStyle w:val="NormalText"/>
      </w:pPr>
      <w:r w:rsidRPr="00D92F37">
        <w:t>The availability of lipophilic products in soil and therefore their toxicity to soil macro-organisms depends on the organic matter content of the soil (EPPO 2003). For chemicals with log Kow &gt;2, sorption is expected to be linearly related to soil organic matter content. A factor of 2 (division of all toxicity end-points) is used to correct the toxicity data from macro-organism studies conducted in artificial soil with 10% peat content. Typical agricultural soil has not more than 5% organic matter. Soils with extreme characteristics, such as very sandy or peaty soils, are not taken into account as they are not normally used for agricultural purposes. The use of this correction factor depends upon the compound (EPPO 2003). For some compounds, it can be shown that this factor does not apply since sorption and exposure is not dependent on soil organic matter. However, this has to be adequately demonstrated.</w:t>
      </w:r>
    </w:p>
    <w:p w:rsidR="00E44270" w:rsidRPr="00B72640" w:rsidRDefault="00E44270" w:rsidP="00E44270">
      <w:pPr>
        <w:pStyle w:val="Heading2"/>
        <w:ind w:left="851" w:hanging="851"/>
      </w:pPr>
      <w:bookmarkStart w:id="214" w:name="_Toc526432251"/>
      <w:r w:rsidRPr="00B72640">
        <w:t>Risk assessment</w:t>
      </w:r>
      <w:bookmarkEnd w:id="214"/>
    </w:p>
    <w:p w:rsidR="00E44270" w:rsidRPr="00D92F37" w:rsidRDefault="00E44270" w:rsidP="00E44270">
      <w:pPr>
        <w:pStyle w:val="NormalText"/>
      </w:pPr>
      <w:r w:rsidRPr="00D92F37">
        <w:t>Direct exposure of soil means exposure at the time of the application, either because soil itself is treated or as a result of crop treatment with incomplete interception of the product by the crop. Exposure is also possible when a treated substrate for growing crops or manure from treated animals is disposed on land. A third route of exposure involves plant material, treated with</w:t>
      </w:r>
      <w:r w:rsidR="00A8423E">
        <w:t xml:space="preserve"> pesticide prior to planting (eg</w:t>
      </w:r>
      <w:r w:rsidRPr="00D92F37">
        <w:t xml:space="preserve"> stored potatoes or dipped bulbs).</w:t>
      </w:r>
    </w:p>
    <w:p w:rsidR="007E5F4F" w:rsidRDefault="007E5F4F" w:rsidP="00E44270">
      <w:pPr>
        <w:pStyle w:val="Heading3"/>
        <w:ind w:left="900" w:hanging="900"/>
        <w:sectPr w:rsidR="007E5F4F" w:rsidSect="001A19FE">
          <w:endnotePr>
            <w:numFmt w:val="decimal"/>
          </w:endnotePr>
          <w:pgSz w:w="11906" w:h="16838" w:code="9"/>
          <w:pgMar w:top="2552" w:right="1134" w:bottom="1134" w:left="1134" w:header="1758" w:footer="680" w:gutter="0"/>
          <w:cols w:space="708"/>
          <w:docGrid w:linePitch="360"/>
        </w:sectPr>
      </w:pPr>
    </w:p>
    <w:p w:rsidR="00E44270" w:rsidRPr="00D92F37" w:rsidRDefault="00E44270" w:rsidP="00E44270">
      <w:pPr>
        <w:pStyle w:val="Heading3"/>
        <w:ind w:left="900" w:hanging="900"/>
      </w:pPr>
      <w:bookmarkStart w:id="215" w:name="_Toc526432252"/>
      <w:r w:rsidRPr="00D92F37">
        <w:lastRenderedPageBreak/>
        <w:t>Screening level assessment</w:t>
      </w:r>
      <w:bookmarkEnd w:id="215"/>
    </w:p>
    <w:p w:rsidR="00E44270" w:rsidRPr="00A06549" w:rsidRDefault="00E44270" w:rsidP="00E44270">
      <w:pPr>
        <w:pStyle w:val="NormalText"/>
      </w:pPr>
      <w:r w:rsidRPr="00A06549">
        <w:t xml:space="preserve">The acute and chronic risks to soil organisms are assessed using a tiered approach which is in line with current EC (2002), EPHC (2009), and EPPO (2003) guidance. A screening level risk assessment assumes the worst-case scenario of a direct overspray of soil without interception in order to identify those substances and associated uses that do not pose a risk to soil organisms. </w:t>
      </w:r>
    </w:p>
    <w:p w:rsidR="00E44270" w:rsidRPr="00A06549" w:rsidRDefault="00E44270" w:rsidP="00E44270">
      <w:pPr>
        <w:pStyle w:val="NormalText"/>
      </w:pPr>
      <w:r w:rsidRPr="00A06549">
        <w:t xml:space="preserve">The Australian assessment first calculates a regulatory acceptable concentration (RAC) for acute and chronic exposure scenarios for the most sensitive species in each taxonomic group as indicated in </w:t>
      </w:r>
      <w:r w:rsidR="000440F9">
        <w:rPr>
          <w:szCs w:val="22"/>
        </w:rPr>
        <w:fldChar w:fldCharType="begin"/>
      </w:r>
      <w:r w:rsidR="000440F9">
        <w:rPr>
          <w:szCs w:val="22"/>
        </w:rPr>
        <w:instrText xml:space="preserve"> REF _Ref522027793 \h </w:instrText>
      </w:r>
      <w:r w:rsidR="000440F9">
        <w:rPr>
          <w:szCs w:val="22"/>
        </w:rPr>
      </w:r>
      <w:r w:rsidR="000440F9">
        <w:rPr>
          <w:szCs w:val="22"/>
        </w:rPr>
        <w:fldChar w:fldCharType="separate"/>
      </w:r>
      <w:r w:rsidR="00225D67" w:rsidRPr="009A4CFC">
        <w:t xml:space="preserve">Table </w:t>
      </w:r>
      <w:r w:rsidR="00225D67">
        <w:rPr>
          <w:noProof/>
        </w:rPr>
        <w:t>18</w:t>
      </w:r>
      <w:r w:rsidR="000440F9">
        <w:rPr>
          <w:szCs w:val="22"/>
        </w:rPr>
        <w:fldChar w:fldCharType="end"/>
      </w:r>
      <w:r w:rsidRPr="00A06549">
        <w:t xml:space="preserve">. </w:t>
      </w:r>
    </w:p>
    <w:p w:rsidR="00E44270" w:rsidRPr="00A06549" w:rsidRDefault="00E44270" w:rsidP="00E44270">
      <w:pPr>
        <w:pStyle w:val="NormalText"/>
      </w:pPr>
      <w:r w:rsidRPr="00A06549">
        <w:t>Estimation of initial soil concentrations Ci is based on the assumption of instantaneous, homogeneous distribution of the product in a layer of soil with a certain depth (default 5 cm) and of a certain bulk density (default 1500 kg/m3). The following formula is used calculate PECsoil at the maximum single application rate, which is compared with acute effects:</w:t>
      </w:r>
    </w:p>
    <w:p w:rsidR="00E44270" w:rsidRDefault="00E44270" w:rsidP="00E44270">
      <w:pPr>
        <w:pStyle w:val="BodyText"/>
        <w:rPr>
          <w:sz w:val="22"/>
          <w:szCs w:val="22"/>
        </w:rPr>
      </w:pPr>
    </w:p>
    <w:p w:rsidR="00E44270" w:rsidRPr="00FD2A2B" w:rsidRDefault="00E44270" w:rsidP="00E44270">
      <w:pPr>
        <w:pStyle w:val="BodyText"/>
        <w:ind w:left="720"/>
        <w:rPr>
          <w:sz w:val="20"/>
        </w:rPr>
      </w:pPr>
      <w:r w:rsidRPr="00FD2A2B">
        <w:rPr>
          <w:sz w:val="20"/>
        </w:rPr>
        <w:t>C</w:t>
      </w:r>
      <w:r w:rsidRPr="00FD2A2B">
        <w:rPr>
          <w:sz w:val="20"/>
          <w:vertAlign w:val="subscript"/>
        </w:rPr>
        <w:t>i</w:t>
      </w:r>
      <w:r w:rsidRPr="00FD2A2B">
        <w:rPr>
          <w:sz w:val="20"/>
        </w:rPr>
        <w:t xml:space="preserve"> = [A · (1−f</w:t>
      </w:r>
      <w:r w:rsidRPr="00FD2A2B">
        <w:rPr>
          <w:sz w:val="20"/>
          <w:vertAlign w:val="subscript"/>
        </w:rPr>
        <w:t>I</w:t>
      </w:r>
      <w:r w:rsidRPr="00FD2A2B">
        <w:rPr>
          <w:sz w:val="20"/>
        </w:rPr>
        <w:t>) · 10</w:t>
      </w:r>
      <w:r w:rsidRPr="00FD2A2B">
        <w:rPr>
          <w:sz w:val="20"/>
          <w:vertAlign w:val="superscript"/>
        </w:rPr>
        <w:t>6</w:t>
      </w:r>
      <w:r w:rsidRPr="00FD2A2B">
        <w:rPr>
          <w:sz w:val="20"/>
        </w:rPr>
        <w:t>]/ l · 10</w:t>
      </w:r>
      <w:r w:rsidRPr="00FD2A2B">
        <w:rPr>
          <w:sz w:val="20"/>
          <w:vertAlign w:val="superscript"/>
        </w:rPr>
        <w:t>4</w:t>
      </w:r>
      <w:r w:rsidRPr="00FD2A2B">
        <w:rPr>
          <w:sz w:val="20"/>
        </w:rPr>
        <w:t xml:space="preserve"> · d</w:t>
      </w:r>
    </w:p>
    <w:p w:rsidR="00E44270" w:rsidRPr="00FD2A2B" w:rsidRDefault="00E44270" w:rsidP="00E44270">
      <w:pPr>
        <w:pStyle w:val="BodyText"/>
        <w:rPr>
          <w:sz w:val="20"/>
        </w:rPr>
      </w:pPr>
    </w:p>
    <w:p w:rsidR="00E44270" w:rsidRPr="00FD2A2B" w:rsidRDefault="00E44270" w:rsidP="00E44270">
      <w:pPr>
        <w:pStyle w:val="BodyText"/>
        <w:ind w:left="720"/>
        <w:rPr>
          <w:sz w:val="20"/>
        </w:rPr>
      </w:pPr>
      <w:r w:rsidRPr="00FD2A2B">
        <w:rPr>
          <w:sz w:val="20"/>
        </w:rPr>
        <w:t>in which:</w:t>
      </w:r>
    </w:p>
    <w:p w:rsidR="00E44270" w:rsidRPr="00FD2A2B" w:rsidRDefault="00E44270" w:rsidP="00E44270">
      <w:pPr>
        <w:pStyle w:val="BodyText"/>
        <w:ind w:left="720"/>
        <w:rPr>
          <w:sz w:val="20"/>
        </w:rPr>
      </w:pPr>
      <w:r w:rsidRPr="00FD2A2B">
        <w:rPr>
          <w:sz w:val="20"/>
        </w:rPr>
        <w:t>C</w:t>
      </w:r>
      <w:r w:rsidRPr="00FD2A2B">
        <w:rPr>
          <w:sz w:val="20"/>
          <w:vertAlign w:val="subscript"/>
        </w:rPr>
        <w:t>i</w:t>
      </w:r>
      <w:r w:rsidRPr="00FD2A2B">
        <w:rPr>
          <w:sz w:val="20"/>
        </w:rPr>
        <w:t xml:space="preserve"> = initial concentration in soil (mg kg</w:t>
      </w:r>
      <w:r w:rsidRPr="00FD2A2B">
        <w:rPr>
          <w:sz w:val="20"/>
          <w:vertAlign w:val="superscript"/>
        </w:rPr>
        <w:t>−1</w:t>
      </w:r>
      <w:r w:rsidRPr="00FD2A2B">
        <w:rPr>
          <w:sz w:val="20"/>
        </w:rPr>
        <w:t xml:space="preserve"> soil)</w:t>
      </w:r>
    </w:p>
    <w:p w:rsidR="00E44270" w:rsidRPr="00FD2A2B" w:rsidRDefault="00E44270" w:rsidP="00E44270">
      <w:pPr>
        <w:pStyle w:val="BodyText"/>
        <w:ind w:left="720"/>
        <w:rPr>
          <w:sz w:val="20"/>
        </w:rPr>
      </w:pPr>
      <w:r w:rsidRPr="00FD2A2B">
        <w:rPr>
          <w:sz w:val="20"/>
        </w:rPr>
        <w:t>A = application rate (kg ha</w:t>
      </w:r>
      <w:r w:rsidRPr="00FD2A2B">
        <w:rPr>
          <w:sz w:val="20"/>
          <w:vertAlign w:val="superscript"/>
        </w:rPr>
        <w:t>−1</w:t>
      </w:r>
      <w:r w:rsidRPr="00FD2A2B">
        <w:rPr>
          <w:sz w:val="20"/>
        </w:rPr>
        <w:t>)</w:t>
      </w:r>
    </w:p>
    <w:p w:rsidR="00E44270" w:rsidRPr="00FD2A2B" w:rsidRDefault="00E44270" w:rsidP="00E44270">
      <w:pPr>
        <w:pStyle w:val="BodyText"/>
        <w:ind w:left="720"/>
        <w:rPr>
          <w:sz w:val="20"/>
        </w:rPr>
      </w:pPr>
      <w:r w:rsidRPr="00FD2A2B">
        <w:rPr>
          <w:sz w:val="20"/>
        </w:rPr>
        <w:t>f</w:t>
      </w:r>
      <w:r w:rsidRPr="00FD2A2B">
        <w:rPr>
          <w:sz w:val="20"/>
          <w:vertAlign w:val="subscript"/>
        </w:rPr>
        <w:t>I</w:t>
      </w:r>
      <w:r w:rsidRPr="00FD2A2B">
        <w:rPr>
          <w:sz w:val="20"/>
        </w:rPr>
        <w:t xml:space="preserve"> = fraction intercepted by the crop (dimensionless)</w:t>
      </w:r>
    </w:p>
    <w:p w:rsidR="00E44270" w:rsidRPr="00FD2A2B" w:rsidRDefault="00E44270" w:rsidP="00E44270">
      <w:pPr>
        <w:pStyle w:val="BodyText"/>
        <w:ind w:left="720"/>
        <w:rPr>
          <w:sz w:val="20"/>
        </w:rPr>
      </w:pPr>
      <w:r w:rsidRPr="00FD2A2B">
        <w:rPr>
          <w:sz w:val="20"/>
        </w:rPr>
        <w:t>l = thickness of soil layer (m)</w:t>
      </w:r>
      <w:r>
        <w:rPr>
          <w:sz w:val="20"/>
        </w:rPr>
        <w:t xml:space="preserve"> (default 0.05 m)</w:t>
      </w:r>
    </w:p>
    <w:p w:rsidR="00E44270" w:rsidRPr="00F82DFF" w:rsidRDefault="00E44270" w:rsidP="00E44270">
      <w:pPr>
        <w:pStyle w:val="BodyText"/>
        <w:ind w:left="720"/>
        <w:rPr>
          <w:sz w:val="22"/>
          <w:szCs w:val="22"/>
        </w:rPr>
      </w:pPr>
      <w:r w:rsidRPr="00FD2A2B">
        <w:rPr>
          <w:sz w:val="20"/>
        </w:rPr>
        <w:t>d = bulk density of soil (kg m</w:t>
      </w:r>
      <w:r w:rsidRPr="00FD2A2B">
        <w:rPr>
          <w:sz w:val="20"/>
          <w:vertAlign w:val="superscript"/>
        </w:rPr>
        <w:t>−3</w:t>
      </w:r>
      <w:r w:rsidRPr="00FD2A2B">
        <w:rPr>
          <w:sz w:val="20"/>
        </w:rPr>
        <w:t>)</w:t>
      </w:r>
      <w:r>
        <w:rPr>
          <w:sz w:val="20"/>
        </w:rPr>
        <w:t xml:space="preserve"> (default 1500 </w:t>
      </w:r>
      <w:r w:rsidRPr="00FD2A2B">
        <w:rPr>
          <w:sz w:val="20"/>
        </w:rPr>
        <w:t>kg m</w:t>
      </w:r>
      <w:r w:rsidRPr="00FD2A2B">
        <w:rPr>
          <w:sz w:val="20"/>
          <w:vertAlign w:val="superscript"/>
        </w:rPr>
        <w:t>−3</w:t>
      </w:r>
      <w:r>
        <w:rPr>
          <w:sz w:val="20"/>
        </w:rPr>
        <w:t>)</w:t>
      </w:r>
      <w:r w:rsidRPr="00FD2A2B">
        <w:rPr>
          <w:sz w:val="20"/>
        </w:rPr>
        <w:t>.</w:t>
      </w:r>
    </w:p>
    <w:p w:rsidR="00E44270" w:rsidRPr="00A06549" w:rsidRDefault="00E44270" w:rsidP="00E44270">
      <w:pPr>
        <w:pStyle w:val="NormalText"/>
      </w:pPr>
      <w:r w:rsidRPr="00A06549">
        <w:t>The concentration Ct represents the concentration in the plough layer at time t after each application. It can be estimated from the transformation rates in laboratory soils or from field dissipation studies.</w:t>
      </w:r>
    </w:p>
    <w:p w:rsidR="00E44270" w:rsidRPr="00F82DFF" w:rsidRDefault="00E44270" w:rsidP="00E44270">
      <w:pPr>
        <w:pStyle w:val="BodyText"/>
        <w:rPr>
          <w:sz w:val="22"/>
          <w:szCs w:val="22"/>
        </w:rPr>
      </w:pPr>
    </w:p>
    <w:p w:rsidR="00E44270" w:rsidRPr="001E0BBE" w:rsidRDefault="00E44270" w:rsidP="00E44270">
      <w:pPr>
        <w:pStyle w:val="BodyText"/>
        <w:ind w:left="720"/>
        <w:rPr>
          <w:sz w:val="20"/>
          <w:szCs w:val="22"/>
        </w:rPr>
      </w:pPr>
      <w:r w:rsidRPr="001E0BBE">
        <w:rPr>
          <w:sz w:val="20"/>
          <w:szCs w:val="22"/>
        </w:rPr>
        <w:t>C</w:t>
      </w:r>
      <w:r w:rsidRPr="001E0BBE">
        <w:rPr>
          <w:sz w:val="20"/>
          <w:szCs w:val="22"/>
          <w:vertAlign w:val="subscript"/>
        </w:rPr>
        <w:t>t</w:t>
      </w:r>
      <w:r w:rsidRPr="001E0BBE">
        <w:rPr>
          <w:sz w:val="20"/>
          <w:szCs w:val="22"/>
        </w:rPr>
        <w:t xml:space="preserve"> = C</w:t>
      </w:r>
      <w:r w:rsidRPr="001E0BBE">
        <w:rPr>
          <w:sz w:val="20"/>
          <w:szCs w:val="22"/>
          <w:vertAlign w:val="subscript"/>
        </w:rPr>
        <w:t>i</w:t>
      </w:r>
      <w:r w:rsidRPr="001E0BBE">
        <w:rPr>
          <w:sz w:val="20"/>
          <w:szCs w:val="22"/>
        </w:rPr>
        <w:t xml:space="preserve"> · exp−(ln 2 /DT</w:t>
      </w:r>
      <w:r w:rsidRPr="001E0BBE">
        <w:rPr>
          <w:sz w:val="20"/>
          <w:szCs w:val="22"/>
          <w:vertAlign w:val="subscript"/>
        </w:rPr>
        <w:t>50</w:t>
      </w:r>
      <w:r w:rsidRPr="001E0BBE">
        <w:rPr>
          <w:sz w:val="20"/>
          <w:szCs w:val="22"/>
        </w:rPr>
        <w:t>) · t</w:t>
      </w:r>
    </w:p>
    <w:p w:rsidR="00E44270" w:rsidRPr="001E0BBE" w:rsidRDefault="00E44270" w:rsidP="00E44270">
      <w:pPr>
        <w:pStyle w:val="BodyText"/>
        <w:ind w:left="720"/>
        <w:rPr>
          <w:sz w:val="20"/>
          <w:szCs w:val="22"/>
        </w:rPr>
      </w:pPr>
    </w:p>
    <w:p w:rsidR="00E44270" w:rsidRPr="001E0BBE" w:rsidRDefault="00E44270" w:rsidP="00E44270">
      <w:pPr>
        <w:pStyle w:val="BodyText"/>
        <w:ind w:left="720"/>
        <w:rPr>
          <w:sz w:val="20"/>
          <w:szCs w:val="22"/>
        </w:rPr>
      </w:pPr>
      <w:r w:rsidRPr="001E0BBE">
        <w:rPr>
          <w:sz w:val="20"/>
          <w:szCs w:val="22"/>
        </w:rPr>
        <w:t>in which:</w:t>
      </w:r>
    </w:p>
    <w:p w:rsidR="00E44270" w:rsidRPr="001E0BBE" w:rsidRDefault="00E44270" w:rsidP="00E44270">
      <w:pPr>
        <w:pStyle w:val="BodyText"/>
        <w:ind w:left="720"/>
        <w:rPr>
          <w:sz w:val="20"/>
          <w:szCs w:val="22"/>
        </w:rPr>
      </w:pPr>
      <w:r w:rsidRPr="001E0BBE">
        <w:rPr>
          <w:sz w:val="20"/>
          <w:szCs w:val="22"/>
        </w:rPr>
        <w:t>Ct = concentration in soil at time t (mg kg</w:t>
      </w:r>
      <w:r w:rsidRPr="001E0BBE">
        <w:rPr>
          <w:sz w:val="20"/>
          <w:szCs w:val="22"/>
          <w:vertAlign w:val="superscript"/>
        </w:rPr>
        <w:t>−1</w:t>
      </w:r>
      <w:r w:rsidRPr="001E0BBE">
        <w:rPr>
          <w:sz w:val="20"/>
          <w:szCs w:val="22"/>
        </w:rPr>
        <w:t xml:space="preserve"> soil)</w:t>
      </w:r>
    </w:p>
    <w:p w:rsidR="00E44270" w:rsidRPr="00F82DFF" w:rsidRDefault="00E44270" w:rsidP="00E44270">
      <w:pPr>
        <w:pStyle w:val="BodyText"/>
        <w:ind w:left="720"/>
        <w:rPr>
          <w:sz w:val="22"/>
          <w:szCs w:val="22"/>
        </w:rPr>
      </w:pPr>
      <w:r w:rsidRPr="001E0BBE">
        <w:rPr>
          <w:sz w:val="20"/>
          <w:szCs w:val="22"/>
        </w:rPr>
        <w:t>Ci = initial concentration in soil (mg kg</w:t>
      </w:r>
      <w:r w:rsidRPr="001E0BBE">
        <w:rPr>
          <w:sz w:val="20"/>
          <w:szCs w:val="22"/>
          <w:vertAlign w:val="superscript"/>
        </w:rPr>
        <w:t>−1</w:t>
      </w:r>
      <w:r w:rsidRPr="001E0BBE">
        <w:rPr>
          <w:sz w:val="20"/>
          <w:szCs w:val="22"/>
        </w:rPr>
        <w:t xml:space="preserve"> soil).</w:t>
      </w:r>
    </w:p>
    <w:p w:rsidR="00E44270" w:rsidRDefault="00E44270" w:rsidP="00E44270">
      <w:pPr>
        <w:pStyle w:val="BodyText"/>
        <w:rPr>
          <w:sz w:val="22"/>
          <w:szCs w:val="22"/>
        </w:rPr>
      </w:pPr>
    </w:p>
    <w:p w:rsidR="00E44270" w:rsidRPr="00A06549" w:rsidRDefault="00E44270" w:rsidP="00E44270">
      <w:pPr>
        <w:pStyle w:val="NormalText"/>
      </w:pPr>
      <w:r w:rsidRPr="00A06549">
        <w:t>In situations where multiple applications are made (constant application rate, constant interval between applications, linear first-order transformation), the system eventually reaches a steady state where concentrations fluctuate between a maximum level, when an application has just been made (the upper plateau concentration), and a minimum level just before the next application is made (the lower plateau concentration). This lower plateau concentration can be calculated by the following equation (Hill et al. 1955), which is compared with chronic effects.</w:t>
      </w:r>
    </w:p>
    <w:p w:rsidR="00E44270" w:rsidRPr="001E0BBE" w:rsidRDefault="00E44270" w:rsidP="00E44270">
      <w:pPr>
        <w:pStyle w:val="BodyText"/>
        <w:ind w:left="720"/>
        <w:rPr>
          <w:sz w:val="20"/>
          <w:szCs w:val="22"/>
        </w:rPr>
      </w:pPr>
      <w:r w:rsidRPr="001E0BBE">
        <w:rPr>
          <w:sz w:val="20"/>
          <w:szCs w:val="22"/>
        </w:rPr>
        <w:t>R</w:t>
      </w:r>
      <w:r w:rsidRPr="001E0BBE">
        <w:rPr>
          <w:sz w:val="20"/>
          <w:szCs w:val="22"/>
          <w:vertAlign w:val="subscript"/>
        </w:rPr>
        <w:t>low</w:t>
      </w:r>
      <w:r w:rsidRPr="001E0BBE">
        <w:rPr>
          <w:sz w:val="20"/>
          <w:szCs w:val="22"/>
        </w:rPr>
        <w:t xml:space="preserve"> = [A · X · (1-X</w:t>
      </w:r>
      <w:r w:rsidRPr="001E0BBE">
        <w:rPr>
          <w:sz w:val="20"/>
          <w:szCs w:val="22"/>
          <w:vertAlign w:val="superscript"/>
        </w:rPr>
        <w:t>n</w:t>
      </w:r>
      <w:r w:rsidRPr="001E0BBE">
        <w:rPr>
          <w:sz w:val="20"/>
          <w:szCs w:val="22"/>
        </w:rPr>
        <w:t>)] / [1 – X]</w:t>
      </w:r>
    </w:p>
    <w:p w:rsidR="00E44270" w:rsidRPr="001E0BBE" w:rsidRDefault="00E44270" w:rsidP="00E44270">
      <w:pPr>
        <w:pStyle w:val="BodyText"/>
        <w:rPr>
          <w:sz w:val="20"/>
          <w:szCs w:val="22"/>
        </w:rPr>
      </w:pPr>
    </w:p>
    <w:p w:rsidR="00E44270" w:rsidRPr="001E0BBE" w:rsidRDefault="00E44270" w:rsidP="00E44270">
      <w:pPr>
        <w:pStyle w:val="BodyText"/>
        <w:ind w:left="720"/>
        <w:rPr>
          <w:sz w:val="20"/>
          <w:szCs w:val="22"/>
        </w:rPr>
      </w:pPr>
      <w:r w:rsidRPr="001E0BBE">
        <w:rPr>
          <w:sz w:val="20"/>
          <w:szCs w:val="22"/>
        </w:rPr>
        <w:t>in which:</w:t>
      </w:r>
    </w:p>
    <w:p w:rsidR="00E44270" w:rsidRPr="001E0BBE" w:rsidRDefault="00E44270" w:rsidP="00E44270">
      <w:pPr>
        <w:pStyle w:val="BodyText"/>
        <w:ind w:left="720"/>
        <w:rPr>
          <w:sz w:val="20"/>
          <w:szCs w:val="22"/>
        </w:rPr>
      </w:pPr>
      <w:r w:rsidRPr="001E0BBE">
        <w:rPr>
          <w:sz w:val="20"/>
          <w:szCs w:val="22"/>
        </w:rPr>
        <w:t>R</w:t>
      </w:r>
      <w:r w:rsidRPr="001E0BBE">
        <w:rPr>
          <w:sz w:val="20"/>
          <w:szCs w:val="22"/>
          <w:vertAlign w:val="subscript"/>
        </w:rPr>
        <w:t>low</w:t>
      </w:r>
      <w:r w:rsidRPr="001E0BBE">
        <w:rPr>
          <w:sz w:val="20"/>
          <w:szCs w:val="22"/>
        </w:rPr>
        <w:t xml:space="preserve"> = the</w:t>
      </w:r>
      <w:r w:rsidR="00A8423E">
        <w:rPr>
          <w:sz w:val="20"/>
          <w:szCs w:val="22"/>
        </w:rPr>
        <w:t xml:space="preserve"> lower plateau concentration, ie</w:t>
      </w:r>
      <w:r w:rsidRPr="001E0BBE">
        <w:rPr>
          <w:sz w:val="20"/>
          <w:szCs w:val="22"/>
        </w:rPr>
        <w:t xml:space="preserve"> the residue at the end of the nth application</w:t>
      </w:r>
    </w:p>
    <w:p w:rsidR="00E44270" w:rsidRPr="001E0BBE" w:rsidRDefault="00E44270" w:rsidP="00E44270">
      <w:pPr>
        <w:pStyle w:val="BodyText"/>
        <w:ind w:left="720"/>
        <w:rPr>
          <w:sz w:val="20"/>
          <w:szCs w:val="22"/>
        </w:rPr>
      </w:pPr>
      <w:r w:rsidRPr="001E0BBE">
        <w:rPr>
          <w:sz w:val="20"/>
          <w:szCs w:val="22"/>
        </w:rPr>
        <w:t>X = the proportion of the applied dose remaining after the first application</w:t>
      </w:r>
      <w:r>
        <w:rPr>
          <w:sz w:val="20"/>
          <w:szCs w:val="22"/>
        </w:rPr>
        <w:t xml:space="preserve"> (C</w:t>
      </w:r>
      <w:r w:rsidRPr="00B04A56">
        <w:rPr>
          <w:sz w:val="20"/>
          <w:szCs w:val="22"/>
          <w:vertAlign w:val="subscript"/>
        </w:rPr>
        <w:t>t</w:t>
      </w:r>
      <w:r>
        <w:rPr>
          <w:sz w:val="20"/>
          <w:szCs w:val="22"/>
        </w:rPr>
        <w:t>)</w:t>
      </w:r>
    </w:p>
    <w:p w:rsidR="00E44270" w:rsidRPr="001E0BBE" w:rsidRDefault="00E44270" w:rsidP="00E44270">
      <w:pPr>
        <w:pStyle w:val="BodyText"/>
        <w:ind w:left="720"/>
        <w:rPr>
          <w:sz w:val="20"/>
          <w:szCs w:val="22"/>
        </w:rPr>
      </w:pPr>
      <w:r w:rsidRPr="001E0BBE">
        <w:rPr>
          <w:sz w:val="20"/>
          <w:szCs w:val="22"/>
        </w:rPr>
        <w:t>A = the amount applied at each application</w:t>
      </w:r>
    </w:p>
    <w:p w:rsidR="00E44270" w:rsidRPr="00F82DFF" w:rsidRDefault="00E44270" w:rsidP="00E44270">
      <w:pPr>
        <w:pStyle w:val="BodyText"/>
        <w:ind w:left="720"/>
        <w:rPr>
          <w:sz w:val="22"/>
          <w:szCs w:val="22"/>
        </w:rPr>
      </w:pPr>
      <w:r w:rsidRPr="001E0BBE">
        <w:rPr>
          <w:sz w:val="20"/>
          <w:szCs w:val="22"/>
        </w:rPr>
        <w:t>n = the number of applications.</w:t>
      </w:r>
    </w:p>
    <w:p w:rsidR="00E44270" w:rsidRDefault="00E44270" w:rsidP="00E44270">
      <w:pPr>
        <w:pStyle w:val="BodyText"/>
        <w:rPr>
          <w:sz w:val="22"/>
          <w:szCs w:val="22"/>
        </w:rPr>
      </w:pPr>
    </w:p>
    <w:p w:rsidR="00E44270" w:rsidRPr="000440F9" w:rsidRDefault="00E44270" w:rsidP="00E44270">
      <w:pPr>
        <w:pStyle w:val="NormalText"/>
      </w:pPr>
      <w:r w:rsidRPr="000440F9">
        <w:t>For persistence substances</w:t>
      </w:r>
      <w:r w:rsidRPr="00225D67">
        <w:rPr>
          <w:vertAlign w:val="superscript"/>
        </w:rPr>
        <w:footnoteReference w:id="13"/>
      </w:r>
      <w:r w:rsidRPr="000440F9">
        <w:t>, the upper plateau concentration is compared with chronic effects:</w:t>
      </w:r>
    </w:p>
    <w:p w:rsidR="00E44270" w:rsidRPr="000440F9" w:rsidRDefault="00E44270" w:rsidP="00E44270">
      <w:pPr>
        <w:pStyle w:val="BodyText"/>
        <w:rPr>
          <w:rFonts w:asciiTheme="minorHAnsi" w:hAnsiTheme="minorHAnsi"/>
          <w:sz w:val="22"/>
          <w:szCs w:val="22"/>
        </w:rPr>
      </w:pPr>
    </w:p>
    <w:p w:rsidR="00E44270" w:rsidRPr="000440F9" w:rsidRDefault="00E44270" w:rsidP="00E44270">
      <w:pPr>
        <w:pStyle w:val="BodyText"/>
        <w:ind w:left="720"/>
        <w:rPr>
          <w:rFonts w:asciiTheme="minorHAnsi" w:hAnsiTheme="minorHAnsi"/>
          <w:sz w:val="22"/>
          <w:szCs w:val="22"/>
        </w:rPr>
      </w:pPr>
      <w:r w:rsidRPr="000440F9">
        <w:rPr>
          <w:rFonts w:asciiTheme="minorHAnsi" w:hAnsiTheme="minorHAnsi"/>
          <w:sz w:val="20"/>
          <w:szCs w:val="22"/>
        </w:rPr>
        <w:t>R</w:t>
      </w:r>
      <w:r w:rsidRPr="000440F9">
        <w:rPr>
          <w:rFonts w:asciiTheme="minorHAnsi" w:hAnsiTheme="minorHAnsi"/>
          <w:sz w:val="20"/>
          <w:szCs w:val="22"/>
          <w:vertAlign w:val="subscript"/>
        </w:rPr>
        <w:t>high</w:t>
      </w:r>
      <w:r w:rsidRPr="000440F9">
        <w:rPr>
          <w:rFonts w:asciiTheme="minorHAnsi" w:hAnsiTheme="minorHAnsi"/>
          <w:sz w:val="20"/>
          <w:szCs w:val="22"/>
        </w:rPr>
        <w:t xml:space="preserve"> = [A · (1-X</w:t>
      </w:r>
      <w:r w:rsidRPr="000440F9">
        <w:rPr>
          <w:rFonts w:asciiTheme="minorHAnsi" w:hAnsiTheme="minorHAnsi"/>
          <w:sz w:val="20"/>
          <w:szCs w:val="22"/>
          <w:vertAlign w:val="superscript"/>
        </w:rPr>
        <w:t>n</w:t>
      </w:r>
      <w:r w:rsidRPr="000440F9">
        <w:rPr>
          <w:rFonts w:asciiTheme="minorHAnsi" w:hAnsiTheme="minorHAnsi"/>
          <w:sz w:val="20"/>
          <w:szCs w:val="22"/>
        </w:rPr>
        <w:t>)] / [1 – X]</w:t>
      </w:r>
    </w:p>
    <w:p w:rsidR="00E44270" w:rsidRPr="000440F9" w:rsidRDefault="00E44270" w:rsidP="00E44270">
      <w:pPr>
        <w:pStyle w:val="BodyText"/>
        <w:rPr>
          <w:rFonts w:asciiTheme="minorHAnsi" w:hAnsiTheme="minorHAnsi"/>
          <w:sz w:val="22"/>
          <w:szCs w:val="22"/>
        </w:rPr>
      </w:pPr>
    </w:p>
    <w:p w:rsidR="00E44270" w:rsidRPr="000440F9" w:rsidRDefault="00E44270" w:rsidP="00E44270">
      <w:pPr>
        <w:pStyle w:val="BodyText"/>
        <w:rPr>
          <w:rFonts w:asciiTheme="minorHAnsi" w:hAnsiTheme="minorHAnsi"/>
          <w:sz w:val="22"/>
          <w:szCs w:val="22"/>
        </w:rPr>
      </w:pPr>
      <w:r w:rsidRPr="000440F9">
        <w:rPr>
          <w:rFonts w:asciiTheme="minorHAnsi" w:hAnsiTheme="minorHAnsi"/>
          <w:sz w:val="22"/>
          <w:szCs w:val="22"/>
        </w:rPr>
        <w:t>Risk quotients compare the appropriate PEC</w:t>
      </w:r>
      <w:r w:rsidRPr="000440F9">
        <w:rPr>
          <w:rFonts w:asciiTheme="minorHAnsi" w:hAnsiTheme="minorHAnsi"/>
          <w:sz w:val="22"/>
          <w:szCs w:val="22"/>
          <w:vertAlign w:val="subscript"/>
        </w:rPr>
        <w:t>soil</w:t>
      </w:r>
      <w:r w:rsidRPr="000440F9">
        <w:rPr>
          <w:rFonts w:asciiTheme="minorHAnsi" w:hAnsiTheme="minorHAnsi"/>
          <w:sz w:val="22"/>
          <w:szCs w:val="22"/>
        </w:rPr>
        <w:t xml:space="preserve"> values with the corresponding RAC (</w:t>
      </w:r>
      <w:r w:rsidR="000440F9">
        <w:rPr>
          <w:rFonts w:asciiTheme="minorHAnsi" w:hAnsiTheme="minorHAnsi"/>
          <w:sz w:val="22"/>
          <w:szCs w:val="22"/>
        </w:rPr>
        <w:fldChar w:fldCharType="begin"/>
      </w:r>
      <w:r w:rsidR="000440F9">
        <w:rPr>
          <w:rFonts w:asciiTheme="minorHAnsi" w:hAnsiTheme="minorHAnsi"/>
          <w:sz w:val="22"/>
          <w:szCs w:val="22"/>
        </w:rPr>
        <w:instrText xml:space="preserve"> REF _Ref522027874 \h </w:instrText>
      </w:r>
      <w:r w:rsidR="000440F9">
        <w:rPr>
          <w:rFonts w:asciiTheme="minorHAnsi" w:hAnsiTheme="minorHAnsi"/>
          <w:sz w:val="22"/>
          <w:szCs w:val="22"/>
        </w:rPr>
      </w:r>
      <w:r w:rsidR="000440F9">
        <w:rPr>
          <w:rFonts w:asciiTheme="minorHAnsi" w:hAnsiTheme="minorHAnsi"/>
          <w:sz w:val="22"/>
          <w:szCs w:val="22"/>
        </w:rPr>
        <w:fldChar w:fldCharType="separate"/>
      </w:r>
      <w:r w:rsidR="00225D67" w:rsidRPr="009A4CFC">
        <w:t xml:space="preserve">Table </w:t>
      </w:r>
      <w:r w:rsidR="00225D67">
        <w:rPr>
          <w:noProof/>
        </w:rPr>
        <w:t>19</w:t>
      </w:r>
      <w:r w:rsidR="000440F9">
        <w:rPr>
          <w:rFonts w:asciiTheme="minorHAnsi" w:hAnsiTheme="minorHAnsi"/>
          <w:sz w:val="22"/>
          <w:szCs w:val="22"/>
        </w:rPr>
        <w:fldChar w:fldCharType="end"/>
      </w:r>
      <w:r w:rsidRPr="000440F9">
        <w:rPr>
          <w:rFonts w:asciiTheme="minorHAnsi" w:hAnsiTheme="minorHAnsi"/>
          <w:sz w:val="22"/>
          <w:szCs w:val="22"/>
        </w:rPr>
        <w:t>):</w:t>
      </w:r>
    </w:p>
    <w:p w:rsidR="00E44270" w:rsidRPr="000440F9" w:rsidRDefault="00E44270" w:rsidP="00E44270">
      <w:pPr>
        <w:pStyle w:val="BodyText"/>
        <w:widowControl/>
        <w:numPr>
          <w:ilvl w:val="0"/>
          <w:numId w:val="16"/>
        </w:numPr>
        <w:rPr>
          <w:rFonts w:asciiTheme="minorHAnsi" w:hAnsiTheme="minorHAnsi"/>
          <w:sz w:val="22"/>
          <w:szCs w:val="22"/>
        </w:rPr>
      </w:pPr>
      <w:r w:rsidRPr="000440F9">
        <w:rPr>
          <w:rFonts w:asciiTheme="minorHAnsi" w:hAnsiTheme="minorHAnsi"/>
          <w:sz w:val="22"/>
          <w:szCs w:val="22"/>
        </w:rPr>
        <w:t>PEC</w:t>
      </w:r>
      <w:r w:rsidRPr="000440F9">
        <w:rPr>
          <w:rFonts w:asciiTheme="minorHAnsi" w:hAnsiTheme="minorHAnsi"/>
          <w:sz w:val="22"/>
          <w:szCs w:val="22"/>
          <w:vertAlign w:val="subscript"/>
        </w:rPr>
        <w:t>soil</w:t>
      </w:r>
      <w:r w:rsidRPr="000440F9">
        <w:rPr>
          <w:rFonts w:asciiTheme="minorHAnsi" w:hAnsiTheme="minorHAnsi"/>
          <w:sz w:val="22"/>
          <w:szCs w:val="22"/>
        </w:rPr>
        <w:t xml:space="preserve"> based on C</w:t>
      </w:r>
      <w:r w:rsidRPr="000440F9">
        <w:rPr>
          <w:rFonts w:asciiTheme="minorHAnsi" w:hAnsiTheme="minorHAnsi"/>
          <w:sz w:val="22"/>
          <w:szCs w:val="22"/>
          <w:vertAlign w:val="subscript"/>
        </w:rPr>
        <w:t>i</w:t>
      </w:r>
      <w:r w:rsidRPr="000440F9">
        <w:rPr>
          <w:rFonts w:asciiTheme="minorHAnsi" w:hAnsiTheme="minorHAnsi"/>
          <w:sz w:val="22"/>
          <w:szCs w:val="22"/>
        </w:rPr>
        <w:t xml:space="preserve"> is compared to acute RAC</w:t>
      </w:r>
    </w:p>
    <w:p w:rsidR="00E44270" w:rsidRPr="000440F9" w:rsidRDefault="00E44270" w:rsidP="00E44270">
      <w:pPr>
        <w:pStyle w:val="BodyText"/>
        <w:widowControl/>
        <w:numPr>
          <w:ilvl w:val="0"/>
          <w:numId w:val="16"/>
        </w:numPr>
        <w:rPr>
          <w:rFonts w:asciiTheme="minorHAnsi" w:hAnsiTheme="minorHAnsi"/>
          <w:sz w:val="22"/>
          <w:szCs w:val="22"/>
        </w:rPr>
      </w:pPr>
      <w:r w:rsidRPr="000440F9">
        <w:rPr>
          <w:rFonts w:asciiTheme="minorHAnsi" w:hAnsiTheme="minorHAnsi"/>
          <w:sz w:val="22"/>
          <w:szCs w:val="22"/>
        </w:rPr>
        <w:t>PEC</w:t>
      </w:r>
      <w:r w:rsidRPr="000440F9">
        <w:rPr>
          <w:rFonts w:asciiTheme="minorHAnsi" w:hAnsiTheme="minorHAnsi"/>
          <w:sz w:val="22"/>
          <w:szCs w:val="22"/>
          <w:vertAlign w:val="subscript"/>
        </w:rPr>
        <w:t>soil</w:t>
      </w:r>
      <w:r w:rsidRPr="000440F9">
        <w:rPr>
          <w:rFonts w:asciiTheme="minorHAnsi" w:hAnsiTheme="minorHAnsi"/>
          <w:sz w:val="22"/>
          <w:szCs w:val="22"/>
        </w:rPr>
        <w:t xml:space="preserve"> based on R</w:t>
      </w:r>
      <w:r w:rsidRPr="000440F9">
        <w:rPr>
          <w:rFonts w:asciiTheme="minorHAnsi" w:hAnsiTheme="minorHAnsi"/>
          <w:sz w:val="22"/>
          <w:szCs w:val="22"/>
          <w:vertAlign w:val="subscript"/>
        </w:rPr>
        <w:t>low</w:t>
      </w:r>
      <w:r w:rsidRPr="000440F9">
        <w:rPr>
          <w:rFonts w:asciiTheme="minorHAnsi" w:hAnsiTheme="minorHAnsi"/>
          <w:sz w:val="22"/>
          <w:szCs w:val="22"/>
        </w:rPr>
        <w:t xml:space="preserve"> is compared to chronic RAC</w:t>
      </w:r>
    </w:p>
    <w:p w:rsidR="00E44270" w:rsidRPr="000440F9" w:rsidRDefault="00E44270" w:rsidP="00E44270">
      <w:pPr>
        <w:pStyle w:val="BodyText"/>
        <w:widowControl/>
        <w:numPr>
          <w:ilvl w:val="0"/>
          <w:numId w:val="16"/>
        </w:numPr>
        <w:rPr>
          <w:rFonts w:asciiTheme="minorHAnsi" w:hAnsiTheme="minorHAnsi"/>
          <w:sz w:val="22"/>
          <w:szCs w:val="22"/>
        </w:rPr>
      </w:pPr>
      <w:r w:rsidRPr="000440F9">
        <w:rPr>
          <w:rFonts w:asciiTheme="minorHAnsi" w:hAnsiTheme="minorHAnsi"/>
          <w:sz w:val="22"/>
          <w:szCs w:val="22"/>
        </w:rPr>
        <w:t>PEC</w:t>
      </w:r>
      <w:r w:rsidRPr="000440F9">
        <w:rPr>
          <w:rFonts w:asciiTheme="minorHAnsi" w:hAnsiTheme="minorHAnsi"/>
          <w:sz w:val="22"/>
          <w:szCs w:val="22"/>
          <w:vertAlign w:val="subscript"/>
        </w:rPr>
        <w:t>soil</w:t>
      </w:r>
      <w:r w:rsidRPr="000440F9">
        <w:rPr>
          <w:rFonts w:asciiTheme="minorHAnsi" w:hAnsiTheme="minorHAnsi"/>
          <w:sz w:val="22"/>
          <w:szCs w:val="22"/>
        </w:rPr>
        <w:t xml:space="preserve"> based on R</w:t>
      </w:r>
      <w:r w:rsidRPr="000440F9">
        <w:rPr>
          <w:rFonts w:asciiTheme="minorHAnsi" w:hAnsiTheme="minorHAnsi"/>
          <w:sz w:val="22"/>
          <w:szCs w:val="22"/>
          <w:vertAlign w:val="subscript"/>
        </w:rPr>
        <w:t>high</w:t>
      </w:r>
      <w:r w:rsidRPr="000440F9">
        <w:rPr>
          <w:rFonts w:asciiTheme="minorHAnsi" w:hAnsiTheme="minorHAnsi"/>
          <w:sz w:val="22"/>
          <w:szCs w:val="22"/>
        </w:rPr>
        <w:t xml:space="preserve"> is compared to chronic RAC for persistent substances</w:t>
      </w:r>
    </w:p>
    <w:p w:rsidR="00E44270" w:rsidRPr="00D92F37" w:rsidRDefault="00E44270" w:rsidP="00E44270">
      <w:pPr>
        <w:pStyle w:val="NormalText"/>
      </w:pPr>
      <w:r w:rsidRPr="00D92F37">
        <w:t>Litter bag studies</w:t>
      </w:r>
    </w:p>
    <w:p w:rsidR="00E44270" w:rsidRPr="00DD0A43" w:rsidRDefault="00E44270" w:rsidP="00E44270">
      <w:pPr>
        <w:pStyle w:val="NormalText"/>
      </w:pPr>
      <w:r w:rsidRPr="00DD0A43">
        <w:t xml:space="preserve">If the difference in litter mass loss is ≤10% at 12 months, the risk is considered to be low. If the difference is &gt; 10% at 1 year, or it is clear that decomposition rates are still diverging, a refined or higher-tier risk assessment should be performed. This may involve </w:t>
      </w:r>
      <w:r w:rsidR="00A8423E">
        <w:t>extending the existing study (e</w:t>
      </w:r>
      <w:r w:rsidRPr="00DD0A43">
        <w:t>g by burying new bags) or conducting a new study under more realistic conditions. Alternatively the risk can be considered high and regulatory action taken, or risk reduction options may be considered. Risk/benefit analysis should be done in any case if the difference is &gt; 25% after 12 months, as the risk is considered to be unacceptable under these conditions.</w:t>
      </w:r>
    </w:p>
    <w:p w:rsidR="00E44270" w:rsidRPr="00E12373" w:rsidRDefault="00E44270" w:rsidP="00E44270">
      <w:pPr>
        <w:pStyle w:val="Heading3"/>
        <w:ind w:left="900" w:hanging="900"/>
      </w:pPr>
      <w:bookmarkStart w:id="216" w:name="_Toc526432253"/>
      <w:r w:rsidRPr="00E12373">
        <w:t>Refined assessment</w:t>
      </w:r>
      <w:bookmarkEnd w:id="216"/>
    </w:p>
    <w:p w:rsidR="00E44270" w:rsidRPr="00DD0A43" w:rsidRDefault="00E44270" w:rsidP="00E44270">
      <w:pPr>
        <w:pStyle w:val="NormalText"/>
      </w:pPr>
      <w:r w:rsidRPr="00DD0A43">
        <w:t>If it is necessary to refine the assessment for any particular taxonomic group or process, crop interception should be considered as a first step.  Ideally, the crop and its growth stage at the time of application should be specified. If such data is not available, data for similar crops may be adequate. Crop interception factors presented for surface water in EFSA (2014) are preferred.</w:t>
      </w:r>
    </w:p>
    <w:p w:rsidR="00E44270" w:rsidRPr="00DD0A43" w:rsidRDefault="00E44270" w:rsidP="00E44270">
      <w:pPr>
        <w:pStyle w:val="NormalText"/>
      </w:pPr>
      <w:r w:rsidRPr="00DD0A43">
        <w:t xml:space="preserve">If further assessment is necessary, higher tier studies can be considered.  Higher-tier tests may take the form of limited </w:t>
      </w:r>
      <w:r w:rsidR="00A8423E">
        <w:t>community/population studies (eg</w:t>
      </w:r>
      <w:r w:rsidRPr="00DD0A43">
        <w:t xml:space="preserve"> terrestrial model ecosystems, soil mesocosms) or field studies (including, if appropriate, litte</w:t>
      </w:r>
      <w:r w:rsidR="00A8423E">
        <w:t>r-bag studies). Other groups (eg</w:t>
      </w:r>
      <w:r w:rsidRPr="00DD0A43">
        <w:t xml:space="preserve"> earthworms, microbial functions) may also be tested in the same study. It is important that the timing, levels and routes of exposure reflect, as far as possible, those of the proposed use of the product. Key effect end-points include: changes in community and population structure; species diversity; number and biomass of key species/groups, if appropriate, organic matter breakdown. An ‘effect’ can be defined as a statistically significant deviation from the control for any key parameters at any time. This relies on the validity of the study and the level of significance which can be achieved. A reference product helps to determine validity. An effect at a single time may point to a short-term impact, but the potential for recovery should also be considered. ‘Recovery’ is indicated if significant effects compared with the control are no longer observed within one season or 1 year (whichever is most ecologically relevant). Expert judgement should be used to evaluate higher-tier studies and to determine ecological relevance. </w:t>
      </w:r>
    </w:p>
    <w:p w:rsidR="00E44270" w:rsidRPr="00B72640" w:rsidRDefault="00E44270" w:rsidP="00E44270">
      <w:pPr>
        <w:pStyle w:val="Heading2"/>
        <w:ind w:left="851" w:hanging="851"/>
      </w:pPr>
      <w:bookmarkStart w:id="217" w:name="_Toc526432254"/>
      <w:r w:rsidRPr="00B72640">
        <w:lastRenderedPageBreak/>
        <w:t>Combination toxicity</w:t>
      </w:r>
      <w:bookmarkEnd w:id="217"/>
    </w:p>
    <w:p w:rsidR="00E44270" w:rsidRPr="00DD0A43" w:rsidRDefault="00E44270" w:rsidP="00E44270">
      <w:pPr>
        <w:pStyle w:val="NormalText"/>
      </w:pPr>
      <w:r w:rsidRPr="00DD0A43">
        <w:t>Soil organisms could be directly exposed to combined residues in over-sprayed soil within the treatment area. Risks are determined following direct exposure to combined residues immediately after application. In the absence of formulation toxicity data, combination toxicity is estimated assuming additive toxicity for organisms which are sensitive to at least two of the constituents in the mixture. The estimation method for combination toxicity is provided in Table X. If one active substance drives the overall toxicity (≥ 90%), then it is concluded that the toxicity is driven by the active constituent and additive toxicity is not considered further.</w:t>
      </w:r>
    </w:p>
    <w:p w:rsidR="00E44270" w:rsidRPr="00DD0A43" w:rsidRDefault="00E44270" w:rsidP="00E44270">
      <w:pPr>
        <w:pStyle w:val="NormalText"/>
      </w:pPr>
      <w:r w:rsidRPr="00DD0A43">
        <w:t>If formulation toxicity data are available, the observed toxicity of the mixture is compared to the predicted toxicity based on active substance data which can be done for any ratio of active substances by calculation of the Model Deviation Ratio (MDR). If the MDR is within the range of 0.2 to 5, the mixture toxicity is assumed to be additive. If the MRD is &lt;0.2, the mixture toxicity is considered to be less than additive (antagonistic) and if the MDR is &gt;5, the mixture toxicity is considered to be more than additive (synergistic).</w:t>
      </w:r>
    </w:p>
    <w:p w:rsidR="00E44270" w:rsidRPr="00B72640" w:rsidRDefault="00E44270" w:rsidP="00E44270">
      <w:pPr>
        <w:pStyle w:val="Heading2"/>
        <w:ind w:left="851" w:hanging="851"/>
      </w:pPr>
      <w:bookmarkStart w:id="218" w:name="_Toc526432255"/>
      <w:r w:rsidRPr="00B72640">
        <w:t>Risk assessment tables</w:t>
      </w:r>
      <w:bookmarkEnd w:id="218"/>
    </w:p>
    <w:p w:rsidR="008B68EB" w:rsidRPr="009A4CFC" w:rsidRDefault="008B68EB" w:rsidP="008B68EB">
      <w:pPr>
        <w:pStyle w:val="Caption"/>
      </w:pPr>
      <w:bookmarkStart w:id="219" w:name="_Ref522027793"/>
      <w:r w:rsidRPr="009A4CFC">
        <w:t xml:space="preserve">Table </w:t>
      </w:r>
      <w:r w:rsidR="00EA08EB">
        <w:rPr>
          <w:noProof/>
        </w:rPr>
        <w:fldChar w:fldCharType="begin"/>
      </w:r>
      <w:r w:rsidR="00EA08EB">
        <w:rPr>
          <w:noProof/>
        </w:rPr>
        <w:instrText xml:space="preserve"> SEQ Table \* ARABIC </w:instrText>
      </w:r>
      <w:r w:rsidR="00EA08EB">
        <w:rPr>
          <w:noProof/>
        </w:rPr>
        <w:fldChar w:fldCharType="separate"/>
      </w:r>
      <w:r w:rsidR="00225D67">
        <w:rPr>
          <w:noProof/>
        </w:rPr>
        <w:t>18</w:t>
      </w:r>
      <w:r w:rsidR="00EA08EB">
        <w:rPr>
          <w:noProof/>
        </w:rPr>
        <w:fldChar w:fldCharType="end"/>
      </w:r>
      <w:bookmarkEnd w:id="219"/>
      <w:r w:rsidRPr="009A4CFC">
        <w:t xml:space="preserve"> - </w:t>
      </w:r>
      <w:r w:rsidRPr="008B68EB">
        <w:t>Regulatory acceptable concentrations for soil organisms</w:t>
      </w:r>
    </w:p>
    <w:tbl>
      <w:tblPr>
        <w:tblW w:w="7965" w:type="dxa"/>
        <w:tblInd w:w="-10" w:type="dxa"/>
        <w:tblLook w:val="04A0" w:firstRow="1" w:lastRow="0" w:firstColumn="1" w:lastColumn="0" w:noHBand="0" w:noVBand="1"/>
      </w:tblPr>
      <w:tblGrid>
        <w:gridCol w:w="1167"/>
        <w:gridCol w:w="1037"/>
        <w:gridCol w:w="2527"/>
        <w:gridCol w:w="1277"/>
        <w:gridCol w:w="1957"/>
      </w:tblGrid>
      <w:tr w:rsidR="003E189E" w:rsidRPr="003E189E" w:rsidTr="003E189E">
        <w:trPr>
          <w:cantSplit/>
          <w:trHeight w:val="480"/>
        </w:trPr>
        <w:tc>
          <w:tcPr>
            <w:tcW w:w="116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3E189E" w:rsidRPr="003E189E" w:rsidRDefault="003E189E" w:rsidP="003E189E">
            <w:pPr>
              <w:spacing w:line="240" w:lineRule="auto"/>
              <w:jc w:val="center"/>
              <w:rPr>
                <w:rFonts w:cs="Arial"/>
                <w:b/>
                <w:bCs/>
                <w:color w:val="000000"/>
                <w:sz w:val="18"/>
                <w:szCs w:val="18"/>
                <w:lang w:eastAsia="en-AU"/>
              </w:rPr>
            </w:pPr>
            <w:r w:rsidRPr="003E189E">
              <w:rPr>
                <w:rFonts w:cs="Arial"/>
                <w:b/>
                <w:bCs/>
                <w:color w:val="000000"/>
                <w:sz w:val="18"/>
                <w:szCs w:val="18"/>
                <w:lang w:eastAsia="en-AU"/>
              </w:rPr>
              <w:t>Taxonomic group</w:t>
            </w:r>
          </w:p>
        </w:tc>
        <w:tc>
          <w:tcPr>
            <w:tcW w:w="103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E189E" w:rsidRPr="003E189E" w:rsidRDefault="003E189E" w:rsidP="003E189E">
            <w:pPr>
              <w:spacing w:line="240" w:lineRule="auto"/>
              <w:jc w:val="center"/>
              <w:rPr>
                <w:rFonts w:cs="Arial"/>
                <w:b/>
                <w:bCs/>
                <w:color w:val="000000"/>
                <w:sz w:val="18"/>
                <w:szCs w:val="18"/>
                <w:lang w:eastAsia="en-AU"/>
              </w:rPr>
            </w:pPr>
            <w:r w:rsidRPr="003E189E">
              <w:rPr>
                <w:rFonts w:cs="Arial"/>
                <w:b/>
                <w:bCs/>
                <w:color w:val="000000"/>
                <w:sz w:val="18"/>
                <w:szCs w:val="18"/>
                <w:lang w:eastAsia="en-AU"/>
              </w:rPr>
              <w:t>Exposure</w:t>
            </w:r>
          </w:p>
        </w:tc>
        <w:tc>
          <w:tcPr>
            <w:tcW w:w="252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E189E" w:rsidRPr="003E189E" w:rsidRDefault="003E189E" w:rsidP="003E189E">
            <w:pPr>
              <w:spacing w:line="240" w:lineRule="auto"/>
              <w:jc w:val="center"/>
              <w:rPr>
                <w:rFonts w:cs="Arial"/>
                <w:b/>
                <w:bCs/>
                <w:color w:val="000000"/>
                <w:sz w:val="18"/>
                <w:szCs w:val="18"/>
                <w:lang w:eastAsia="en-AU"/>
              </w:rPr>
            </w:pPr>
            <w:r w:rsidRPr="003E189E">
              <w:rPr>
                <w:rFonts w:cs="Arial"/>
                <w:b/>
                <w:bCs/>
                <w:color w:val="000000"/>
                <w:sz w:val="18"/>
                <w:szCs w:val="18"/>
                <w:lang w:eastAsia="en-AU"/>
              </w:rPr>
              <w:t>Endpoint</w:t>
            </w:r>
          </w:p>
        </w:tc>
        <w:tc>
          <w:tcPr>
            <w:tcW w:w="1277" w:type="dxa"/>
            <w:tcBorders>
              <w:top w:val="single" w:sz="8" w:space="0" w:color="auto"/>
              <w:left w:val="nil"/>
              <w:bottom w:val="nil"/>
              <w:right w:val="single" w:sz="8" w:space="0" w:color="auto"/>
            </w:tcBorders>
            <w:shd w:val="clear" w:color="auto" w:fill="auto"/>
            <w:vAlign w:val="center"/>
            <w:hideMark/>
          </w:tcPr>
          <w:p w:rsidR="003E189E" w:rsidRPr="003E189E" w:rsidRDefault="003E189E" w:rsidP="003E189E">
            <w:pPr>
              <w:spacing w:line="240" w:lineRule="auto"/>
              <w:jc w:val="center"/>
              <w:rPr>
                <w:rFonts w:cs="Arial"/>
                <w:b/>
                <w:bCs/>
                <w:color w:val="000000"/>
                <w:sz w:val="18"/>
                <w:szCs w:val="18"/>
                <w:lang w:eastAsia="en-AU"/>
              </w:rPr>
            </w:pPr>
            <w:r w:rsidRPr="003E189E">
              <w:rPr>
                <w:rFonts w:cs="Arial"/>
                <w:b/>
                <w:bCs/>
                <w:color w:val="000000"/>
                <w:sz w:val="18"/>
                <w:szCs w:val="18"/>
                <w:lang w:eastAsia="en-AU"/>
              </w:rPr>
              <w:t>Assessment</w:t>
            </w:r>
          </w:p>
        </w:tc>
        <w:tc>
          <w:tcPr>
            <w:tcW w:w="195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E189E" w:rsidRPr="003E189E" w:rsidRDefault="003E189E" w:rsidP="003E189E">
            <w:pPr>
              <w:spacing w:line="240" w:lineRule="auto"/>
              <w:jc w:val="center"/>
              <w:rPr>
                <w:rFonts w:cs="Arial"/>
                <w:b/>
                <w:bCs/>
                <w:color w:val="000000"/>
                <w:sz w:val="18"/>
                <w:szCs w:val="18"/>
                <w:lang w:eastAsia="en-AU"/>
              </w:rPr>
            </w:pPr>
            <w:r w:rsidRPr="003E189E">
              <w:rPr>
                <w:rFonts w:cs="Arial"/>
                <w:b/>
                <w:bCs/>
                <w:color w:val="000000"/>
                <w:sz w:val="18"/>
                <w:szCs w:val="18"/>
                <w:lang w:eastAsia="en-AU"/>
              </w:rPr>
              <w:t>RAC</w:t>
            </w:r>
          </w:p>
        </w:tc>
      </w:tr>
      <w:tr w:rsidR="003E189E" w:rsidRPr="003E189E" w:rsidTr="003E189E">
        <w:trPr>
          <w:trHeight w:val="315"/>
        </w:trPr>
        <w:tc>
          <w:tcPr>
            <w:tcW w:w="1167" w:type="dxa"/>
            <w:vMerge/>
            <w:tcBorders>
              <w:top w:val="single" w:sz="8" w:space="0" w:color="auto"/>
              <w:left w:val="single" w:sz="8" w:space="0" w:color="auto"/>
              <w:bottom w:val="single" w:sz="8" w:space="0" w:color="000000"/>
              <w:right w:val="single" w:sz="8" w:space="0" w:color="auto"/>
            </w:tcBorders>
            <w:vAlign w:val="center"/>
            <w:hideMark/>
          </w:tcPr>
          <w:p w:rsidR="003E189E" w:rsidRPr="003E189E" w:rsidRDefault="003E189E" w:rsidP="003E189E">
            <w:pPr>
              <w:spacing w:line="240" w:lineRule="auto"/>
              <w:rPr>
                <w:rFonts w:cs="Arial"/>
                <w:b/>
                <w:bCs/>
                <w:color w:val="000000"/>
                <w:sz w:val="18"/>
                <w:szCs w:val="18"/>
                <w:lang w:eastAsia="en-AU"/>
              </w:rPr>
            </w:pPr>
          </w:p>
        </w:tc>
        <w:tc>
          <w:tcPr>
            <w:tcW w:w="1037" w:type="dxa"/>
            <w:vMerge/>
            <w:tcBorders>
              <w:top w:val="single" w:sz="8" w:space="0" w:color="auto"/>
              <w:left w:val="single" w:sz="8" w:space="0" w:color="auto"/>
              <w:bottom w:val="single" w:sz="8" w:space="0" w:color="000000"/>
              <w:right w:val="single" w:sz="8" w:space="0" w:color="auto"/>
            </w:tcBorders>
            <w:vAlign w:val="center"/>
            <w:hideMark/>
          </w:tcPr>
          <w:p w:rsidR="003E189E" w:rsidRPr="003E189E" w:rsidRDefault="003E189E" w:rsidP="003E189E">
            <w:pPr>
              <w:spacing w:line="240" w:lineRule="auto"/>
              <w:rPr>
                <w:rFonts w:cs="Arial"/>
                <w:b/>
                <w:bCs/>
                <w:color w:val="000000"/>
                <w:sz w:val="18"/>
                <w:szCs w:val="18"/>
                <w:lang w:eastAsia="en-AU"/>
              </w:rPr>
            </w:pPr>
          </w:p>
        </w:tc>
        <w:tc>
          <w:tcPr>
            <w:tcW w:w="2527" w:type="dxa"/>
            <w:vMerge/>
            <w:tcBorders>
              <w:top w:val="single" w:sz="8" w:space="0" w:color="auto"/>
              <w:left w:val="single" w:sz="8" w:space="0" w:color="auto"/>
              <w:bottom w:val="single" w:sz="8" w:space="0" w:color="000000"/>
              <w:right w:val="single" w:sz="8" w:space="0" w:color="auto"/>
            </w:tcBorders>
            <w:vAlign w:val="center"/>
            <w:hideMark/>
          </w:tcPr>
          <w:p w:rsidR="003E189E" w:rsidRPr="003E189E" w:rsidRDefault="003E189E" w:rsidP="003E189E">
            <w:pPr>
              <w:spacing w:line="240" w:lineRule="auto"/>
              <w:rPr>
                <w:rFonts w:cs="Arial"/>
                <w:b/>
                <w:bCs/>
                <w:color w:val="000000"/>
                <w:sz w:val="18"/>
                <w:szCs w:val="18"/>
                <w:lang w:eastAsia="en-AU"/>
              </w:rPr>
            </w:pPr>
          </w:p>
        </w:tc>
        <w:tc>
          <w:tcPr>
            <w:tcW w:w="1277" w:type="dxa"/>
            <w:tcBorders>
              <w:top w:val="nil"/>
              <w:left w:val="nil"/>
              <w:bottom w:val="single" w:sz="8" w:space="0" w:color="auto"/>
              <w:right w:val="single" w:sz="8" w:space="0" w:color="auto"/>
            </w:tcBorders>
            <w:shd w:val="clear" w:color="auto" w:fill="auto"/>
            <w:vAlign w:val="center"/>
            <w:hideMark/>
          </w:tcPr>
          <w:p w:rsidR="003E189E" w:rsidRPr="003E189E" w:rsidRDefault="003E189E" w:rsidP="003E189E">
            <w:pPr>
              <w:spacing w:line="240" w:lineRule="auto"/>
              <w:jc w:val="center"/>
              <w:rPr>
                <w:rFonts w:cs="Arial"/>
                <w:b/>
                <w:bCs/>
                <w:color w:val="000000"/>
                <w:sz w:val="18"/>
                <w:szCs w:val="18"/>
                <w:lang w:eastAsia="en-AU"/>
              </w:rPr>
            </w:pPr>
            <w:r w:rsidRPr="003E189E">
              <w:rPr>
                <w:rFonts w:cs="Arial"/>
                <w:b/>
                <w:bCs/>
                <w:color w:val="000000"/>
                <w:sz w:val="18"/>
                <w:szCs w:val="18"/>
                <w:lang w:eastAsia="en-AU"/>
              </w:rPr>
              <w:t>factor</w:t>
            </w:r>
          </w:p>
        </w:tc>
        <w:tc>
          <w:tcPr>
            <w:tcW w:w="1957" w:type="dxa"/>
            <w:vMerge/>
            <w:tcBorders>
              <w:top w:val="single" w:sz="8" w:space="0" w:color="auto"/>
              <w:left w:val="single" w:sz="8" w:space="0" w:color="auto"/>
              <w:bottom w:val="single" w:sz="8" w:space="0" w:color="000000"/>
              <w:right w:val="single" w:sz="8" w:space="0" w:color="auto"/>
            </w:tcBorders>
            <w:vAlign w:val="center"/>
            <w:hideMark/>
          </w:tcPr>
          <w:p w:rsidR="003E189E" w:rsidRPr="003E189E" w:rsidRDefault="003E189E" w:rsidP="003E189E">
            <w:pPr>
              <w:spacing w:line="240" w:lineRule="auto"/>
              <w:rPr>
                <w:rFonts w:cs="Arial"/>
                <w:b/>
                <w:bCs/>
                <w:color w:val="000000"/>
                <w:sz w:val="18"/>
                <w:szCs w:val="18"/>
                <w:lang w:eastAsia="en-AU"/>
              </w:rPr>
            </w:pPr>
          </w:p>
        </w:tc>
      </w:tr>
      <w:tr w:rsidR="003E189E" w:rsidRPr="003E189E" w:rsidTr="003E189E">
        <w:trPr>
          <w:cantSplit/>
          <w:trHeight w:val="765"/>
        </w:trPr>
        <w:tc>
          <w:tcPr>
            <w:tcW w:w="1167" w:type="dxa"/>
            <w:tcBorders>
              <w:top w:val="nil"/>
              <w:left w:val="single" w:sz="8" w:space="0" w:color="auto"/>
              <w:bottom w:val="nil"/>
              <w:right w:val="single" w:sz="8" w:space="0" w:color="auto"/>
            </w:tcBorders>
            <w:shd w:val="clear" w:color="auto" w:fill="auto"/>
            <w:noWrap/>
            <w:vAlign w:val="center"/>
            <w:hideMark/>
          </w:tcPr>
          <w:p w:rsidR="003E189E" w:rsidRPr="003E189E" w:rsidRDefault="003E189E" w:rsidP="003E189E">
            <w:pPr>
              <w:spacing w:line="240" w:lineRule="auto"/>
              <w:rPr>
                <w:rFonts w:cs="Arial"/>
                <w:color w:val="000000"/>
                <w:sz w:val="18"/>
                <w:szCs w:val="18"/>
                <w:lang w:eastAsia="en-AU"/>
              </w:rPr>
            </w:pPr>
            <w:r w:rsidRPr="003E189E">
              <w:rPr>
                <w:rFonts w:cs="Arial"/>
                <w:color w:val="000000"/>
                <w:sz w:val="18"/>
                <w:szCs w:val="18"/>
                <w:lang w:eastAsia="en-AU"/>
              </w:rPr>
              <w:t>Macro-organisms</w:t>
            </w:r>
          </w:p>
        </w:tc>
        <w:tc>
          <w:tcPr>
            <w:tcW w:w="1037" w:type="dxa"/>
            <w:tcBorders>
              <w:top w:val="nil"/>
              <w:left w:val="nil"/>
              <w:bottom w:val="single" w:sz="8" w:space="0" w:color="auto"/>
              <w:right w:val="single" w:sz="8" w:space="0" w:color="auto"/>
            </w:tcBorders>
            <w:shd w:val="clear" w:color="auto" w:fill="auto"/>
            <w:vAlign w:val="center"/>
            <w:hideMark/>
          </w:tcPr>
          <w:p w:rsidR="003E189E" w:rsidRPr="003E189E" w:rsidRDefault="003E189E" w:rsidP="003E189E">
            <w:pPr>
              <w:spacing w:line="240" w:lineRule="auto"/>
              <w:rPr>
                <w:rFonts w:cs="Arial"/>
                <w:color w:val="000000"/>
                <w:sz w:val="18"/>
                <w:szCs w:val="18"/>
                <w:lang w:eastAsia="en-AU"/>
              </w:rPr>
            </w:pPr>
            <w:r w:rsidRPr="003E189E">
              <w:rPr>
                <w:rFonts w:cs="Arial"/>
                <w:color w:val="000000"/>
                <w:sz w:val="18"/>
                <w:szCs w:val="18"/>
                <w:lang w:eastAsia="en-AU"/>
              </w:rPr>
              <w:t>Acute</w:t>
            </w:r>
          </w:p>
        </w:tc>
        <w:tc>
          <w:tcPr>
            <w:tcW w:w="2527" w:type="dxa"/>
            <w:tcBorders>
              <w:top w:val="nil"/>
              <w:left w:val="nil"/>
              <w:bottom w:val="single" w:sz="8" w:space="0" w:color="auto"/>
              <w:right w:val="single" w:sz="8" w:space="0" w:color="auto"/>
            </w:tcBorders>
            <w:shd w:val="clear" w:color="auto" w:fill="auto"/>
            <w:vAlign w:val="center"/>
            <w:hideMark/>
          </w:tcPr>
          <w:p w:rsidR="003E189E" w:rsidRPr="003E189E" w:rsidRDefault="003E189E" w:rsidP="003E189E">
            <w:pPr>
              <w:spacing w:line="240" w:lineRule="auto"/>
              <w:jc w:val="right"/>
              <w:rPr>
                <w:rFonts w:cs="Arial"/>
                <w:color w:val="000000"/>
                <w:sz w:val="18"/>
                <w:szCs w:val="18"/>
                <w:lang w:eastAsia="en-AU"/>
              </w:rPr>
            </w:pPr>
            <w:r w:rsidRPr="003E189E">
              <w:rPr>
                <w:rFonts w:cs="Arial"/>
                <w:color w:val="000000"/>
                <w:sz w:val="18"/>
                <w:szCs w:val="18"/>
                <w:lang w:eastAsia="en-AU"/>
              </w:rPr>
              <w:t>LC</w:t>
            </w:r>
            <w:r w:rsidRPr="003E189E">
              <w:rPr>
                <w:rFonts w:cs="Arial"/>
                <w:color w:val="000000"/>
                <w:sz w:val="18"/>
                <w:szCs w:val="18"/>
                <w:vertAlign w:val="subscript"/>
                <w:lang w:eastAsia="en-AU"/>
              </w:rPr>
              <w:t>50</w:t>
            </w:r>
            <w:r w:rsidRPr="003E189E">
              <w:rPr>
                <w:rFonts w:cs="Arial"/>
                <w:color w:val="000000"/>
                <w:sz w:val="18"/>
                <w:szCs w:val="18"/>
                <w:lang w:eastAsia="en-AU"/>
              </w:rPr>
              <w:t xml:space="preserve"> XX mg ac/kg dry soil</w:t>
            </w:r>
          </w:p>
        </w:tc>
        <w:tc>
          <w:tcPr>
            <w:tcW w:w="1277" w:type="dxa"/>
            <w:tcBorders>
              <w:top w:val="nil"/>
              <w:left w:val="nil"/>
              <w:bottom w:val="single" w:sz="8" w:space="0" w:color="auto"/>
              <w:right w:val="single" w:sz="8" w:space="0" w:color="auto"/>
            </w:tcBorders>
            <w:shd w:val="clear" w:color="auto" w:fill="auto"/>
            <w:vAlign w:val="center"/>
            <w:hideMark/>
          </w:tcPr>
          <w:p w:rsidR="003E189E" w:rsidRPr="003E189E" w:rsidRDefault="003E189E" w:rsidP="003E189E">
            <w:pPr>
              <w:spacing w:line="240" w:lineRule="auto"/>
              <w:jc w:val="center"/>
              <w:rPr>
                <w:rFonts w:cs="Arial"/>
                <w:color w:val="000000"/>
                <w:sz w:val="18"/>
                <w:szCs w:val="18"/>
                <w:lang w:eastAsia="en-AU"/>
              </w:rPr>
            </w:pPr>
            <w:r w:rsidRPr="003E189E">
              <w:rPr>
                <w:rFonts w:cs="Arial"/>
                <w:color w:val="000000"/>
                <w:sz w:val="18"/>
                <w:szCs w:val="18"/>
                <w:lang w:eastAsia="en-AU"/>
              </w:rPr>
              <w:t>10</w:t>
            </w:r>
          </w:p>
        </w:tc>
        <w:tc>
          <w:tcPr>
            <w:tcW w:w="1957" w:type="dxa"/>
            <w:tcBorders>
              <w:top w:val="nil"/>
              <w:left w:val="nil"/>
              <w:bottom w:val="single" w:sz="8" w:space="0" w:color="auto"/>
              <w:right w:val="single" w:sz="8" w:space="0" w:color="auto"/>
            </w:tcBorders>
            <w:shd w:val="clear" w:color="auto" w:fill="auto"/>
            <w:vAlign w:val="center"/>
            <w:hideMark/>
          </w:tcPr>
          <w:p w:rsidR="003E189E" w:rsidRPr="003E189E" w:rsidRDefault="003E189E" w:rsidP="003E189E">
            <w:pPr>
              <w:spacing w:line="240" w:lineRule="auto"/>
              <w:jc w:val="right"/>
              <w:rPr>
                <w:rFonts w:cs="Arial"/>
                <w:color w:val="000000"/>
                <w:sz w:val="18"/>
                <w:szCs w:val="18"/>
                <w:lang w:eastAsia="en-AU"/>
              </w:rPr>
            </w:pPr>
            <w:r w:rsidRPr="003E189E">
              <w:rPr>
                <w:rFonts w:cs="Arial"/>
                <w:color w:val="000000"/>
                <w:sz w:val="18"/>
                <w:szCs w:val="18"/>
                <w:lang w:eastAsia="en-AU"/>
              </w:rPr>
              <w:t>XX mg ac/kg dry soil</w:t>
            </w:r>
          </w:p>
        </w:tc>
      </w:tr>
      <w:tr w:rsidR="003E189E" w:rsidRPr="003E189E" w:rsidTr="003E189E">
        <w:trPr>
          <w:cantSplit/>
          <w:trHeight w:val="735"/>
        </w:trPr>
        <w:tc>
          <w:tcPr>
            <w:tcW w:w="1167" w:type="dxa"/>
            <w:tcBorders>
              <w:top w:val="nil"/>
              <w:left w:val="single" w:sz="8" w:space="0" w:color="auto"/>
              <w:bottom w:val="single" w:sz="8" w:space="0" w:color="auto"/>
              <w:right w:val="single" w:sz="8" w:space="0" w:color="auto"/>
            </w:tcBorders>
            <w:shd w:val="clear" w:color="auto" w:fill="auto"/>
            <w:noWrap/>
            <w:vAlign w:val="center"/>
            <w:hideMark/>
          </w:tcPr>
          <w:p w:rsidR="003E189E" w:rsidRPr="003E189E" w:rsidRDefault="003E189E" w:rsidP="003E189E">
            <w:pPr>
              <w:spacing w:line="240" w:lineRule="auto"/>
              <w:rPr>
                <w:rFonts w:cs="Arial"/>
                <w:color w:val="000000"/>
                <w:sz w:val="18"/>
                <w:szCs w:val="18"/>
                <w:lang w:eastAsia="en-AU"/>
              </w:rPr>
            </w:pPr>
            <w:r w:rsidRPr="003E189E">
              <w:rPr>
                <w:rFonts w:cs="Arial"/>
                <w:color w:val="000000"/>
                <w:sz w:val="18"/>
                <w:szCs w:val="18"/>
                <w:lang w:eastAsia="en-AU"/>
              </w:rPr>
              <w:t> </w:t>
            </w:r>
          </w:p>
        </w:tc>
        <w:tc>
          <w:tcPr>
            <w:tcW w:w="1037" w:type="dxa"/>
            <w:tcBorders>
              <w:top w:val="nil"/>
              <w:left w:val="nil"/>
              <w:bottom w:val="single" w:sz="8" w:space="0" w:color="auto"/>
              <w:right w:val="single" w:sz="8" w:space="0" w:color="auto"/>
            </w:tcBorders>
            <w:shd w:val="clear" w:color="auto" w:fill="auto"/>
            <w:vAlign w:val="center"/>
            <w:hideMark/>
          </w:tcPr>
          <w:p w:rsidR="003E189E" w:rsidRPr="003E189E" w:rsidRDefault="003E189E" w:rsidP="003E189E">
            <w:pPr>
              <w:spacing w:line="240" w:lineRule="auto"/>
              <w:rPr>
                <w:rFonts w:cs="Arial"/>
                <w:color w:val="000000"/>
                <w:sz w:val="18"/>
                <w:szCs w:val="18"/>
                <w:lang w:eastAsia="en-AU"/>
              </w:rPr>
            </w:pPr>
            <w:r w:rsidRPr="003E189E">
              <w:rPr>
                <w:rFonts w:cs="Arial"/>
                <w:color w:val="000000"/>
                <w:sz w:val="18"/>
                <w:szCs w:val="18"/>
                <w:lang w:eastAsia="en-AU"/>
              </w:rPr>
              <w:t>Chronic</w:t>
            </w:r>
          </w:p>
        </w:tc>
        <w:tc>
          <w:tcPr>
            <w:tcW w:w="2527" w:type="dxa"/>
            <w:tcBorders>
              <w:top w:val="nil"/>
              <w:left w:val="nil"/>
              <w:bottom w:val="single" w:sz="8" w:space="0" w:color="auto"/>
              <w:right w:val="single" w:sz="8" w:space="0" w:color="auto"/>
            </w:tcBorders>
            <w:shd w:val="clear" w:color="auto" w:fill="auto"/>
            <w:vAlign w:val="center"/>
            <w:hideMark/>
          </w:tcPr>
          <w:p w:rsidR="003E189E" w:rsidRPr="003E189E" w:rsidRDefault="003E189E" w:rsidP="003E189E">
            <w:pPr>
              <w:spacing w:line="240" w:lineRule="auto"/>
              <w:jc w:val="right"/>
              <w:rPr>
                <w:rFonts w:cs="Arial"/>
                <w:color w:val="000000"/>
                <w:sz w:val="18"/>
                <w:szCs w:val="18"/>
                <w:lang w:eastAsia="en-AU"/>
              </w:rPr>
            </w:pPr>
            <w:r w:rsidRPr="003E189E">
              <w:rPr>
                <w:rFonts w:cs="Arial"/>
                <w:color w:val="000000"/>
                <w:sz w:val="18"/>
                <w:szCs w:val="18"/>
                <w:lang w:eastAsia="en-AU"/>
              </w:rPr>
              <w:t>NOEC XX mg ac/kg dry soil</w:t>
            </w:r>
          </w:p>
        </w:tc>
        <w:tc>
          <w:tcPr>
            <w:tcW w:w="1277" w:type="dxa"/>
            <w:tcBorders>
              <w:top w:val="nil"/>
              <w:left w:val="nil"/>
              <w:bottom w:val="single" w:sz="8" w:space="0" w:color="auto"/>
              <w:right w:val="single" w:sz="8" w:space="0" w:color="auto"/>
            </w:tcBorders>
            <w:shd w:val="clear" w:color="auto" w:fill="auto"/>
            <w:vAlign w:val="center"/>
            <w:hideMark/>
          </w:tcPr>
          <w:p w:rsidR="003E189E" w:rsidRPr="003E189E" w:rsidRDefault="003E189E" w:rsidP="003E189E">
            <w:pPr>
              <w:spacing w:line="240" w:lineRule="auto"/>
              <w:jc w:val="center"/>
              <w:rPr>
                <w:rFonts w:cs="Arial"/>
                <w:color w:val="000000"/>
                <w:sz w:val="18"/>
                <w:szCs w:val="18"/>
                <w:lang w:eastAsia="en-AU"/>
              </w:rPr>
            </w:pPr>
            <w:r w:rsidRPr="003E189E">
              <w:rPr>
                <w:rFonts w:cs="Arial"/>
                <w:color w:val="000000"/>
                <w:sz w:val="18"/>
                <w:szCs w:val="18"/>
                <w:lang w:eastAsia="en-AU"/>
              </w:rPr>
              <w:t>1</w:t>
            </w:r>
          </w:p>
        </w:tc>
        <w:tc>
          <w:tcPr>
            <w:tcW w:w="1957" w:type="dxa"/>
            <w:tcBorders>
              <w:top w:val="nil"/>
              <w:left w:val="nil"/>
              <w:bottom w:val="single" w:sz="8" w:space="0" w:color="auto"/>
              <w:right w:val="single" w:sz="8" w:space="0" w:color="auto"/>
            </w:tcBorders>
            <w:shd w:val="clear" w:color="auto" w:fill="auto"/>
            <w:vAlign w:val="center"/>
            <w:hideMark/>
          </w:tcPr>
          <w:p w:rsidR="003E189E" w:rsidRPr="003E189E" w:rsidRDefault="003E189E" w:rsidP="003E189E">
            <w:pPr>
              <w:spacing w:line="240" w:lineRule="auto"/>
              <w:jc w:val="right"/>
              <w:rPr>
                <w:rFonts w:cs="Arial"/>
                <w:color w:val="000000"/>
                <w:sz w:val="18"/>
                <w:szCs w:val="18"/>
                <w:lang w:eastAsia="en-AU"/>
              </w:rPr>
            </w:pPr>
            <w:r w:rsidRPr="003E189E">
              <w:rPr>
                <w:rFonts w:cs="Arial"/>
                <w:color w:val="000000"/>
                <w:sz w:val="18"/>
                <w:szCs w:val="18"/>
                <w:lang w:eastAsia="en-AU"/>
              </w:rPr>
              <w:t>XX mg ac/kg dry soil</w:t>
            </w:r>
          </w:p>
        </w:tc>
      </w:tr>
      <w:tr w:rsidR="003E189E" w:rsidRPr="003E189E" w:rsidTr="003E189E">
        <w:trPr>
          <w:cantSplit/>
          <w:trHeight w:val="735"/>
        </w:trPr>
        <w:tc>
          <w:tcPr>
            <w:tcW w:w="1167" w:type="dxa"/>
            <w:tcBorders>
              <w:top w:val="nil"/>
              <w:left w:val="single" w:sz="8" w:space="0" w:color="auto"/>
              <w:bottom w:val="single" w:sz="8" w:space="0" w:color="auto"/>
              <w:right w:val="single" w:sz="8" w:space="0" w:color="auto"/>
            </w:tcBorders>
            <w:shd w:val="clear" w:color="auto" w:fill="auto"/>
            <w:noWrap/>
            <w:vAlign w:val="center"/>
            <w:hideMark/>
          </w:tcPr>
          <w:p w:rsidR="003E189E" w:rsidRPr="003E189E" w:rsidRDefault="003E189E" w:rsidP="003E189E">
            <w:pPr>
              <w:spacing w:line="240" w:lineRule="auto"/>
              <w:rPr>
                <w:rFonts w:cs="Arial"/>
                <w:color w:val="000000"/>
                <w:sz w:val="18"/>
                <w:szCs w:val="18"/>
                <w:lang w:eastAsia="en-AU"/>
              </w:rPr>
            </w:pPr>
            <w:r w:rsidRPr="003E189E">
              <w:rPr>
                <w:rFonts w:cs="Arial"/>
                <w:color w:val="000000"/>
                <w:sz w:val="18"/>
                <w:szCs w:val="18"/>
                <w:lang w:eastAsia="en-AU"/>
              </w:rPr>
              <w:t>Micro-organisms</w:t>
            </w:r>
          </w:p>
        </w:tc>
        <w:tc>
          <w:tcPr>
            <w:tcW w:w="1037" w:type="dxa"/>
            <w:tcBorders>
              <w:top w:val="nil"/>
              <w:left w:val="nil"/>
              <w:bottom w:val="single" w:sz="8" w:space="0" w:color="auto"/>
              <w:right w:val="single" w:sz="8" w:space="0" w:color="auto"/>
            </w:tcBorders>
            <w:shd w:val="clear" w:color="auto" w:fill="auto"/>
            <w:vAlign w:val="center"/>
            <w:hideMark/>
          </w:tcPr>
          <w:p w:rsidR="003E189E" w:rsidRPr="003E189E" w:rsidRDefault="003E189E" w:rsidP="003E189E">
            <w:pPr>
              <w:spacing w:line="240" w:lineRule="auto"/>
              <w:rPr>
                <w:rFonts w:cs="Arial"/>
                <w:color w:val="000000"/>
                <w:sz w:val="18"/>
                <w:szCs w:val="18"/>
                <w:lang w:eastAsia="en-AU"/>
              </w:rPr>
            </w:pPr>
            <w:r w:rsidRPr="003E189E">
              <w:rPr>
                <w:rFonts w:cs="Arial"/>
                <w:color w:val="000000"/>
                <w:sz w:val="18"/>
                <w:szCs w:val="18"/>
                <w:lang w:eastAsia="en-AU"/>
              </w:rPr>
              <w:t>Chronic</w:t>
            </w:r>
          </w:p>
        </w:tc>
        <w:tc>
          <w:tcPr>
            <w:tcW w:w="2527" w:type="dxa"/>
            <w:tcBorders>
              <w:top w:val="nil"/>
              <w:left w:val="nil"/>
              <w:bottom w:val="single" w:sz="8" w:space="0" w:color="auto"/>
              <w:right w:val="single" w:sz="8" w:space="0" w:color="auto"/>
            </w:tcBorders>
            <w:shd w:val="clear" w:color="auto" w:fill="auto"/>
            <w:vAlign w:val="center"/>
            <w:hideMark/>
          </w:tcPr>
          <w:p w:rsidR="003E189E" w:rsidRPr="003E189E" w:rsidRDefault="003E189E" w:rsidP="003E189E">
            <w:pPr>
              <w:spacing w:line="240" w:lineRule="auto"/>
              <w:jc w:val="right"/>
              <w:rPr>
                <w:rFonts w:cs="Arial"/>
                <w:color w:val="000000"/>
                <w:sz w:val="18"/>
                <w:szCs w:val="18"/>
                <w:lang w:eastAsia="en-AU"/>
              </w:rPr>
            </w:pPr>
            <w:r w:rsidRPr="003E189E">
              <w:rPr>
                <w:rFonts w:cs="Arial"/>
                <w:color w:val="000000"/>
                <w:sz w:val="18"/>
                <w:szCs w:val="18"/>
                <w:lang w:eastAsia="en-AU"/>
              </w:rPr>
              <w:t>NOEC XX mg ac/kg dry soil</w:t>
            </w:r>
          </w:p>
        </w:tc>
        <w:tc>
          <w:tcPr>
            <w:tcW w:w="1277" w:type="dxa"/>
            <w:tcBorders>
              <w:top w:val="nil"/>
              <w:left w:val="nil"/>
              <w:bottom w:val="single" w:sz="8" w:space="0" w:color="auto"/>
              <w:right w:val="single" w:sz="8" w:space="0" w:color="auto"/>
            </w:tcBorders>
            <w:shd w:val="clear" w:color="auto" w:fill="auto"/>
            <w:vAlign w:val="center"/>
            <w:hideMark/>
          </w:tcPr>
          <w:p w:rsidR="003E189E" w:rsidRPr="003E189E" w:rsidRDefault="003E189E" w:rsidP="003E189E">
            <w:pPr>
              <w:spacing w:line="240" w:lineRule="auto"/>
              <w:jc w:val="center"/>
              <w:rPr>
                <w:rFonts w:cs="Arial"/>
                <w:color w:val="000000"/>
                <w:sz w:val="18"/>
                <w:szCs w:val="18"/>
                <w:lang w:eastAsia="en-AU"/>
              </w:rPr>
            </w:pPr>
            <w:r w:rsidRPr="003E189E">
              <w:rPr>
                <w:rFonts w:cs="Arial"/>
                <w:color w:val="000000"/>
                <w:sz w:val="18"/>
                <w:szCs w:val="18"/>
                <w:lang w:eastAsia="en-AU"/>
              </w:rPr>
              <w:t>1</w:t>
            </w:r>
          </w:p>
        </w:tc>
        <w:tc>
          <w:tcPr>
            <w:tcW w:w="1957" w:type="dxa"/>
            <w:tcBorders>
              <w:top w:val="nil"/>
              <w:left w:val="nil"/>
              <w:bottom w:val="single" w:sz="8" w:space="0" w:color="auto"/>
              <w:right w:val="single" w:sz="8" w:space="0" w:color="auto"/>
            </w:tcBorders>
            <w:shd w:val="clear" w:color="auto" w:fill="auto"/>
            <w:vAlign w:val="center"/>
            <w:hideMark/>
          </w:tcPr>
          <w:p w:rsidR="003E189E" w:rsidRPr="003E189E" w:rsidRDefault="003E189E" w:rsidP="003E189E">
            <w:pPr>
              <w:spacing w:line="240" w:lineRule="auto"/>
              <w:jc w:val="right"/>
              <w:rPr>
                <w:rFonts w:cs="Arial"/>
                <w:color w:val="000000"/>
                <w:sz w:val="18"/>
                <w:szCs w:val="18"/>
                <w:lang w:eastAsia="en-AU"/>
              </w:rPr>
            </w:pPr>
            <w:r w:rsidRPr="003E189E">
              <w:rPr>
                <w:rFonts w:cs="Arial"/>
                <w:color w:val="000000"/>
                <w:sz w:val="18"/>
                <w:szCs w:val="18"/>
                <w:lang w:eastAsia="en-AU"/>
              </w:rPr>
              <w:t>XX mg ac/kg dry soil</w:t>
            </w:r>
          </w:p>
        </w:tc>
      </w:tr>
    </w:tbl>
    <w:p w:rsidR="00E44270" w:rsidRPr="00DA0055" w:rsidRDefault="00E44270" w:rsidP="00E44270">
      <w:pPr>
        <w:pStyle w:val="BodyText"/>
        <w:rPr>
          <w:sz w:val="18"/>
          <w:szCs w:val="18"/>
        </w:rPr>
      </w:pPr>
      <w:r w:rsidRPr="00990397">
        <w:rPr>
          <w:sz w:val="18"/>
          <w:szCs w:val="18"/>
        </w:rPr>
        <w:t xml:space="preserve">RAC = </w:t>
      </w:r>
      <w:r>
        <w:rPr>
          <w:sz w:val="18"/>
          <w:szCs w:val="18"/>
        </w:rPr>
        <w:t>r</w:t>
      </w:r>
      <w:r w:rsidRPr="00990397">
        <w:rPr>
          <w:sz w:val="18"/>
          <w:szCs w:val="18"/>
        </w:rPr>
        <w:t xml:space="preserve">egulatory </w:t>
      </w:r>
      <w:r>
        <w:rPr>
          <w:sz w:val="18"/>
          <w:szCs w:val="18"/>
        </w:rPr>
        <w:t>a</w:t>
      </w:r>
      <w:r w:rsidRPr="00990397">
        <w:rPr>
          <w:sz w:val="18"/>
          <w:szCs w:val="18"/>
        </w:rPr>
        <w:t xml:space="preserve">cceptable concentration = endpoint / assessment factor </w:t>
      </w:r>
    </w:p>
    <w:p w:rsidR="008B68EB" w:rsidRPr="008B68EB" w:rsidRDefault="008B68EB" w:rsidP="008B68EB">
      <w:pPr>
        <w:pStyle w:val="Caption"/>
      </w:pPr>
      <w:bookmarkStart w:id="220" w:name="_Ref522027874"/>
      <w:r w:rsidRPr="009A4CFC">
        <w:t xml:space="preserve">Table </w:t>
      </w:r>
      <w:r w:rsidR="00EA08EB">
        <w:rPr>
          <w:noProof/>
        </w:rPr>
        <w:fldChar w:fldCharType="begin"/>
      </w:r>
      <w:r w:rsidR="00EA08EB">
        <w:rPr>
          <w:noProof/>
        </w:rPr>
        <w:instrText xml:space="preserve"> SEQ Table \* ARABIC </w:instrText>
      </w:r>
      <w:r w:rsidR="00EA08EB">
        <w:rPr>
          <w:noProof/>
        </w:rPr>
        <w:fldChar w:fldCharType="separate"/>
      </w:r>
      <w:r w:rsidR="00225D67">
        <w:rPr>
          <w:noProof/>
        </w:rPr>
        <w:t>19</w:t>
      </w:r>
      <w:r w:rsidR="00EA08EB">
        <w:rPr>
          <w:noProof/>
        </w:rPr>
        <w:fldChar w:fldCharType="end"/>
      </w:r>
      <w:bookmarkEnd w:id="220"/>
      <w:r w:rsidRPr="009A4CFC">
        <w:t xml:space="preserve"> - </w:t>
      </w:r>
      <w:r w:rsidRPr="008B68EB">
        <w:t xml:space="preserve">Screening level assessment of risks to soil organisms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925"/>
        <w:gridCol w:w="1195"/>
        <w:gridCol w:w="1885"/>
        <w:gridCol w:w="2179"/>
        <w:gridCol w:w="1953"/>
        <w:gridCol w:w="491"/>
      </w:tblGrid>
      <w:tr w:rsidR="00E44270" w:rsidRPr="00990397" w:rsidTr="00B76694">
        <w:trPr>
          <w:cantSplit/>
        </w:trPr>
        <w:tc>
          <w:tcPr>
            <w:tcW w:w="0" w:type="auto"/>
            <w:tcBorders>
              <w:bottom w:val="single" w:sz="4" w:space="0" w:color="auto"/>
            </w:tcBorders>
            <w:shd w:val="clear" w:color="auto" w:fill="auto"/>
            <w:noWrap/>
            <w:hideMark/>
          </w:tcPr>
          <w:p w:rsidR="00E44270" w:rsidRPr="00990397" w:rsidRDefault="00E44270" w:rsidP="00B76694">
            <w:pPr>
              <w:widowControl w:val="0"/>
              <w:jc w:val="center"/>
              <w:rPr>
                <w:b/>
                <w:sz w:val="18"/>
                <w:szCs w:val="18"/>
                <w:lang w:eastAsia="en-AU"/>
              </w:rPr>
            </w:pPr>
            <w:r w:rsidRPr="00990397">
              <w:rPr>
                <w:b/>
                <w:sz w:val="18"/>
                <w:szCs w:val="18"/>
              </w:rPr>
              <w:t>Test organism</w:t>
            </w:r>
          </w:p>
        </w:tc>
        <w:tc>
          <w:tcPr>
            <w:tcW w:w="0" w:type="auto"/>
          </w:tcPr>
          <w:p w:rsidR="00E44270" w:rsidRPr="00990397" w:rsidRDefault="00E44270" w:rsidP="00B76694">
            <w:pPr>
              <w:widowControl w:val="0"/>
              <w:jc w:val="center"/>
              <w:rPr>
                <w:b/>
                <w:sz w:val="18"/>
                <w:szCs w:val="18"/>
              </w:rPr>
            </w:pPr>
            <w:r w:rsidRPr="00990397">
              <w:rPr>
                <w:b/>
                <w:sz w:val="18"/>
                <w:szCs w:val="18"/>
              </w:rPr>
              <w:t>Exposure</w:t>
            </w:r>
          </w:p>
        </w:tc>
        <w:tc>
          <w:tcPr>
            <w:tcW w:w="0" w:type="auto"/>
          </w:tcPr>
          <w:p w:rsidR="00E44270" w:rsidRDefault="00E44270" w:rsidP="00B76694">
            <w:pPr>
              <w:widowControl w:val="0"/>
              <w:jc w:val="center"/>
              <w:rPr>
                <w:b/>
                <w:sz w:val="18"/>
                <w:szCs w:val="18"/>
              </w:rPr>
            </w:pPr>
            <w:r>
              <w:rPr>
                <w:b/>
                <w:sz w:val="18"/>
                <w:szCs w:val="18"/>
              </w:rPr>
              <w:t>Application rate</w:t>
            </w:r>
          </w:p>
          <w:p w:rsidR="00E44270" w:rsidRPr="00990397" w:rsidRDefault="00E44270" w:rsidP="00B76694">
            <w:pPr>
              <w:widowControl w:val="0"/>
              <w:jc w:val="center"/>
              <w:rPr>
                <w:b/>
                <w:sz w:val="18"/>
                <w:szCs w:val="18"/>
              </w:rPr>
            </w:pPr>
            <w:r>
              <w:rPr>
                <w:b/>
                <w:sz w:val="18"/>
                <w:szCs w:val="18"/>
              </w:rPr>
              <w:t>(g ac/ha)</w:t>
            </w:r>
          </w:p>
        </w:tc>
        <w:tc>
          <w:tcPr>
            <w:tcW w:w="0" w:type="auto"/>
          </w:tcPr>
          <w:p w:rsidR="00E44270" w:rsidRDefault="00E44270" w:rsidP="00B76694">
            <w:pPr>
              <w:widowControl w:val="0"/>
              <w:jc w:val="center"/>
              <w:rPr>
                <w:b/>
                <w:sz w:val="18"/>
                <w:szCs w:val="18"/>
              </w:rPr>
            </w:pPr>
            <w:r>
              <w:rPr>
                <w:b/>
                <w:sz w:val="18"/>
                <w:szCs w:val="18"/>
              </w:rPr>
              <w:t>PEC</w:t>
            </w:r>
          </w:p>
          <w:p w:rsidR="00E44270" w:rsidRPr="00990397" w:rsidRDefault="00E44270" w:rsidP="00B76694">
            <w:pPr>
              <w:widowControl w:val="0"/>
              <w:jc w:val="center"/>
              <w:rPr>
                <w:b/>
                <w:sz w:val="18"/>
                <w:szCs w:val="18"/>
              </w:rPr>
            </w:pPr>
            <w:r>
              <w:rPr>
                <w:b/>
                <w:sz w:val="18"/>
                <w:szCs w:val="18"/>
              </w:rPr>
              <w:t>(mg ac/kg dry soil)</w:t>
            </w:r>
          </w:p>
        </w:tc>
        <w:tc>
          <w:tcPr>
            <w:tcW w:w="0" w:type="auto"/>
          </w:tcPr>
          <w:p w:rsidR="00E44270" w:rsidRPr="00990397" w:rsidRDefault="00E44270" w:rsidP="00B76694">
            <w:pPr>
              <w:widowControl w:val="0"/>
              <w:jc w:val="center"/>
              <w:rPr>
                <w:b/>
                <w:sz w:val="18"/>
                <w:szCs w:val="18"/>
              </w:rPr>
            </w:pPr>
            <w:r w:rsidRPr="00990397">
              <w:rPr>
                <w:b/>
                <w:sz w:val="18"/>
                <w:szCs w:val="18"/>
              </w:rPr>
              <w:t>RAC</w:t>
            </w:r>
          </w:p>
          <w:p w:rsidR="00E44270" w:rsidRPr="00990397" w:rsidRDefault="00E44270" w:rsidP="00B76694">
            <w:pPr>
              <w:widowControl w:val="0"/>
              <w:jc w:val="center"/>
              <w:rPr>
                <w:b/>
                <w:sz w:val="18"/>
                <w:szCs w:val="18"/>
              </w:rPr>
            </w:pPr>
            <w:r w:rsidRPr="00E21ACC">
              <w:rPr>
                <w:b/>
                <w:sz w:val="16"/>
                <w:szCs w:val="18"/>
              </w:rPr>
              <w:t>(mg ac/kg dry soil)</w:t>
            </w:r>
          </w:p>
        </w:tc>
        <w:tc>
          <w:tcPr>
            <w:tcW w:w="0" w:type="auto"/>
            <w:shd w:val="clear" w:color="auto" w:fill="auto"/>
            <w:noWrap/>
            <w:hideMark/>
          </w:tcPr>
          <w:p w:rsidR="00E44270" w:rsidRPr="00990397" w:rsidRDefault="00E44270" w:rsidP="00B76694">
            <w:pPr>
              <w:widowControl w:val="0"/>
              <w:jc w:val="center"/>
              <w:rPr>
                <w:b/>
                <w:sz w:val="18"/>
                <w:szCs w:val="18"/>
              </w:rPr>
            </w:pPr>
            <w:r w:rsidRPr="00990397">
              <w:rPr>
                <w:b/>
                <w:sz w:val="18"/>
                <w:szCs w:val="18"/>
              </w:rPr>
              <w:t>RQ</w:t>
            </w:r>
          </w:p>
        </w:tc>
      </w:tr>
      <w:tr w:rsidR="00E44270" w:rsidRPr="00990397" w:rsidTr="00B76694">
        <w:trPr>
          <w:cantSplit/>
        </w:trPr>
        <w:tc>
          <w:tcPr>
            <w:tcW w:w="0" w:type="auto"/>
            <w:tcBorders>
              <w:bottom w:val="nil"/>
            </w:tcBorders>
            <w:shd w:val="clear" w:color="auto" w:fill="auto"/>
            <w:noWrap/>
          </w:tcPr>
          <w:p w:rsidR="00E44270" w:rsidRPr="009C1AB3" w:rsidRDefault="00E44270" w:rsidP="00B76694">
            <w:pPr>
              <w:widowControl w:val="0"/>
              <w:rPr>
                <w:sz w:val="18"/>
                <w:szCs w:val="18"/>
              </w:rPr>
            </w:pPr>
            <w:r w:rsidRPr="009C1AB3">
              <w:rPr>
                <w:sz w:val="18"/>
                <w:szCs w:val="18"/>
              </w:rPr>
              <w:t>Macro-organisms</w:t>
            </w:r>
          </w:p>
        </w:tc>
        <w:tc>
          <w:tcPr>
            <w:tcW w:w="0" w:type="auto"/>
          </w:tcPr>
          <w:p w:rsidR="00E44270" w:rsidRPr="00990397" w:rsidRDefault="00E44270" w:rsidP="00B76694">
            <w:pPr>
              <w:widowControl w:val="0"/>
              <w:rPr>
                <w:sz w:val="18"/>
                <w:szCs w:val="18"/>
              </w:rPr>
            </w:pPr>
            <w:r w:rsidRPr="00990397">
              <w:rPr>
                <w:sz w:val="18"/>
                <w:szCs w:val="18"/>
              </w:rPr>
              <w:t>Acute</w:t>
            </w:r>
          </w:p>
        </w:tc>
        <w:tc>
          <w:tcPr>
            <w:tcW w:w="0" w:type="auto"/>
          </w:tcPr>
          <w:p w:rsidR="00E44270" w:rsidRPr="009C1AB3" w:rsidRDefault="00E44270" w:rsidP="00B76694">
            <w:pPr>
              <w:widowControl w:val="0"/>
              <w:jc w:val="center"/>
              <w:rPr>
                <w:sz w:val="18"/>
                <w:szCs w:val="18"/>
              </w:rPr>
            </w:pPr>
          </w:p>
        </w:tc>
        <w:tc>
          <w:tcPr>
            <w:tcW w:w="0" w:type="auto"/>
          </w:tcPr>
          <w:p w:rsidR="00E44270" w:rsidRPr="009C1AB3" w:rsidRDefault="00E44270" w:rsidP="00B76694">
            <w:pPr>
              <w:widowControl w:val="0"/>
              <w:jc w:val="center"/>
              <w:rPr>
                <w:sz w:val="18"/>
                <w:szCs w:val="18"/>
              </w:rPr>
            </w:pPr>
          </w:p>
        </w:tc>
        <w:tc>
          <w:tcPr>
            <w:tcW w:w="0" w:type="auto"/>
          </w:tcPr>
          <w:p w:rsidR="00E44270" w:rsidRPr="009C1AB3" w:rsidRDefault="00E44270" w:rsidP="00B76694">
            <w:pPr>
              <w:widowControl w:val="0"/>
              <w:jc w:val="center"/>
              <w:rPr>
                <w:sz w:val="18"/>
                <w:szCs w:val="18"/>
              </w:rPr>
            </w:pPr>
          </w:p>
        </w:tc>
        <w:tc>
          <w:tcPr>
            <w:tcW w:w="0" w:type="auto"/>
            <w:shd w:val="clear" w:color="auto" w:fill="auto"/>
          </w:tcPr>
          <w:p w:rsidR="00E44270" w:rsidRPr="009C1AB3" w:rsidRDefault="00E44270" w:rsidP="00B76694">
            <w:pPr>
              <w:widowControl w:val="0"/>
              <w:rPr>
                <w:sz w:val="18"/>
                <w:szCs w:val="18"/>
              </w:rPr>
            </w:pPr>
          </w:p>
        </w:tc>
      </w:tr>
      <w:tr w:rsidR="00E44270" w:rsidRPr="00990397" w:rsidTr="00B76694">
        <w:trPr>
          <w:cantSplit/>
        </w:trPr>
        <w:tc>
          <w:tcPr>
            <w:tcW w:w="0" w:type="auto"/>
            <w:tcBorders>
              <w:top w:val="nil"/>
            </w:tcBorders>
            <w:shd w:val="clear" w:color="auto" w:fill="auto"/>
            <w:noWrap/>
          </w:tcPr>
          <w:p w:rsidR="00E44270" w:rsidRPr="009C1AB3" w:rsidRDefault="00E44270" w:rsidP="00B76694">
            <w:pPr>
              <w:widowControl w:val="0"/>
              <w:rPr>
                <w:sz w:val="18"/>
                <w:szCs w:val="18"/>
              </w:rPr>
            </w:pPr>
          </w:p>
        </w:tc>
        <w:tc>
          <w:tcPr>
            <w:tcW w:w="0" w:type="auto"/>
          </w:tcPr>
          <w:p w:rsidR="00E44270" w:rsidRPr="00990397" w:rsidRDefault="00E44270" w:rsidP="00B76694">
            <w:pPr>
              <w:widowControl w:val="0"/>
              <w:rPr>
                <w:sz w:val="18"/>
                <w:szCs w:val="18"/>
              </w:rPr>
            </w:pPr>
            <w:r w:rsidRPr="00990397">
              <w:rPr>
                <w:sz w:val="18"/>
                <w:szCs w:val="18"/>
              </w:rPr>
              <w:t>Chronic</w:t>
            </w:r>
          </w:p>
        </w:tc>
        <w:tc>
          <w:tcPr>
            <w:tcW w:w="0" w:type="auto"/>
          </w:tcPr>
          <w:p w:rsidR="00E44270" w:rsidRPr="009C1AB3" w:rsidRDefault="00E44270" w:rsidP="00B76694">
            <w:pPr>
              <w:widowControl w:val="0"/>
              <w:jc w:val="center"/>
              <w:rPr>
                <w:sz w:val="18"/>
                <w:szCs w:val="18"/>
              </w:rPr>
            </w:pPr>
          </w:p>
        </w:tc>
        <w:tc>
          <w:tcPr>
            <w:tcW w:w="0" w:type="auto"/>
          </w:tcPr>
          <w:p w:rsidR="00E44270" w:rsidRPr="009C1AB3" w:rsidRDefault="00E44270" w:rsidP="00B76694">
            <w:pPr>
              <w:widowControl w:val="0"/>
              <w:jc w:val="center"/>
              <w:rPr>
                <w:sz w:val="18"/>
                <w:szCs w:val="18"/>
              </w:rPr>
            </w:pPr>
          </w:p>
        </w:tc>
        <w:tc>
          <w:tcPr>
            <w:tcW w:w="0" w:type="auto"/>
          </w:tcPr>
          <w:p w:rsidR="00E44270" w:rsidRPr="009C1AB3" w:rsidRDefault="00E44270" w:rsidP="00B76694">
            <w:pPr>
              <w:widowControl w:val="0"/>
              <w:jc w:val="center"/>
              <w:rPr>
                <w:sz w:val="18"/>
                <w:szCs w:val="18"/>
              </w:rPr>
            </w:pPr>
          </w:p>
        </w:tc>
        <w:tc>
          <w:tcPr>
            <w:tcW w:w="0" w:type="auto"/>
            <w:shd w:val="clear" w:color="auto" w:fill="auto"/>
            <w:noWrap/>
          </w:tcPr>
          <w:p w:rsidR="00E44270" w:rsidRPr="009C1AB3" w:rsidRDefault="00E44270" w:rsidP="00B76694">
            <w:pPr>
              <w:widowControl w:val="0"/>
              <w:rPr>
                <w:sz w:val="18"/>
                <w:szCs w:val="18"/>
              </w:rPr>
            </w:pPr>
          </w:p>
        </w:tc>
      </w:tr>
      <w:tr w:rsidR="00E44270" w:rsidRPr="00990397" w:rsidTr="00B76694">
        <w:trPr>
          <w:cantSplit/>
        </w:trPr>
        <w:tc>
          <w:tcPr>
            <w:tcW w:w="0" w:type="auto"/>
            <w:shd w:val="clear" w:color="auto" w:fill="auto"/>
            <w:noWrap/>
          </w:tcPr>
          <w:p w:rsidR="00E44270" w:rsidRPr="009C1AB3" w:rsidRDefault="00E44270" w:rsidP="00B76694">
            <w:pPr>
              <w:widowControl w:val="0"/>
              <w:rPr>
                <w:sz w:val="18"/>
                <w:szCs w:val="18"/>
              </w:rPr>
            </w:pPr>
            <w:r w:rsidRPr="009C1AB3">
              <w:rPr>
                <w:sz w:val="18"/>
                <w:szCs w:val="18"/>
              </w:rPr>
              <w:t>Micro-organisms</w:t>
            </w:r>
          </w:p>
        </w:tc>
        <w:tc>
          <w:tcPr>
            <w:tcW w:w="0" w:type="auto"/>
          </w:tcPr>
          <w:p w:rsidR="00E44270" w:rsidRPr="00990397" w:rsidRDefault="00E44270" w:rsidP="00B76694">
            <w:pPr>
              <w:widowControl w:val="0"/>
              <w:rPr>
                <w:sz w:val="18"/>
                <w:szCs w:val="18"/>
              </w:rPr>
            </w:pPr>
            <w:r w:rsidRPr="00990397">
              <w:rPr>
                <w:sz w:val="18"/>
                <w:szCs w:val="18"/>
              </w:rPr>
              <w:t>Chronic</w:t>
            </w:r>
          </w:p>
        </w:tc>
        <w:tc>
          <w:tcPr>
            <w:tcW w:w="0" w:type="auto"/>
          </w:tcPr>
          <w:p w:rsidR="00E44270" w:rsidRPr="009C1AB3" w:rsidRDefault="00E44270" w:rsidP="00B76694">
            <w:pPr>
              <w:widowControl w:val="0"/>
              <w:jc w:val="center"/>
              <w:rPr>
                <w:sz w:val="18"/>
                <w:szCs w:val="18"/>
              </w:rPr>
            </w:pPr>
          </w:p>
        </w:tc>
        <w:tc>
          <w:tcPr>
            <w:tcW w:w="0" w:type="auto"/>
          </w:tcPr>
          <w:p w:rsidR="00E44270" w:rsidRPr="009C1AB3" w:rsidRDefault="00E44270" w:rsidP="00B76694">
            <w:pPr>
              <w:widowControl w:val="0"/>
              <w:jc w:val="center"/>
              <w:rPr>
                <w:sz w:val="18"/>
                <w:szCs w:val="18"/>
              </w:rPr>
            </w:pPr>
          </w:p>
        </w:tc>
        <w:tc>
          <w:tcPr>
            <w:tcW w:w="0" w:type="auto"/>
          </w:tcPr>
          <w:p w:rsidR="00E44270" w:rsidRPr="009C1AB3" w:rsidRDefault="00E44270" w:rsidP="00B76694">
            <w:pPr>
              <w:widowControl w:val="0"/>
              <w:jc w:val="center"/>
              <w:rPr>
                <w:sz w:val="18"/>
                <w:szCs w:val="18"/>
              </w:rPr>
            </w:pPr>
          </w:p>
        </w:tc>
        <w:tc>
          <w:tcPr>
            <w:tcW w:w="0" w:type="auto"/>
            <w:shd w:val="clear" w:color="auto" w:fill="auto"/>
            <w:noWrap/>
          </w:tcPr>
          <w:p w:rsidR="00E44270" w:rsidRPr="009C1AB3" w:rsidRDefault="00E44270" w:rsidP="00B76694">
            <w:pPr>
              <w:widowControl w:val="0"/>
              <w:rPr>
                <w:sz w:val="18"/>
                <w:szCs w:val="18"/>
              </w:rPr>
            </w:pPr>
          </w:p>
        </w:tc>
      </w:tr>
    </w:tbl>
    <w:p w:rsidR="00E44270" w:rsidRPr="009C1AB3" w:rsidRDefault="00E44270" w:rsidP="00E44270">
      <w:pPr>
        <w:pStyle w:val="BodyText"/>
        <w:rPr>
          <w:color w:val="FF0000"/>
          <w:sz w:val="18"/>
          <w:szCs w:val="18"/>
        </w:rPr>
      </w:pPr>
      <w:r w:rsidRPr="009C1AB3">
        <w:rPr>
          <w:color w:val="FF0000"/>
          <w:sz w:val="18"/>
          <w:szCs w:val="18"/>
        </w:rPr>
        <w:t>Rate is cumulative rate of 3× 150 g ac/ha, 7-day interval between applications and DT</w:t>
      </w:r>
      <w:r w:rsidRPr="009C1AB3">
        <w:rPr>
          <w:color w:val="FF0000"/>
          <w:sz w:val="18"/>
          <w:szCs w:val="18"/>
          <w:vertAlign w:val="subscript"/>
        </w:rPr>
        <w:t>50</w:t>
      </w:r>
      <w:r w:rsidRPr="009C1AB3">
        <w:rPr>
          <w:color w:val="FF0000"/>
          <w:sz w:val="18"/>
          <w:szCs w:val="18"/>
        </w:rPr>
        <w:t xml:space="preserve"> XX days</w:t>
      </w:r>
    </w:p>
    <w:p w:rsidR="00E44270" w:rsidRPr="00990397" w:rsidRDefault="00E44270" w:rsidP="00E44270">
      <w:pPr>
        <w:widowControl w:val="0"/>
        <w:rPr>
          <w:sz w:val="18"/>
          <w:szCs w:val="18"/>
        </w:rPr>
      </w:pPr>
      <w:r w:rsidRPr="00990397">
        <w:rPr>
          <w:sz w:val="18"/>
          <w:szCs w:val="18"/>
        </w:rPr>
        <w:t>PEC = predicted environmental concentration in top 5-cm soil (mg ac/kg dry soil) = rate (g ac/ha)/750</w:t>
      </w:r>
    </w:p>
    <w:p w:rsidR="00E44270" w:rsidRPr="00990397" w:rsidRDefault="00E44270" w:rsidP="00E44270">
      <w:pPr>
        <w:pStyle w:val="BodyText"/>
        <w:rPr>
          <w:sz w:val="18"/>
          <w:szCs w:val="18"/>
        </w:rPr>
      </w:pPr>
      <w:r w:rsidRPr="00990397">
        <w:rPr>
          <w:sz w:val="18"/>
          <w:szCs w:val="18"/>
        </w:rPr>
        <w:t xml:space="preserve">RAC = </w:t>
      </w:r>
      <w:r>
        <w:rPr>
          <w:sz w:val="18"/>
          <w:szCs w:val="18"/>
        </w:rPr>
        <w:t>r</w:t>
      </w:r>
      <w:r w:rsidRPr="00990397">
        <w:rPr>
          <w:sz w:val="18"/>
          <w:szCs w:val="18"/>
        </w:rPr>
        <w:t xml:space="preserve">egulatory </w:t>
      </w:r>
      <w:r>
        <w:rPr>
          <w:sz w:val="18"/>
          <w:szCs w:val="18"/>
        </w:rPr>
        <w:t>a</w:t>
      </w:r>
      <w:r w:rsidRPr="00990397">
        <w:rPr>
          <w:sz w:val="18"/>
          <w:szCs w:val="18"/>
        </w:rPr>
        <w:t xml:space="preserve">cceptable concentration </w:t>
      </w:r>
      <w:r>
        <w:rPr>
          <w:sz w:val="18"/>
          <w:szCs w:val="18"/>
        </w:rPr>
        <w:t>(from Table X)</w:t>
      </w:r>
    </w:p>
    <w:p w:rsidR="00E44270" w:rsidRDefault="00E44270" w:rsidP="00E44270">
      <w:pPr>
        <w:pStyle w:val="BodyText"/>
        <w:rPr>
          <w:sz w:val="18"/>
          <w:szCs w:val="18"/>
        </w:rPr>
      </w:pPr>
      <w:r w:rsidRPr="00990397">
        <w:rPr>
          <w:sz w:val="18"/>
          <w:szCs w:val="18"/>
        </w:rPr>
        <w:t>RQ = risk quotient = PEC / RAC, where acceptable RQ &lt;1</w:t>
      </w:r>
    </w:p>
    <w:bookmarkEnd w:id="212"/>
    <w:p w:rsidR="008B68EB" w:rsidRPr="009A4CFC" w:rsidRDefault="008B68EB" w:rsidP="00BB0F73">
      <w:pPr>
        <w:pStyle w:val="Caption"/>
      </w:pPr>
      <w:r w:rsidRPr="009A4CFC">
        <w:lastRenderedPageBreak/>
        <w:t xml:space="preserve">Table </w:t>
      </w:r>
      <w:r w:rsidR="00EA08EB">
        <w:rPr>
          <w:noProof/>
        </w:rPr>
        <w:fldChar w:fldCharType="begin"/>
      </w:r>
      <w:r w:rsidR="00EA08EB">
        <w:rPr>
          <w:noProof/>
        </w:rPr>
        <w:instrText xml:space="preserve"> SEQ Table \* ARABIC </w:instrText>
      </w:r>
      <w:r w:rsidR="00EA08EB">
        <w:rPr>
          <w:noProof/>
        </w:rPr>
        <w:fldChar w:fldCharType="separate"/>
      </w:r>
      <w:r w:rsidR="00225D67">
        <w:rPr>
          <w:noProof/>
        </w:rPr>
        <w:t>20</w:t>
      </w:r>
      <w:r w:rsidR="00EA08EB">
        <w:rPr>
          <w:noProof/>
        </w:rPr>
        <w:fldChar w:fldCharType="end"/>
      </w:r>
      <w:r w:rsidRPr="009A4CFC">
        <w:t xml:space="preserve"> - </w:t>
      </w:r>
      <w:r w:rsidRPr="008B68EB">
        <w:t>Combination toxicity to soil organisms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349"/>
        <w:gridCol w:w="2452"/>
        <w:gridCol w:w="2371"/>
        <w:gridCol w:w="2461"/>
      </w:tblGrid>
      <w:tr w:rsidR="00E44270" w:rsidRPr="003B32C1" w:rsidTr="008B68EB">
        <w:trPr>
          <w:cantSplit/>
          <w:tblHeader/>
        </w:trPr>
        <w:tc>
          <w:tcPr>
            <w:tcW w:w="2377" w:type="dxa"/>
            <w:tcBorders>
              <w:top w:val="nil"/>
              <w:left w:val="nil"/>
              <w:bottom w:val="nil"/>
              <w:right w:val="single" w:sz="4" w:space="0" w:color="auto"/>
            </w:tcBorders>
            <w:shd w:val="clear" w:color="auto" w:fill="auto"/>
          </w:tcPr>
          <w:p w:rsidR="00E44270" w:rsidRPr="003B32C1" w:rsidRDefault="00E44270" w:rsidP="00BB0F73">
            <w:pPr>
              <w:keepNext/>
              <w:widowControl w:val="0"/>
              <w:rPr>
                <w:color w:val="000000"/>
                <w:sz w:val="18"/>
                <w:szCs w:val="18"/>
              </w:rPr>
            </w:pPr>
          </w:p>
        </w:tc>
        <w:tc>
          <w:tcPr>
            <w:tcW w:w="2486" w:type="dxa"/>
            <w:tcBorders>
              <w:left w:val="single" w:sz="4" w:space="0" w:color="auto"/>
            </w:tcBorders>
            <w:shd w:val="clear" w:color="auto" w:fill="auto"/>
          </w:tcPr>
          <w:p w:rsidR="00E44270" w:rsidRPr="003B32C1" w:rsidRDefault="00E44270" w:rsidP="00BB0F73">
            <w:pPr>
              <w:keepNext/>
              <w:widowControl w:val="0"/>
              <w:jc w:val="center"/>
              <w:rPr>
                <w:b/>
                <w:color w:val="000000"/>
                <w:sz w:val="18"/>
                <w:szCs w:val="18"/>
              </w:rPr>
            </w:pPr>
            <w:r>
              <w:rPr>
                <w:b/>
                <w:color w:val="000000"/>
                <w:sz w:val="18"/>
                <w:szCs w:val="18"/>
              </w:rPr>
              <w:t>Active 1</w:t>
            </w:r>
          </w:p>
        </w:tc>
        <w:tc>
          <w:tcPr>
            <w:tcW w:w="2403" w:type="dxa"/>
            <w:shd w:val="clear" w:color="auto" w:fill="auto"/>
          </w:tcPr>
          <w:p w:rsidR="00E44270" w:rsidRPr="003B32C1" w:rsidRDefault="00E44270" w:rsidP="00BB0F73">
            <w:pPr>
              <w:keepNext/>
              <w:widowControl w:val="0"/>
              <w:jc w:val="center"/>
              <w:rPr>
                <w:b/>
                <w:color w:val="000000"/>
                <w:sz w:val="18"/>
                <w:szCs w:val="18"/>
              </w:rPr>
            </w:pPr>
            <w:r>
              <w:rPr>
                <w:b/>
                <w:color w:val="000000"/>
                <w:sz w:val="18"/>
                <w:szCs w:val="18"/>
              </w:rPr>
              <w:t>Active 2</w:t>
            </w:r>
          </w:p>
        </w:tc>
        <w:tc>
          <w:tcPr>
            <w:tcW w:w="2486" w:type="dxa"/>
          </w:tcPr>
          <w:p w:rsidR="00E44270" w:rsidRPr="003B32C1" w:rsidRDefault="00E44270" w:rsidP="00BB0F73">
            <w:pPr>
              <w:keepNext/>
              <w:widowControl w:val="0"/>
              <w:jc w:val="center"/>
              <w:rPr>
                <w:b/>
                <w:color w:val="000000"/>
                <w:sz w:val="18"/>
                <w:szCs w:val="18"/>
              </w:rPr>
            </w:pPr>
            <w:r w:rsidRPr="003B32C1">
              <w:rPr>
                <w:b/>
                <w:color w:val="000000"/>
                <w:sz w:val="18"/>
                <w:szCs w:val="18"/>
              </w:rPr>
              <w:t>Combination</w:t>
            </w:r>
            <w:r w:rsidRPr="003B32C1">
              <w:rPr>
                <w:b/>
                <w:color w:val="000000"/>
                <w:sz w:val="18"/>
                <w:szCs w:val="18"/>
                <w:vertAlign w:val="superscript"/>
              </w:rPr>
              <w:footnoteReference w:id="14"/>
            </w:r>
            <w:r w:rsidRPr="003B32C1">
              <w:rPr>
                <w:b/>
                <w:color w:val="000000"/>
                <w:sz w:val="18"/>
                <w:szCs w:val="18"/>
              </w:rPr>
              <w:t xml:space="preserve"> </w:t>
            </w:r>
            <w:r w:rsidRPr="003B32C1">
              <w:rPr>
                <w:sz w:val="18"/>
                <w:szCs w:val="18"/>
                <w:vertAlign w:val="superscript"/>
              </w:rPr>
              <w:footnoteReference w:id="15"/>
            </w:r>
            <w:r>
              <w:rPr>
                <w:b/>
                <w:color w:val="000000"/>
                <w:sz w:val="18"/>
                <w:szCs w:val="18"/>
              </w:rPr>
              <w:t xml:space="preserve"> </w:t>
            </w:r>
            <w:r>
              <w:rPr>
                <w:rStyle w:val="FootnoteReference"/>
                <w:b/>
                <w:color w:val="000000"/>
                <w:sz w:val="18"/>
                <w:szCs w:val="18"/>
              </w:rPr>
              <w:footnoteReference w:id="16"/>
            </w:r>
          </w:p>
        </w:tc>
      </w:tr>
      <w:tr w:rsidR="00E44270" w:rsidRPr="003B32C1" w:rsidTr="008B68EB">
        <w:trPr>
          <w:cantSplit/>
          <w:tblHeader/>
        </w:trPr>
        <w:tc>
          <w:tcPr>
            <w:tcW w:w="2377" w:type="dxa"/>
            <w:tcBorders>
              <w:top w:val="nil"/>
              <w:left w:val="nil"/>
              <w:bottom w:val="nil"/>
              <w:right w:val="single" w:sz="4" w:space="0" w:color="auto"/>
            </w:tcBorders>
            <w:shd w:val="clear" w:color="auto" w:fill="auto"/>
          </w:tcPr>
          <w:p w:rsidR="00E44270" w:rsidRPr="003B32C1" w:rsidRDefault="00E44270" w:rsidP="00B76694">
            <w:pPr>
              <w:widowControl w:val="0"/>
              <w:rPr>
                <w:color w:val="000000"/>
                <w:sz w:val="18"/>
                <w:szCs w:val="18"/>
              </w:rPr>
            </w:pPr>
            <w:r w:rsidRPr="003B32C1">
              <w:rPr>
                <w:color w:val="000000"/>
                <w:sz w:val="18"/>
                <w:szCs w:val="18"/>
              </w:rPr>
              <w:t>Fraction in combination</w:t>
            </w:r>
          </w:p>
        </w:tc>
        <w:tc>
          <w:tcPr>
            <w:tcW w:w="2486" w:type="dxa"/>
            <w:tcBorders>
              <w:top w:val="nil"/>
              <w:left w:val="nil"/>
              <w:bottom w:val="single" w:sz="8" w:space="0" w:color="auto"/>
              <w:right w:val="single" w:sz="8" w:space="0" w:color="auto"/>
            </w:tcBorders>
            <w:shd w:val="clear" w:color="auto" w:fill="auto"/>
          </w:tcPr>
          <w:p w:rsidR="00E44270" w:rsidRPr="008033E2" w:rsidRDefault="00E44270" w:rsidP="00B76694">
            <w:pPr>
              <w:widowControl w:val="0"/>
              <w:jc w:val="center"/>
              <w:rPr>
                <w:b/>
                <w:color w:val="FF0000"/>
                <w:sz w:val="18"/>
                <w:szCs w:val="18"/>
              </w:rPr>
            </w:pPr>
            <w:r>
              <w:rPr>
                <w:b/>
                <w:color w:val="FF0000"/>
                <w:sz w:val="18"/>
                <w:szCs w:val="18"/>
              </w:rPr>
              <w:t>0.XX</w:t>
            </w:r>
          </w:p>
        </w:tc>
        <w:tc>
          <w:tcPr>
            <w:tcW w:w="2403" w:type="dxa"/>
            <w:tcBorders>
              <w:top w:val="nil"/>
              <w:left w:val="nil"/>
              <w:bottom w:val="single" w:sz="8" w:space="0" w:color="auto"/>
              <w:right w:val="single" w:sz="8" w:space="0" w:color="auto"/>
            </w:tcBorders>
            <w:shd w:val="clear" w:color="auto" w:fill="auto"/>
          </w:tcPr>
          <w:p w:rsidR="00E44270" w:rsidRPr="008033E2" w:rsidRDefault="00E44270" w:rsidP="00B76694">
            <w:pPr>
              <w:widowControl w:val="0"/>
              <w:jc w:val="center"/>
              <w:rPr>
                <w:b/>
                <w:color w:val="FF0000"/>
                <w:sz w:val="18"/>
                <w:szCs w:val="18"/>
              </w:rPr>
            </w:pPr>
            <w:r>
              <w:rPr>
                <w:b/>
                <w:color w:val="FF0000"/>
                <w:sz w:val="18"/>
                <w:szCs w:val="18"/>
              </w:rPr>
              <w:t>0.XX</w:t>
            </w:r>
          </w:p>
        </w:tc>
        <w:tc>
          <w:tcPr>
            <w:tcW w:w="2486" w:type="dxa"/>
          </w:tcPr>
          <w:p w:rsidR="00E44270" w:rsidRPr="003B32C1" w:rsidRDefault="00E44270" w:rsidP="00B76694">
            <w:pPr>
              <w:widowControl w:val="0"/>
              <w:jc w:val="center"/>
              <w:rPr>
                <w:b/>
                <w:color w:val="000000"/>
                <w:sz w:val="18"/>
                <w:szCs w:val="18"/>
              </w:rPr>
            </w:pPr>
            <w:r w:rsidRPr="003B32C1">
              <w:rPr>
                <w:b/>
                <w:color w:val="000000"/>
                <w:sz w:val="18"/>
                <w:szCs w:val="18"/>
              </w:rPr>
              <w:t>1.00</w:t>
            </w:r>
          </w:p>
        </w:tc>
      </w:tr>
      <w:tr w:rsidR="00E44270" w:rsidRPr="003B32C1" w:rsidTr="008B68EB">
        <w:trPr>
          <w:cantSplit/>
        </w:trPr>
        <w:tc>
          <w:tcPr>
            <w:tcW w:w="2377" w:type="dxa"/>
            <w:tcBorders>
              <w:top w:val="nil"/>
              <w:left w:val="nil"/>
              <w:bottom w:val="nil"/>
              <w:right w:val="single" w:sz="4" w:space="0" w:color="auto"/>
            </w:tcBorders>
            <w:shd w:val="clear" w:color="auto" w:fill="auto"/>
          </w:tcPr>
          <w:p w:rsidR="00E44270" w:rsidRPr="003B32C1" w:rsidRDefault="00E44270" w:rsidP="00B76694">
            <w:pPr>
              <w:widowControl w:val="0"/>
              <w:rPr>
                <w:color w:val="000000"/>
                <w:sz w:val="18"/>
                <w:szCs w:val="18"/>
              </w:rPr>
            </w:pPr>
            <w:r>
              <w:rPr>
                <w:color w:val="000000"/>
                <w:sz w:val="18"/>
                <w:szCs w:val="18"/>
              </w:rPr>
              <w:t>Acute toxicity to soil macro-organisms</w:t>
            </w:r>
            <w:r w:rsidRPr="003B32C1">
              <w:rPr>
                <w:color w:val="000000"/>
                <w:sz w:val="18"/>
                <w:szCs w:val="18"/>
              </w:rPr>
              <w:t xml:space="preserve"> </w:t>
            </w:r>
          </w:p>
        </w:tc>
        <w:tc>
          <w:tcPr>
            <w:tcW w:w="2486" w:type="dxa"/>
            <w:tcBorders>
              <w:top w:val="nil"/>
              <w:left w:val="nil"/>
              <w:bottom w:val="single" w:sz="8" w:space="0" w:color="auto"/>
              <w:right w:val="single" w:sz="8" w:space="0" w:color="auto"/>
            </w:tcBorders>
            <w:shd w:val="clear" w:color="auto" w:fill="auto"/>
          </w:tcPr>
          <w:p w:rsidR="00E44270" w:rsidRDefault="00E44270" w:rsidP="00B76694">
            <w:pPr>
              <w:widowControl w:val="0"/>
              <w:rPr>
                <w:color w:val="000000"/>
                <w:sz w:val="18"/>
                <w:szCs w:val="18"/>
              </w:rPr>
            </w:pPr>
            <w:r w:rsidRPr="003B32C1">
              <w:rPr>
                <w:color w:val="000000"/>
                <w:sz w:val="18"/>
                <w:szCs w:val="18"/>
              </w:rPr>
              <w:t>L</w:t>
            </w:r>
            <w:r>
              <w:rPr>
                <w:color w:val="000000"/>
                <w:sz w:val="18"/>
                <w:szCs w:val="18"/>
              </w:rPr>
              <w:t>C</w:t>
            </w:r>
            <w:r w:rsidRPr="003B32C1">
              <w:rPr>
                <w:color w:val="000000"/>
                <w:sz w:val="18"/>
                <w:szCs w:val="18"/>
                <w:vertAlign w:val="subscript"/>
              </w:rPr>
              <w:t>50</w:t>
            </w:r>
            <w:r>
              <w:rPr>
                <w:color w:val="000000"/>
                <w:sz w:val="18"/>
                <w:szCs w:val="18"/>
              </w:rPr>
              <w:t xml:space="preserve"> </w:t>
            </w:r>
            <w:r w:rsidRPr="00135741">
              <w:rPr>
                <w:color w:val="FF0000"/>
                <w:sz w:val="18"/>
                <w:szCs w:val="18"/>
              </w:rPr>
              <w:t>XX</w:t>
            </w:r>
            <w:r w:rsidRPr="003B32C1">
              <w:rPr>
                <w:color w:val="000000"/>
                <w:sz w:val="18"/>
                <w:szCs w:val="18"/>
              </w:rPr>
              <w:t xml:space="preserve"> mg ac/kg </w:t>
            </w:r>
            <w:r>
              <w:rPr>
                <w:color w:val="000000"/>
                <w:sz w:val="18"/>
                <w:szCs w:val="18"/>
              </w:rPr>
              <w:t>dry soil</w:t>
            </w:r>
            <w:r w:rsidRPr="003B32C1">
              <w:rPr>
                <w:color w:val="000000"/>
                <w:sz w:val="18"/>
                <w:szCs w:val="18"/>
              </w:rPr>
              <w:t xml:space="preserve"> </w:t>
            </w:r>
          </w:p>
          <w:p w:rsidR="00E44270" w:rsidRDefault="00E44270" w:rsidP="00B76694">
            <w:pPr>
              <w:widowControl w:val="0"/>
              <w:rPr>
                <w:color w:val="FF0000"/>
                <w:sz w:val="18"/>
                <w:szCs w:val="18"/>
              </w:rPr>
            </w:pPr>
            <w:r w:rsidRPr="00135741">
              <w:rPr>
                <w:color w:val="FF0000"/>
                <w:sz w:val="18"/>
                <w:szCs w:val="18"/>
              </w:rPr>
              <w:t>Test item</w:t>
            </w:r>
          </w:p>
          <w:p w:rsidR="00E44270" w:rsidRPr="00135741" w:rsidRDefault="00E44270" w:rsidP="00B76694">
            <w:pPr>
              <w:widowControl w:val="0"/>
              <w:rPr>
                <w:color w:val="FF0000"/>
                <w:sz w:val="18"/>
                <w:szCs w:val="18"/>
              </w:rPr>
            </w:pPr>
            <w:r>
              <w:rPr>
                <w:color w:val="FF0000"/>
                <w:sz w:val="18"/>
                <w:szCs w:val="18"/>
              </w:rPr>
              <w:t>Test duration + medium</w:t>
            </w:r>
          </w:p>
          <w:p w:rsidR="00E44270" w:rsidRPr="00135741" w:rsidRDefault="00E44270" w:rsidP="00B76694">
            <w:pPr>
              <w:widowControl w:val="0"/>
              <w:rPr>
                <w:i/>
                <w:color w:val="FF0000"/>
                <w:sz w:val="18"/>
                <w:szCs w:val="18"/>
              </w:rPr>
            </w:pPr>
            <w:r w:rsidRPr="00135741">
              <w:rPr>
                <w:i/>
                <w:color w:val="FF0000"/>
                <w:sz w:val="18"/>
                <w:szCs w:val="18"/>
              </w:rPr>
              <w:t>Test species</w:t>
            </w:r>
          </w:p>
          <w:p w:rsidR="00E44270" w:rsidRPr="003B32C1" w:rsidRDefault="00E44270" w:rsidP="00B76694">
            <w:pPr>
              <w:widowControl w:val="0"/>
              <w:rPr>
                <w:color w:val="000000"/>
                <w:sz w:val="18"/>
                <w:szCs w:val="18"/>
                <w:lang w:eastAsia="en-AU"/>
              </w:rPr>
            </w:pPr>
            <w:r w:rsidRPr="00135741">
              <w:rPr>
                <w:color w:val="FF0000"/>
                <w:sz w:val="18"/>
                <w:szCs w:val="18"/>
                <w:lang w:eastAsia="en-AU"/>
              </w:rPr>
              <w:t>Reference</w:t>
            </w:r>
          </w:p>
        </w:tc>
        <w:tc>
          <w:tcPr>
            <w:tcW w:w="2403" w:type="dxa"/>
            <w:tcBorders>
              <w:top w:val="nil"/>
              <w:left w:val="nil"/>
              <w:bottom w:val="single" w:sz="8" w:space="0" w:color="auto"/>
              <w:right w:val="single" w:sz="8" w:space="0" w:color="auto"/>
            </w:tcBorders>
            <w:shd w:val="clear" w:color="auto" w:fill="auto"/>
          </w:tcPr>
          <w:p w:rsidR="00E44270" w:rsidRDefault="00E44270" w:rsidP="00B76694">
            <w:pPr>
              <w:widowControl w:val="0"/>
              <w:rPr>
                <w:color w:val="000000"/>
                <w:sz w:val="18"/>
                <w:szCs w:val="18"/>
              </w:rPr>
            </w:pPr>
            <w:r w:rsidRPr="003B32C1">
              <w:rPr>
                <w:color w:val="000000"/>
                <w:sz w:val="18"/>
                <w:szCs w:val="18"/>
              </w:rPr>
              <w:t>L</w:t>
            </w:r>
            <w:r>
              <w:rPr>
                <w:color w:val="000000"/>
                <w:sz w:val="18"/>
                <w:szCs w:val="18"/>
              </w:rPr>
              <w:t>C</w:t>
            </w:r>
            <w:r w:rsidRPr="003B32C1">
              <w:rPr>
                <w:color w:val="000000"/>
                <w:sz w:val="18"/>
                <w:szCs w:val="18"/>
                <w:vertAlign w:val="subscript"/>
              </w:rPr>
              <w:t>50</w:t>
            </w:r>
            <w:r>
              <w:rPr>
                <w:color w:val="000000"/>
                <w:sz w:val="18"/>
                <w:szCs w:val="18"/>
              </w:rPr>
              <w:t xml:space="preserve"> </w:t>
            </w:r>
            <w:r w:rsidRPr="00135741">
              <w:rPr>
                <w:color w:val="FF0000"/>
                <w:sz w:val="18"/>
                <w:szCs w:val="18"/>
              </w:rPr>
              <w:t>XX</w:t>
            </w:r>
            <w:r w:rsidRPr="003B32C1">
              <w:rPr>
                <w:color w:val="000000"/>
                <w:sz w:val="18"/>
                <w:szCs w:val="18"/>
              </w:rPr>
              <w:t xml:space="preserve"> mg ac/kg </w:t>
            </w:r>
            <w:r>
              <w:rPr>
                <w:color w:val="000000"/>
                <w:sz w:val="18"/>
                <w:szCs w:val="18"/>
              </w:rPr>
              <w:t>dry soil</w:t>
            </w:r>
            <w:r w:rsidRPr="003B32C1">
              <w:rPr>
                <w:color w:val="000000"/>
                <w:sz w:val="18"/>
                <w:szCs w:val="18"/>
              </w:rPr>
              <w:t xml:space="preserve"> </w:t>
            </w:r>
          </w:p>
          <w:p w:rsidR="00E44270" w:rsidRDefault="00E44270" w:rsidP="00B76694">
            <w:pPr>
              <w:widowControl w:val="0"/>
              <w:rPr>
                <w:color w:val="FF0000"/>
                <w:sz w:val="18"/>
                <w:szCs w:val="18"/>
              </w:rPr>
            </w:pPr>
            <w:r w:rsidRPr="00135741">
              <w:rPr>
                <w:color w:val="FF0000"/>
                <w:sz w:val="18"/>
                <w:szCs w:val="18"/>
              </w:rPr>
              <w:t>Test item</w:t>
            </w:r>
          </w:p>
          <w:p w:rsidR="00E44270" w:rsidRPr="00135741" w:rsidRDefault="00E44270" w:rsidP="00B76694">
            <w:pPr>
              <w:widowControl w:val="0"/>
              <w:rPr>
                <w:color w:val="FF0000"/>
                <w:sz w:val="18"/>
                <w:szCs w:val="18"/>
              </w:rPr>
            </w:pPr>
            <w:r>
              <w:rPr>
                <w:color w:val="FF0000"/>
                <w:sz w:val="18"/>
                <w:szCs w:val="18"/>
              </w:rPr>
              <w:t>Test duration + medium</w:t>
            </w:r>
          </w:p>
          <w:p w:rsidR="00E44270" w:rsidRPr="00135741" w:rsidRDefault="00E44270" w:rsidP="00B76694">
            <w:pPr>
              <w:widowControl w:val="0"/>
              <w:rPr>
                <w:i/>
                <w:color w:val="FF0000"/>
                <w:sz w:val="18"/>
                <w:szCs w:val="18"/>
              </w:rPr>
            </w:pPr>
            <w:r w:rsidRPr="00135741">
              <w:rPr>
                <w:i/>
                <w:color w:val="FF0000"/>
                <w:sz w:val="18"/>
                <w:szCs w:val="18"/>
              </w:rPr>
              <w:t>Test species</w:t>
            </w:r>
          </w:p>
          <w:p w:rsidR="00E44270" w:rsidRPr="003B32C1" w:rsidRDefault="00E44270" w:rsidP="00B76694">
            <w:pPr>
              <w:widowControl w:val="0"/>
              <w:rPr>
                <w:color w:val="000000"/>
                <w:sz w:val="18"/>
                <w:szCs w:val="18"/>
                <w:lang w:eastAsia="en-AU"/>
              </w:rPr>
            </w:pPr>
            <w:r w:rsidRPr="00135741">
              <w:rPr>
                <w:color w:val="FF0000"/>
                <w:sz w:val="18"/>
                <w:szCs w:val="18"/>
                <w:lang w:eastAsia="en-AU"/>
              </w:rPr>
              <w:t>Reference</w:t>
            </w:r>
          </w:p>
        </w:tc>
        <w:tc>
          <w:tcPr>
            <w:tcW w:w="2486" w:type="dxa"/>
          </w:tcPr>
          <w:p w:rsidR="00E44270" w:rsidRDefault="00E44270" w:rsidP="00B76694">
            <w:pPr>
              <w:widowControl w:val="0"/>
              <w:rPr>
                <w:color w:val="000000"/>
                <w:sz w:val="18"/>
                <w:szCs w:val="18"/>
              </w:rPr>
            </w:pPr>
            <w:r>
              <w:rPr>
                <w:color w:val="000000"/>
                <w:sz w:val="18"/>
                <w:szCs w:val="18"/>
              </w:rPr>
              <w:t>Measured:</w:t>
            </w:r>
          </w:p>
          <w:p w:rsidR="00E44270" w:rsidRPr="003B32C1" w:rsidRDefault="00E44270" w:rsidP="00B76694">
            <w:pPr>
              <w:widowControl w:val="0"/>
              <w:rPr>
                <w:color w:val="000000"/>
                <w:sz w:val="18"/>
                <w:szCs w:val="18"/>
              </w:rPr>
            </w:pPr>
            <w:r w:rsidRPr="003B32C1">
              <w:rPr>
                <w:color w:val="000000"/>
                <w:sz w:val="18"/>
                <w:szCs w:val="18"/>
              </w:rPr>
              <w:t>L</w:t>
            </w:r>
            <w:r>
              <w:rPr>
                <w:color w:val="000000"/>
                <w:sz w:val="18"/>
                <w:szCs w:val="18"/>
              </w:rPr>
              <w:t>C</w:t>
            </w:r>
            <w:r w:rsidRPr="003B32C1">
              <w:rPr>
                <w:color w:val="000000"/>
                <w:sz w:val="18"/>
                <w:szCs w:val="18"/>
                <w:vertAlign w:val="subscript"/>
              </w:rPr>
              <w:t>50</w:t>
            </w:r>
            <w:r>
              <w:rPr>
                <w:color w:val="000000"/>
                <w:sz w:val="18"/>
                <w:szCs w:val="18"/>
              </w:rPr>
              <w:t xml:space="preserve"> </w:t>
            </w:r>
            <w:r w:rsidRPr="00135741">
              <w:rPr>
                <w:color w:val="FF0000"/>
                <w:sz w:val="18"/>
                <w:szCs w:val="18"/>
              </w:rPr>
              <w:t>XX</w:t>
            </w:r>
            <w:r w:rsidRPr="003B32C1">
              <w:rPr>
                <w:color w:val="000000"/>
                <w:sz w:val="18"/>
                <w:szCs w:val="18"/>
              </w:rPr>
              <w:t xml:space="preserve"> mg ac</w:t>
            </w:r>
            <w:r>
              <w:rPr>
                <w:color w:val="000000"/>
                <w:sz w:val="18"/>
                <w:szCs w:val="18"/>
              </w:rPr>
              <w:t>s</w:t>
            </w:r>
            <w:r w:rsidRPr="003B32C1">
              <w:rPr>
                <w:color w:val="000000"/>
                <w:sz w:val="18"/>
                <w:szCs w:val="18"/>
              </w:rPr>
              <w:t xml:space="preserve">/kg </w:t>
            </w:r>
            <w:r>
              <w:rPr>
                <w:color w:val="000000"/>
                <w:sz w:val="18"/>
                <w:szCs w:val="18"/>
              </w:rPr>
              <w:t>dry soil</w:t>
            </w:r>
            <w:r w:rsidRPr="003B32C1">
              <w:rPr>
                <w:color w:val="000000"/>
                <w:sz w:val="18"/>
                <w:szCs w:val="18"/>
              </w:rPr>
              <w:t xml:space="preserve"> </w:t>
            </w:r>
          </w:p>
          <w:p w:rsidR="00E44270" w:rsidRDefault="00E44270" w:rsidP="00B76694">
            <w:pPr>
              <w:widowControl w:val="0"/>
              <w:rPr>
                <w:color w:val="FF0000"/>
                <w:sz w:val="18"/>
                <w:szCs w:val="18"/>
              </w:rPr>
            </w:pPr>
            <w:r w:rsidRPr="00135741">
              <w:rPr>
                <w:color w:val="FF0000"/>
                <w:sz w:val="18"/>
                <w:szCs w:val="18"/>
              </w:rPr>
              <w:t>Test item</w:t>
            </w:r>
          </w:p>
          <w:p w:rsidR="00E44270" w:rsidRPr="00135741" w:rsidRDefault="00E44270" w:rsidP="00B76694">
            <w:pPr>
              <w:widowControl w:val="0"/>
              <w:rPr>
                <w:color w:val="FF0000"/>
                <w:sz w:val="18"/>
                <w:szCs w:val="18"/>
              </w:rPr>
            </w:pPr>
            <w:r>
              <w:rPr>
                <w:color w:val="FF0000"/>
                <w:sz w:val="18"/>
                <w:szCs w:val="18"/>
              </w:rPr>
              <w:t>Test duration + medium</w:t>
            </w:r>
          </w:p>
          <w:p w:rsidR="00E44270" w:rsidRPr="00135741" w:rsidRDefault="00E44270" w:rsidP="00B76694">
            <w:pPr>
              <w:widowControl w:val="0"/>
              <w:rPr>
                <w:i/>
                <w:color w:val="FF0000"/>
                <w:sz w:val="18"/>
                <w:szCs w:val="18"/>
              </w:rPr>
            </w:pPr>
            <w:r w:rsidRPr="00135741">
              <w:rPr>
                <w:i/>
                <w:color w:val="FF0000"/>
                <w:sz w:val="18"/>
                <w:szCs w:val="18"/>
              </w:rPr>
              <w:t>Test species</w:t>
            </w:r>
          </w:p>
          <w:p w:rsidR="00E44270" w:rsidRDefault="00E44270" w:rsidP="00B76694">
            <w:pPr>
              <w:widowControl w:val="0"/>
              <w:rPr>
                <w:sz w:val="18"/>
                <w:szCs w:val="18"/>
                <w:lang w:eastAsia="en-AU"/>
              </w:rPr>
            </w:pPr>
            <w:r w:rsidRPr="00135741">
              <w:rPr>
                <w:color w:val="FF0000"/>
                <w:sz w:val="18"/>
                <w:szCs w:val="18"/>
                <w:lang w:eastAsia="en-AU"/>
              </w:rPr>
              <w:t>Reference</w:t>
            </w:r>
          </w:p>
          <w:p w:rsidR="00E44270" w:rsidRDefault="00E44270" w:rsidP="00B76694">
            <w:pPr>
              <w:widowControl w:val="0"/>
              <w:rPr>
                <w:sz w:val="18"/>
                <w:szCs w:val="18"/>
                <w:lang w:eastAsia="en-AU"/>
              </w:rPr>
            </w:pPr>
          </w:p>
          <w:p w:rsidR="00E44270" w:rsidRDefault="00E44270" w:rsidP="00B76694">
            <w:pPr>
              <w:widowControl w:val="0"/>
              <w:rPr>
                <w:sz w:val="18"/>
                <w:szCs w:val="18"/>
                <w:lang w:eastAsia="en-AU"/>
              </w:rPr>
            </w:pPr>
            <w:r>
              <w:rPr>
                <w:sz w:val="18"/>
                <w:szCs w:val="18"/>
                <w:lang w:eastAsia="en-AU"/>
              </w:rPr>
              <w:t>Predicted:</w:t>
            </w:r>
          </w:p>
          <w:p w:rsidR="00E44270" w:rsidRDefault="00E44270" w:rsidP="00B76694">
            <w:pPr>
              <w:widowControl w:val="0"/>
              <w:rPr>
                <w:color w:val="000000"/>
                <w:sz w:val="18"/>
                <w:szCs w:val="18"/>
              </w:rPr>
            </w:pPr>
            <w:r w:rsidRPr="003B32C1">
              <w:rPr>
                <w:color w:val="000000"/>
                <w:sz w:val="18"/>
                <w:szCs w:val="18"/>
              </w:rPr>
              <w:t>L</w:t>
            </w:r>
            <w:r>
              <w:rPr>
                <w:color w:val="000000"/>
                <w:sz w:val="18"/>
                <w:szCs w:val="18"/>
              </w:rPr>
              <w:t>C</w:t>
            </w:r>
            <w:r w:rsidRPr="003B32C1">
              <w:rPr>
                <w:color w:val="000000"/>
                <w:sz w:val="18"/>
                <w:szCs w:val="18"/>
                <w:vertAlign w:val="subscript"/>
              </w:rPr>
              <w:t>50</w:t>
            </w:r>
            <w:r>
              <w:rPr>
                <w:color w:val="000000"/>
                <w:sz w:val="18"/>
                <w:szCs w:val="18"/>
              </w:rPr>
              <w:t xml:space="preserve"> o </w:t>
            </w:r>
            <w:r w:rsidRPr="00135741">
              <w:rPr>
                <w:color w:val="FF0000"/>
                <w:sz w:val="18"/>
                <w:szCs w:val="18"/>
              </w:rPr>
              <w:t>XX</w:t>
            </w:r>
            <w:r w:rsidRPr="003B32C1">
              <w:rPr>
                <w:color w:val="000000"/>
                <w:sz w:val="18"/>
                <w:szCs w:val="18"/>
              </w:rPr>
              <w:t xml:space="preserve"> mg ac</w:t>
            </w:r>
            <w:r>
              <w:rPr>
                <w:color w:val="000000"/>
                <w:sz w:val="18"/>
                <w:szCs w:val="18"/>
              </w:rPr>
              <w:t>s</w:t>
            </w:r>
            <w:r w:rsidRPr="003B32C1">
              <w:rPr>
                <w:color w:val="000000"/>
                <w:sz w:val="18"/>
                <w:szCs w:val="18"/>
              </w:rPr>
              <w:t>/kg</w:t>
            </w:r>
            <w:r>
              <w:rPr>
                <w:color w:val="000000"/>
                <w:sz w:val="18"/>
                <w:szCs w:val="18"/>
              </w:rPr>
              <w:t xml:space="preserve"> dry soil</w:t>
            </w:r>
          </w:p>
          <w:p w:rsidR="00E44270" w:rsidRDefault="00E44270" w:rsidP="00B76694">
            <w:pPr>
              <w:widowControl w:val="0"/>
              <w:rPr>
                <w:color w:val="000000"/>
                <w:sz w:val="18"/>
                <w:szCs w:val="18"/>
              </w:rPr>
            </w:pPr>
          </w:p>
          <w:p w:rsidR="00E44270" w:rsidRDefault="00E44270" w:rsidP="00B76694">
            <w:pPr>
              <w:widowControl w:val="0"/>
              <w:rPr>
                <w:color w:val="000000"/>
                <w:sz w:val="18"/>
                <w:szCs w:val="18"/>
              </w:rPr>
            </w:pPr>
            <w:r>
              <w:rPr>
                <w:color w:val="000000"/>
                <w:sz w:val="18"/>
                <w:szCs w:val="18"/>
              </w:rPr>
              <w:t>Relative toxicity contributions:</w:t>
            </w:r>
          </w:p>
          <w:p w:rsidR="00E44270" w:rsidRDefault="00E44270" w:rsidP="00B76694">
            <w:pPr>
              <w:widowControl w:val="0"/>
              <w:rPr>
                <w:color w:val="000000"/>
                <w:sz w:val="18"/>
                <w:szCs w:val="18"/>
              </w:rPr>
            </w:pPr>
            <w:r w:rsidRPr="008033E2">
              <w:rPr>
                <w:color w:val="FF0000"/>
                <w:sz w:val="18"/>
                <w:szCs w:val="18"/>
              </w:rPr>
              <w:t>X</w:t>
            </w:r>
            <w:r>
              <w:rPr>
                <w:color w:val="000000"/>
                <w:sz w:val="18"/>
                <w:szCs w:val="18"/>
              </w:rPr>
              <w:t xml:space="preserve">% + </w:t>
            </w:r>
            <w:r w:rsidRPr="008033E2">
              <w:rPr>
                <w:color w:val="FF0000"/>
                <w:sz w:val="18"/>
                <w:szCs w:val="18"/>
              </w:rPr>
              <w:t>X</w:t>
            </w:r>
            <w:r>
              <w:rPr>
                <w:color w:val="000000"/>
                <w:sz w:val="18"/>
                <w:szCs w:val="18"/>
              </w:rPr>
              <w:t>%</w:t>
            </w:r>
          </w:p>
          <w:p w:rsidR="00E44270" w:rsidRDefault="00E44270" w:rsidP="00B76694">
            <w:pPr>
              <w:widowControl w:val="0"/>
              <w:rPr>
                <w:color w:val="000000"/>
                <w:sz w:val="18"/>
                <w:szCs w:val="18"/>
              </w:rPr>
            </w:pPr>
          </w:p>
          <w:p w:rsidR="00E44270" w:rsidRPr="00135741" w:rsidRDefault="00E44270" w:rsidP="00B76694">
            <w:pPr>
              <w:widowControl w:val="0"/>
              <w:rPr>
                <w:color w:val="000000"/>
                <w:sz w:val="18"/>
                <w:szCs w:val="18"/>
              </w:rPr>
            </w:pPr>
            <w:r>
              <w:rPr>
                <w:color w:val="000000"/>
                <w:sz w:val="18"/>
                <w:szCs w:val="18"/>
              </w:rPr>
              <w:t xml:space="preserve">MDR </w:t>
            </w:r>
            <w:r w:rsidRPr="00802A63">
              <w:rPr>
                <w:color w:val="FF0000"/>
                <w:sz w:val="18"/>
                <w:szCs w:val="18"/>
              </w:rPr>
              <w:t>X</w:t>
            </w:r>
          </w:p>
        </w:tc>
      </w:tr>
      <w:tr w:rsidR="00E44270" w:rsidRPr="003B32C1" w:rsidTr="008B68EB">
        <w:trPr>
          <w:cantSplit/>
        </w:trPr>
        <w:tc>
          <w:tcPr>
            <w:tcW w:w="2377" w:type="dxa"/>
            <w:tcBorders>
              <w:top w:val="nil"/>
              <w:left w:val="nil"/>
              <w:bottom w:val="nil"/>
              <w:right w:val="single" w:sz="4" w:space="0" w:color="auto"/>
            </w:tcBorders>
            <w:shd w:val="clear" w:color="auto" w:fill="auto"/>
          </w:tcPr>
          <w:p w:rsidR="00E44270" w:rsidRPr="003B32C1" w:rsidRDefault="00E44270" w:rsidP="00B76694">
            <w:pPr>
              <w:widowControl w:val="0"/>
              <w:rPr>
                <w:color w:val="000000"/>
                <w:sz w:val="18"/>
                <w:szCs w:val="18"/>
              </w:rPr>
            </w:pPr>
            <w:r>
              <w:rPr>
                <w:color w:val="000000"/>
                <w:sz w:val="18"/>
                <w:szCs w:val="18"/>
              </w:rPr>
              <w:t>Toxicity to soil micro-organisms</w:t>
            </w:r>
            <w:r w:rsidRPr="003B32C1">
              <w:rPr>
                <w:color w:val="000000"/>
                <w:sz w:val="18"/>
                <w:szCs w:val="18"/>
              </w:rPr>
              <w:t xml:space="preserve"> </w:t>
            </w:r>
          </w:p>
        </w:tc>
        <w:tc>
          <w:tcPr>
            <w:tcW w:w="2486" w:type="dxa"/>
            <w:tcBorders>
              <w:top w:val="nil"/>
              <w:left w:val="nil"/>
              <w:bottom w:val="single" w:sz="8" w:space="0" w:color="auto"/>
              <w:right w:val="single" w:sz="8" w:space="0" w:color="auto"/>
            </w:tcBorders>
            <w:shd w:val="clear" w:color="auto" w:fill="auto"/>
          </w:tcPr>
          <w:p w:rsidR="00E44270" w:rsidRDefault="00E44270" w:rsidP="00B76694">
            <w:pPr>
              <w:widowControl w:val="0"/>
              <w:rPr>
                <w:color w:val="000000"/>
                <w:sz w:val="18"/>
                <w:szCs w:val="18"/>
              </w:rPr>
            </w:pPr>
            <w:r>
              <w:rPr>
                <w:color w:val="000000"/>
                <w:sz w:val="18"/>
                <w:szCs w:val="18"/>
              </w:rPr>
              <w:t xml:space="preserve">NOEC </w:t>
            </w:r>
            <w:r w:rsidRPr="00135741">
              <w:rPr>
                <w:color w:val="FF0000"/>
                <w:sz w:val="18"/>
                <w:szCs w:val="18"/>
              </w:rPr>
              <w:t>XX</w:t>
            </w:r>
            <w:r w:rsidRPr="003B32C1">
              <w:rPr>
                <w:color w:val="000000"/>
                <w:sz w:val="18"/>
                <w:szCs w:val="18"/>
              </w:rPr>
              <w:t xml:space="preserve"> mg ac/kg </w:t>
            </w:r>
            <w:r>
              <w:rPr>
                <w:color w:val="000000"/>
                <w:sz w:val="18"/>
                <w:szCs w:val="18"/>
              </w:rPr>
              <w:t>dry soil</w:t>
            </w:r>
            <w:r w:rsidRPr="003B32C1">
              <w:rPr>
                <w:color w:val="000000"/>
                <w:sz w:val="18"/>
                <w:szCs w:val="18"/>
              </w:rPr>
              <w:t xml:space="preserve"> </w:t>
            </w:r>
          </w:p>
          <w:p w:rsidR="00E44270" w:rsidRPr="003B32C1" w:rsidRDefault="00E44270" w:rsidP="00B76694">
            <w:pPr>
              <w:widowControl w:val="0"/>
              <w:rPr>
                <w:color w:val="000000"/>
                <w:sz w:val="18"/>
                <w:szCs w:val="18"/>
              </w:rPr>
            </w:pPr>
            <w:r>
              <w:rPr>
                <w:color w:val="000000"/>
                <w:sz w:val="18"/>
                <w:szCs w:val="18"/>
              </w:rPr>
              <w:t>(</w:t>
            </w:r>
            <w:r w:rsidRPr="007E7688">
              <w:rPr>
                <w:color w:val="FF0000"/>
                <w:sz w:val="18"/>
                <w:szCs w:val="18"/>
              </w:rPr>
              <w:t>indicate % effect at LOEC or &lt;25% effect at limit dose</w:t>
            </w:r>
            <w:r>
              <w:rPr>
                <w:color w:val="000000"/>
                <w:sz w:val="18"/>
                <w:szCs w:val="18"/>
              </w:rPr>
              <w:t>)</w:t>
            </w:r>
          </w:p>
          <w:p w:rsidR="00E44270" w:rsidRPr="00135741" w:rsidRDefault="00E44270" w:rsidP="00B76694">
            <w:pPr>
              <w:widowControl w:val="0"/>
              <w:rPr>
                <w:color w:val="FF0000"/>
                <w:sz w:val="18"/>
                <w:szCs w:val="18"/>
              </w:rPr>
            </w:pPr>
            <w:r w:rsidRPr="00135741">
              <w:rPr>
                <w:color w:val="FF0000"/>
                <w:sz w:val="18"/>
                <w:szCs w:val="18"/>
              </w:rPr>
              <w:t>Test item</w:t>
            </w:r>
          </w:p>
          <w:p w:rsidR="00E44270" w:rsidRPr="007E7688" w:rsidRDefault="00E44270" w:rsidP="00B76694">
            <w:pPr>
              <w:widowControl w:val="0"/>
              <w:rPr>
                <w:color w:val="FF0000"/>
                <w:sz w:val="18"/>
                <w:szCs w:val="18"/>
              </w:rPr>
            </w:pPr>
            <w:r w:rsidRPr="007E7688">
              <w:rPr>
                <w:color w:val="FF0000"/>
                <w:sz w:val="18"/>
                <w:szCs w:val="18"/>
              </w:rPr>
              <w:t>Soil process</w:t>
            </w:r>
          </w:p>
          <w:p w:rsidR="00E44270" w:rsidRPr="003B32C1" w:rsidRDefault="00E44270" w:rsidP="00B76694">
            <w:pPr>
              <w:widowControl w:val="0"/>
              <w:rPr>
                <w:color w:val="000000"/>
                <w:sz w:val="18"/>
                <w:szCs w:val="18"/>
                <w:lang w:eastAsia="en-AU"/>
              </w:rPr>
            </w:pPr>
            <w:r w:rsidRPr="00135741">
              <w:rPr>
                <w:color w:val="FF0000"/>
                <w:sz w:val="18"/>
                <w:szCs w:val="18"/>
                <w:lang w:eastAsia="en-AU"/>
              </w:rPr>
              <w:t>Reference</w:t>
            </w:r>
          </w:p>
        </w:tc>
        <w:tc>
          <w:tcPr>
            <w:tcW w:w="2403" w:type="dxa"/>
            <w:tcBorders>
              <w:top w:val="nil"/>
              <w:left w:val="nil"/>
              <w:bottom w:val="single" w:sz="8" w:space="0" w:color="auto"/>
              <w:right w:val="single" w:sz="8" w:space="0" w:color="auto"/>
            </w:tcBorders>
            <w:shd w:val="clear" w:color="auto" w:fill="auto"/>
          </w:tcPr>
          <w:p w:rsidR="00E44270" w:rsidRDefault="00E44270" w:rsidP="00B76694">
            <w:pPr>
              <w:widowControl w:val="0"/>
              <w:rPr>
                <w:color w:val="000000"/>
                <w:sz w:val="18"/>
                <w:szCs w:val="18"/>
              </w:rPr>
            </w:pPr>
            <w:r>
              <w:rPr>
                <w:color w:val="000000"/>
                <w:sz w:val="18"/>
                <w:szCs w:val="18"/>
              </w:rPr>
              <w:t xml:space="preserve">NOEC </w:t>
            </w:r>
            <w:r w:rsidRPr="00135741">
              <w:rPr>
                <w:color w:val="FF0000"/>
                <w:sz w:val="18"/>
                <w:szCs w:val="18"/>
              </w:rPr>
              <w:t>XX</w:t>
            </w:r>
            <w:r w:rsidRPr="003B32C1">
              <w:rPr>
                <w:color w:val="000000"/>
                <w:sz w:val="18"/>
                <w:szCs w:val="18"/>
              </w:rPr>
              <w:t xml:space="preserve"> mg ac/kg </w:t>
            </w:r>
            <w:r>
              <w:rPr>
                <w:color w:val="000000"/>
                <w:sz w:val="18"/>
                <w:szCs w:val="18"/>
              </w:rPr>
              <w:t>dry soil</w:t>
            </w:r>
          </w:p>
          <w:p w:rsidR="00E44270" w:rsidRPr="003B32C1" w:rsidRDefault="00E44270" w:rsidP="00B76694">
            <w:pPr>
              <w:widowControl w:val="0"/>
              <w:rPr>
                <w:color w:val="000000"/>
                <w:sz w:val="18"/>
                <w:szCs w:val="18"/>
              </w:rPr>
            </w:pPr>
            <w:r>
              <w:rPr>
                <w:color w:val="000000"/>
                <w:sz w:val="18"/>
                <w:szCs w:val="18"/>
              </w:rPr>
              <w:t>(</w:t>
            </w:r>
            <w:r w:rsidRPr="007E7688">
              <w:rPr>
                <w:color w:val="FF0000"/>
                <w:sz w:val="18"/>
                <w:szCs w:val="18"/>
              </w:rPr>
              <w:t>indicate % effect at LOEC or &lt;25% effect at limit dose</w:t>
            </w:r>
            <w:r>
              <w:rPr>
                <w:color w:val="000000"/>
                <w:sz w:val="18"/>
                <w:szCs w:val="18"/>
              </w:rPr>
              <w:t>)</w:t>
            </w:r>
            <w:r w:rsidRPr="003B32C1">
              <w:rPr>
                <w:color w:val="000000"/>
                <w:sz w:val="18"/>
                <w:szCs w:val="18"/>
              </w:rPr>
              <w:t xml:space="preserve"> </w:t>
            </w:r>
          </w:p>
          <w:p w:rsidR="00E44270" w:rsidRPr="00135741" w:rsidRDefault="00E44270" w:rsidP="00B76694">
            <w:pPr>
              <w:widowControl w:val="0"/>
              <w:rPr>
                <w:color w:val="FF0000"/>
                <w:sz w:val="18"/>
                <w:szCs w:val="18"/>
              </w:rPr>
            </w:pPr>
            <w:r w:rsidRPr="00135741">
              <w:rPr>
                <w:color w:val="FF0000"/>
                <w:sz w:val="18"/>
                <w:szCs w:val="18"/>
              </w:rPr>
              <w:t>Test item</w:t>
            </w:r>
          </w:p>
          <w:p w:rsidR="00E44270" w:rsidRPr="007E7688" w:rsidRDefault="00E44270" w:rsidP="00B76694">
            <w:pPr>
              <w:widowControl w:val="0"/>
              <w:rPr>
                <w:color w:val="FF0000"/>
                <w:sz w:val="18"/>
                <w:szCs w:val="18"/>
              </w:rPr>
            </w:pPr>
            <w:r w:rsidRPr="007E7688">
              <w:rPr>
                <w:color w:val="FF0000"/>
                <w:sz w:val="18"/>
                <w:szCs w:val="18"/>
              </w:rPr>
              <w:t>Soil process</w:t>
            </w:r>
          </w:p>
          <w:p w:rsidR="00E44270" w:rsidRPr="003B32C1" w:rsidRDefault="00E44270" w:rsidP="00B76694">
            <w:pPr>
              <w:widowControl w:val="0"/>
              <w:rPr>
                <w:color w:val="000000"/>
                <w:sz w:val="18"/>
                <w:szCs w:val="18"/>
                <w:lang w:eastAsia="en-AU"/>
              </w:rPr>
            </w:pPr>
            <w:r w:rsidRPr="00135741">
              <w:rPr>
                <w:color w:val="FF0000"/>
                <w:sz w:val="18"/>
                <w:szCs w:val="18"/>
                <w:lang w:eastAsia="en-AU"/>
              </w:rPr>
              <w:t>Reference</w:t>
            </w:r>
          </w:p>
        </w:tc>
        <w:tc>
          <w:tcPr>
            <w:tcW w:w="2486" w:type="dxa"/>
          </w:tcPr>
          <w:p w:rsidR="00E44270" w:rsidRDefault="00E44270" w:rsidP="00B76694">
            <w:pPr>
              <w:widowControl w:val="0"/>
              <w:rPr>
                <w:color w:val="000000"/>
                <w:sz w:val="18"/>
                <w:szCs w:val="18"/>
              </w:rPr>
            </w:pPr>
            <w:r>
              <w:rPr>
                <w:color w:val="000000"/>
                <w:sz w:val="18"/>
                <w:szCs w:val="18"/>
              </w:rPr>
              <w:t>Measured:</w:t>
            </w:r>
          </w:p>
          <w:p w:rsidR="00E44270" w:rsidRDefault="00E44270" w:rsidP="00B76694">
            <w:pPr>
              <w:widowControl w:val="0"/>
              <w:rPr>
                <w:color w:val="000000"/>
                <w:sz w:val="18"/>
                <w:szCs w:val="18"/>
              </w:rPr>
            </w:pPr>
            <w:r>
              <w:rPr>
                <w:color w:val="000000"/>
                <w:sz w:val="18"/>
                <w:szCs w:val="18"/>
              </w:rPr>
              <w:t xml:space="preserve">NOEC </w:t>
            </w:r>
            <w:r w:rsidRPr="00135741">
              <w:rPr>
                <w:color w:val="FF0000"/>
                <w:sz w:val="18"/>
                <w:szCs w:val="18"/>
              </w:rPr>
              <w:t>XX</w:t>
            </w:r>
            <w:r w:rsidRPr="003B32C1">
              <w:rPr>
                <w:color w:val="000000"/>
                <w:sz w:val="18"/>
                <w:szCs w:val="18"/>
              </w:rPr>
              <w:t xml:space="preserve"> mg ac</w:t>
            </w:r>
            <w:r>
              <w:rPr>
                <w:color w:val="000000"/>
                <w:sz w:val="18"/>
                <w:szCs w:val="18"/>
              </w:rPr>
              <w:t>s</w:t>
            </w:r>
            <w:r w:rsidRPr="003B32C1">
              <w:rPr>
                <w:color w:val="000000"/>
                <w:sz w:val="18"/>
                <w:szCs w:val="18"/>
              </w:rPr>
              <w:t xml:space="preserve">/kg </w:t>
            </w:r>
            <w:r>
              <w:rPr>
                <w:color w:val="000000"/>
                <w:sz w:val="18"/>
                <w:szCs w:val="18"/>
              </w:rPr>
              <w:t>dry soil</w:t>
            </w:r>
            <w:r w:rsidRPr="003B32C1">
              <w:rPr>
                <w:color w:val="000000"/>
                <w:sz w:val="18"/>
                <w:szCs w:val="18"/>
              </w:rPr>
              <w:t xml:space="preserve"> </w:t>
            </w:r>
          </w:p>
          <w:p w:rsidR="00E44270" w:rsidRPr="003B32C1" w:rsidRDefault="00E44270" w:rsidP="00B76694">
            <w:pPr>
              <w:widowControl w:val="0"/>
              <w:rPr>
                <w:color w:val="000000"/>
                <w:sz w:val="18"/>
                <w:szCs w:val="18"/>
              </w:rPr>
            </w:pPr>
            <w:r>
              <w:rPr>
                <w:color w:val="000000"/>
                <w:sz w:val="18"/>
                <w:szCs w:val="18"/>
              </w:rPr>
              <w:t>(</w:t>
            </w:r>
            <w:r w:rsidRPr="007E7688">
              <w:rPr>
                <w:color w:val="FF0000"/>
                <w:sz w:val="18"/>
                <w:szCs w:val="18"/>
              </w:rPr>
              <w:t>indicate % effect at LOEC or &lt;25% effect at limit dose</w:t>
            </w:r>
            <w:r>
              <w:rPr>
                <w:color w:val="000000"/>
                <w:sz w:val="18"/>
                <w:szCs w:val="18"/>
              </w:rPr>
              <w:t>)</w:t>
            </w:r>
          </w:p>
          <w:p w:rsidR="00E44270" w:rsidRPr="00135741" w:rsidRDefault="00E44270" w:rsidP="00B76694">
            <w:pPr>
              <w:widowControl w:val="0"/>
              <w:rPr>
                <w:color w:val="FF0000"/>
                <w:sz w:val="18"/>
                <w:szCs w:val="18"/>
              </w:rPr>
            </w:pPr>
            <w:r w:rsidRPr="00135741">
              <w:rPr>
                <w:color w:val="FF0000"/>
                <w:sz w:val="18"/>
                <w:szCs w:val="18"/>
              </w:rPr>
              <w:t>Test item</w:t>
            </w:r>
          </w:p>
          <w:p w:rsidR="00E44270" w:rsidRPr="007E7688" w:rsidRDefault="00E44270" w:rsidP="00B76694">
            <w:pPr>
              <w:widowControl w:val="0"/>
              <w:rPr>
                <w:color w:val="FF0000"/>
                <w:sz w:val="18"/>
                <w:szCs w:val="18"/>
              </w:rPr>
            </w:pPr>
            <w:r w:rsidRPr="007E7688">
              <w:rPr>
                <w:color w:val="FF0000"/>
                <w:sz w:val="18"/>
                <w:szCs w:val="18"/>
              </w:rPr>
              <w:t>Soil process</w:t>
            </w:r>
          </w:p>
          <w:p w:rsidR="00E44270" w:rsidRDefault="00E44270" w:rsidP="00B76694">
            <w:pPr>
              <w:widowControl w:val="0"/>
              <w:rPr>
                <w:sz w:val="18"/>
                <w:szCs w:val="18"/>
                <w:lang w:eastAsia="en-AU"/>
              </w:rPr>
            </w:pPr>
            <w:r w:rsidRPr="00135741">
              <w:rPr>
                <w:color w:val="FF0000"/>
                <w:sz w:val="18"/>
                <w:szCs w:val="18"/>
                <w:lang w:eastAsia="en-AU"/>
              </w:rPr>
              <w:t>Reference</w:t>
            </w:r>
          </w:p>
          <w:p w:rsidR="00E44270" w:rsidRDefault="00E44270" w:rsidP="00B76694">
            <w:pPr>
              <w:widowControl w:val="0"/>
              <w:rPr>
                <w:sz w:val="18"/>
                <w:szCs w:val="18"/>
                <w:lang w:eastAsia="en-AU"/>
              </w:rPr>
            </w:pPr>
          </w:p>
          <w:p w:rsidR="00E44270" w:rsidRDefault="00E44270" w:rsidP="00B76694">
            <w:pPr>
              <w:widowControl w:val="0"/>
              <w:rPr>
                <w:sz w:val="18"/>
                <w:szCs w:val="18"/>
                <w:lang w:eastAsia="en-AU"/>
              </w:rPr>
            </w:pPr>
            <w:r>
              <w:rPr>
                <w:sz w:val="18"/>
                <w:szCs w:val="18"/>
                <w:lang w:eastAsia="en-AU"/>
              </w:rPr>
              <w:t>Predicted:</w:t>
            </w:r>
          </w:p>
          <w:p w:rsidR="00E44270" w:rsidRDefault="00E44270" w:rsidP="00B76694">
            <w:pPr>
              <w:widowControl w:val="0"/>
              <w:rPr>
                <w:color w:val="000000"/>
                <w:sz w:val="18"/>
                <w:szCs w:val="18"/>
              </w:rPr>
            </w:pPr>
            <w:r>
              <w:rPr>
                <w:color w:val="000000"/>
                <w:sz w:val="18"/>
                <w:szCs w:val="18"/>
              </w:rPr>
              <w:t xml:space="preserve">NOEC </w:t>
            </w:r>
            <w:r w:rsidRPr="00135741">
              <w:rPr>
                <w:color w:val="FF0000"/>
                <w:sz w:val="18"/>
                <w:szCs w:val="18"/>
              </w:rPr>
              <w:t>XX</w:t>
            </w:r>
            <w:r w:rsidRPr="003B32C1">
              <w:rPr>
                <w:color w:val="000000"/>
                <w:sz w:val="18"/>
                <w:szCs w:val="18"/>
              </w:rPr>
              <w:t xml:space="preserve"> mg ac</w:t>
            </w:r>
            <w:r>
              <w:rPr>
                <w:color w:val="000000"/>
                <w:sz w:val="18"/>
                <w:szCs w:val="18"/>
              </w:rPr>
              <w:t>s</w:t>
            </w:r>
            <w:r w:rsidRPr="003B32C1">
              <w:rPr>
                <w:color w:val="000000"/>
                <w:sz w:val="18"/>
                <w:szCs w:val="18"/>
              </w:rPr>
              <w:t xml:space="preserve">/kg </w:t>
            </w:r>
            <w:r>
              <w:rPr>
                <w:color w:val="000000"/>
                <w:sz w:val="18"/>
                <w:szCs w:val="18"/>
              </w:rPr>
              <w:t>dry soil</w:t>
            </w:r>
          </w:p>
          <w:p w:rsidR="00E44270" w:rsidRDefault="00E44270" w:rsidP="00B76694">
            <w:pPr>
              <w:widowControl w:val="0"/>
              <w:rPr>
                <w:color w:val="000000"/>
                <w:sz w:val="18"/>
                <w:szCs w:val="18"/>
              </w:rPr>
            </w:pPr>
          </w:p>
          <w:p w:rsidR="00E44270" w:rsidRDefault="00E44270" w:rsidP="00B76694">
            <w:pPr>
              <w:widowControl w:val="0"/>
              <w:rPr>
                <w:color w:val="000000"/>
                <w:sz w:val="18"/>
                <w:szCs w:val="18"/>
              </w:rPr>
            </w:pPr>
            <w:r>
              <w:rPr>
                <w:color w:val="000000"/>
                <w:sz w:val="18"/>
                <w:szCs w:val="18"/>
              </w:rPr>
              <w:t>Relative toxicity contributions:</w:t>
            </w:r>
          </w:p>
          <w:p w:rsidR="00E44270" w:rsidRDefault="00E44270" w:rsidP="00B76694">
            <w:pPr>
              <w:widowControl w:val="0"/>
              <w:rPr>
                <w:color w:val="000000"/>
                <w:sz w:val="18"/>
                <w:szCs w:val="18"/>
              </w:rPr>
            </w:pPr>
            <w:r w:rsidRPr="008033E2">
              <w:rPr>
                <w:color w:val="FF0000"/>
                <w:sz w:val="18"/>
                <w:szCs w:val="18"/>
              </w:rPr>
              <w:t>X</w:t>
            </w:r>
            <w:r>
              <w:rPr>
                <w:color w:val="000000"/>
                <w:sz w:val="18"/>
                <w:szCs w:val="18"/>
              </w:rPr>
              <w:t xml:space="preserve">% + </w:t>
            </w:r>
            <w:r w:rsidRPr="008033E2">
              <w:rPr>
                <w:color w:val="FF0000"/>
                <w:sz w:val="18"/>
                <w:szCs w:val="18"/>
              </w:rPr>
              <w:t>X</w:t>
            </w:r>
            <w:r>
              <w:rPr>
                <w:color w:val="000000"/>
                <w:sz w:val="18"/>
                <w:szCs w:val="18"/>
              </w:rPr>
              <w:t>%</w:t>
            </w:r>
          </w:p>
          <w:p w:rsidR="00E44270" w:rsidRDefault="00E44270" w:rsidP="00B76694">
            <w:pPr>
              <w:widowControl w:val="0"/>
              <w:rPr>
                <w:color w:val="000000"/>
                <w:sz w:val="18"/>
                <w:szCs w:val="18"/>
              </w:rPr>
            </w:pPr>
          </w:p>
          <w:p w:rsidR="00E44270" w:rsidRPr="00135741" w:rsidRDefault="00E44270" w:rsidP="00B76694">
            <w:pPr>
              <w:widowControl w:val="0"/>
              <w:rPr>
                <w:color w:val="000000"/>
                <w:sz w:val="18"/>
                <w:szCs w:val="18"/>
              </w:rPr>
            </w:pPr>
            <w:r>
              <w:rPr>
                <w:color w:val="000000"/>
                <w:sz w:val="18"/>
                <w:szCs w:val="18"/>
              </w:rPr>
              <w:t xml:space="preserve">MDR </w:t>
            </w:r>
            <w:r w:rsidRPr="00802A63">
              <w:rPr>
                <w:color w:val="FF0000"/>
                <w:sz w:val="18"/>
                <w:szCs w:val="18"/>
              </w:rPr>
              <w:t>X</w:t>
            </w:r>
          </w:p>
        </w:tc>
      </w:tr>
    </w:tbl>
    <w:p w:rsidR="00E44270" w:rsidRPr="009C1AB3" w:rsidRDefault="00E44270" w:rsidP="00E44270">
      <w:pPr>
        <w:pStyle w:val="BodyText"/>
        <w:rPr>
          <w:sz w:val="22"/>
          <w:szCs w:val="22"/>
        </w:rPr>
      </w:pPr>
    </w:p>
    <w:p w:rsidR="00E44270" w:rsidRPr="00B72640" w:rsidRDefault="00E44270" w:rsidP="00E44270">
      <w:pPr>
        <w:pStyle w:val="Heading2"/>
        <w:ind w:left="851" w:hanging="851"/>
      </w:pPr>
      <w:bookmarkStart w:id="221" w:name="_Toc526432256"/>
      <w:r w:rsidRPr="00B72640">
        <w:t>Risk mitigation</w:t>
      </w:r>
      <w:bookmarkEnd w:id="221"/>
    </w:p>
    <w:p w:rsidR="00E44270" w:rsidRPr="002E001C" w:rsidRDefault="00E44270" w:rsidP="00E44270">
      <w:pPr>
        <w:pStyle w:val="NormalText"/>
        <w:rPr>
          <w:rStyle w:val="ATChar"/>
        </w:rPr>
      </w:pPr>
      <w:r w:rsidRPr="002E001C">
        <w:rPr>
          <w:rStyle w:val="ATChar"/>
          <w:rFonts w:ascii="Calibri" w:hAnsi="Calibri" w:cs="Arial"/>
        </w:rPr>
        <w:t xml:space="preserve">Risk mitigation options for soil organisms are limited. There are possibilities to reduce the exposure (reduction of application rate and/or number of applications and/or restriction on glasshouse use only), but these measures must be compatible with the agricultural objectives. The same is true for restrictions concerning the amount of treated area (e.g. band row instead of broadcast application, untreated field margins). If the risk to organic matter decomposition is determined to be sufficiently high and it cannot be adequately managed, then a cost/benefit analysis of the proposed use and/or risk labelling of the product may be considered. </w:t>
      </w:r>
    </w:p>
    <w:p w:rsidR="00E44270" w:rsidRPr="00B72640" w:rsidRDefault="00E44270" w:rsidP="00E44270">
      <w:pPr>
        <w:pStyle w:val="Heading2"/>
        <w:ind w:left="851" w:hanging="851"/>
      </w:pPr>
      <w:bookmarkStart w:id="222" w:name="_Toc526432257"/>
      <w:r w:rsidRPr="00B72640">
        <w:t>References</w:t>
      </w:r>
      <w:bookmarkEnd w:id="222"/>
    </w:p>
    <w:p w:rsidR="00E44270" w:rsidRPr="00DD0A43" w:rsidRDefault="00E44270" w:rsidP="00E44270">
      <w:pPr>
        <w:pStyle w:val="NormalText"/>
      </w:pPr>
      <w:r w:rsidRPr="00DD0A43">
        <w:t xml:space="preserve">EC (European Commission), 2002, Guidance document on terrestrial ecotoxicology under Council Directive 91/414/EEC, SANCO/10329/2002 rev 2 final. Available online: </w:t>
      </w:r>
      <w:hyperlink r:id="rId97" w:history="1">
        <w:r w:rsidRPr="00DD0A43">
          <w:t>https://ec.europa.eu/food/sites/food/files/plant/docs/pesticides_ppp_app-proc_guide_ecotox_terrestrial.pdf</w:t>
        </w:r>
      </w:hyperlink>
    </w:p>
    <w:p w:rsidR="00E44270" w:rsidRPr="00DD0A43" w:rsidRDefault="00E44270" w:rsidP="00E44270">
      <w:pPr>
        <w:pStyle w:val="NormalText"/>
      </w:pPr>
      <w:r w:rsidRPr="00DD0A43">
        <w:t xml:space="preserve">EFSA (European Food Safety Authority), 2014, EFSA guidance document for evaluating laboratory and field dissipation studies to obtain DegT50 values of active substances of plant protection products and transformation products of these active substances in soil, EFSA Journal 12(5):3662, 37 pp. doi:10.2903/j.efsa.2014.3662, Available online: </w:t>
      </w:r>
      <w:hyperlink r:id="rId98" w:history="1">
        <w:r w:rsidRPr="00DD0A43">
          <w:t>https://www.efsa.europa.eu/en/efsajournal</w:t>
        </w:r>
      </w:hyperlink>
      <w:r w:rsidRPr="00DD0A43">
        <w:t xml:space="preserve">  </w:t>
      </w:r>
    </w:p>
    <w:p w:rsidR="00E44270" w:rsidRPr="00DD0A43" w:rsidRDefault="00E44270" w:rsidP="00E44270">
      <w:pPr>
        <w:pStyle w:val="NormalText"/>
      </w:pPr>
      <w:r w:rsidRPr="00DD0A43">
        <w:t xml:space="preserve">EFSA (European Food Safety Authority), 2017, Scientific Opinion addressing the state of the science on risk assessment of plant protection products for in-soil organisms, EFSA Journal 15(2):4690, 225 pp. doi:10.2903/j.efsa.2017.4690, Available online: </w:t>
      </w:r>
      <w:hyperlink r:id="rId99" w:history="1">
        <w:r w:rsidRPr="00DD0A43">
          <w:t>https://www.efsa.europa.eu/en/efsajournal/pub/4690</w:t>
        </w:r>
      </w:hyperlink>
      <w:r w:rsidRPr="00DD0A43">
        <w:t xml:space="preserve"> </w:t>
      </w:r>
    </w:p>
    <w:p w:rsidR="00E44270" w:rsidRPr="00DD0A43" w:rsidRDefault="00E44270" w:rsidP="00E44270">
      <w:pPr>
        <w:pStyle w:val="NormalText"/>
      </w:pPr>
      <w:r w:rsidRPr="00DD0A43">
        <w:t xml:space="preserve">EPHC (Environment Protection and Heritage Council), 2009, Environmental risk assessment guidance manual for agricultural and veterinary chemicals, ISBN 978-1-9221173-38-7, available online: </w:t>
      </w:r>
      <w:hyperlink r:id="rId100" w:history="1">
        <w:r w:rsidRPr="00DD0A43">
          <w:t>http://www.nepc.gov.au/resource/chemical-risk-assessment-guidance-manuals</w:t>
        </w:r>
      </w:hyperlink>
      <w:r w:rsidRPr="00DD0A43">
        <w:t xml:space="preserve"> </w:t>
      </w:r>
    </w:p>
    <w:p w:rsidR="00E44270" w:rsidRPr="00DD0A43" w:rsidRDefault="00E44270" w:rsidP="00E44270">
      <w:pPr>
        <w:pStyle w:val="NormalText"/>
      </w:pPr>
      <w:r w:rsidRPr="00DD0A43">
        <w:t>EPPO (European and Mediterranean Plant Protection Protection Organization), 2003, Environmental risk assessment scheme for plant protection products, Chapter 8: Soil organisms and functions, EPPO Bulletin 33: 147-149.</w:t>
      </w:r>
    </w:p>
    <w:p w:rsidR="00E44270" w:rsidRPr="00DD0A43" w:rsidRDefault="00E44270" w:rsidP="00E44270">
      <w:pPr>
        <w:pStyle w:val="NormalText"/>
        <w:sectPr w:rsidR="00E44270" w:rsidRPr="00DD0A43" w:rsidSect="001A19FE">
          <w:endnotePr>
            <w:numFmt w:val="decimal"/>
          </w:endnotePr>
          <w:pgSz w:w="11906" w:h="16838" w:code="9"/>
          <w:pgMar w:top="2552" w:right="1134" w:bottom="1134" w:left="1134" w:header="1758" w:footer="680" w:gutter="0"/>
          <w:cols w:space="708"/>
          <w:docGrid w:linePitch="360"/>
        </w:sectPr>
      </w:pPr>
    </w:p>
    <w:p w:rsidR="00D92F37" w:rsidRDefault="00D92F37" w:rsidP="000440F9">
      <w:pPr>
        <w:pStyle w:val="Heading1"/>
        <w:numPr>
          <w:ilvl w:val="0"/>
          <w:numId w:val="20"/>
        </w:numPr>
      </w:pPr>
      <w:bookmarkStart w:id="223" w:name="_Toc526432258"/>
      <w:r>
        <w:lastRenderedPageBreak/>
        <w:t xml:space="preserve">APpendix </w:t>
      </w:r>
      <w:r w:rsidR="00E44270">
        <w:t>D</w:t>
      </w:r>
      <w:r>
        <w:t xml:space="preserve"> – Non-Target Terrestrial Plants</w:t>
      </w:r>
      <w:bookmarkEnd w:id="223"/>
    </w:p>
    <w:p w:rsidR="00D92F37" w:rsidRPr="00B72640" w:rsidRDefault="00D92F37" w:rsidP="00D92F37">
      <w:pPr>
        <w:pStyle w:val="Heading2"/>
        <w:ind w:left="851" w:hanging="851"/>
      </w:pPr>
      <w:bookmarkStart w:id="224" w:name="_Toc526432259"/>
      <w:r w:rsidRPr="00B72640">
        <w:t>Introduction</w:t>
      </w:r>
      <w:bookmarkEnd w:id="224"/>
    </w:p>
    <w:p w:rsidR="00D92F37" w:rsidRPr="003C4118" w:rsidRDefault="00D92F37" w:rsidP="003C4118">
      <w:pPr>
        <w:pStyle w:val="NormalText"/>
        <w:rPr>
          <w:rStyle w:val="ATChar"/>
          <w:rFonts w:ascii="Calibri" w:hAnsi="Calibri" w:cs="Arial"/>
        </w:rPr>
      </w:pPr>
      <w:r w:rsidRPr="003C4118">
        <w:rPr>
          <w:rStyle w:val="ATChar"/>
          <w:rFonts w:ascii="Calibri" w:hAnsi="Calibri" w:cs="Arial"/>
        </w:rPr>
        <w:t>Non-target plants are defined as non-crop plants outside the treatment area. Non-target plants are primary producers supporting organisms at higher trophic levels. These supporting services include primary production, habitat provision and food for other trophic levels. Since it is known that phytotoxic effects may occur for products other than herbicides, some level of testing of all active constituents is necessary, unless it can be shown that exposure will not occur.</w:t>
      </w:r>
    </w:p>
    <w:p w:rsidR="00D92F37" w:rsidRPr="003C4118" w:rsidRDefault="00D92F37" w:rsidP="003C4118">
      <w:pPr>
        <w:pStyle w:val="NormalText"/>
        <w:rPr>
          <w:rStyle w:val="ATChar"/>
          <w:rFonts w:ascii="Calibri" w:hAnsi="Calibri" w:cs="Arial"/>
        </w:rPr>
      </w:pPr>
      <w:r w:rsidRPr="003C4118">
        <w:rPr>
          <w:rStyle w:val="ATChar"/>
          <w:rFonts w:ascii="Calibri" w:hAnsi="Calibri" w:cs="Arial"/>
        </w:rPr>
        <w:t>The general protection goal is to protect biodiversity and ecosystems. The protection goal for higher terrestrial plants aims to protect both plant species abundance (e.g. numbers and/or cover of individuals for single species) and plant diversity in an agricultural area (EFSA 2014). It is assumed that the biodiversity is maintained when the plant populations will not be affected by the use of pesticide product.</w:t>
      </w:r>
    </w:p>
    <w:p w:rsidR="00D92F37" w:rsidRPr="00534232" w:rsidRDefault="00D92F37" w:rsidP="00534232">
      <w:pPr>
        <w:pStyle w:val="Heading2"/>
        <w:ind w:left="851" w:hanging="851"/>
      </w:pPr>
      <w:bookmarkStart w:id="225" w:name="_Toc526432260"/>
      <w:r w:rsidRPr="00534232">
        <w:t>Toxicity figures</w:t>
      </w:r>
      <w:bookmarkEnd w:id="225"/>
    </w:p>
    <w:p w:rsidR="00D92F37" w:rsidRPr="0023614D" w:rsidRDefault="00D92F37" w:rsidP="0023614D">
      <w:pPr>
        <w:pStyle w:val="BodyText"/>
        <w:rPr>
          <w:i/>
          <w:sz w:val="22"/>
          <w:szCs w:val="22"/>
        </w:rPr>
      </w:pPr>
      <w:r w:rsidRPr="0023614D">
        <w:rPr>
          <w:i/>
          <w:sz w:val="22"/>
          <w:szCs w:val="22"/>
        </w:rPr>
        <w:t>Tier 1 testing</w:t>
      </w:r>
    </w:p>
    <w:p w:rsidR="00D92F37" w:rsidRPr="003C4118" w:rsidRDefault="00D92F37" w:rsidP="003C4118">
      <w:pPr>
        <w:pStyle w:val="NormalText"/>
        <w:rPr>
          <w:rStyle w:val="ATChar"/>
          <w:rFonts w:ascii="Calibri" w:hAnsi="Calibri" w:cs="Arial"/>
        </w:rPr>
      </w:pPr>
      <w:r w:rsidRPr="003C4118">
        <w:rPr>
          <w:rStyle w:val="ATChar"/>
          <w:rFonts w:ascii="Calibri" w:hAnsi="Calibri" w:cs="Arial"/>
        </w:rPr>
        <w:t>Single-dose phytotoxicity screening data for terrestrial non-target plants at or above the maximum application rate on a wide range of species (e.g. at least six but preferably more), is recommended as a first tier to determine whether the active constituent has phytotoxic properties. These data could be supplemented by further information on efficacy, selectivity, phytotoxicity, etc. included in the biological dossier or obtained from the different field assays such as efficacy trials, residue studies, environmental fate and ecotoxicological studies, etc. The initial step is usually skipped for herbicides and plant growth regulators as these inevitably will end up in the second tier.</w:t>
      </w:r>
    </w:p>
    <w:p w:rsidR="00D92F37" w:rsidRPr="00D47DEB" w:rsidRDefault="00D92F37" w:rsidP="00D92F37">
      <w:pPr>
        <w:pStyle w:val="BodyText"/>
        <w:rPr>
          <w:i/>
          <w:sz w:val="22"/>
          <w:szCs w:val="22"/>
        </w:rPr>
      </w:pPr>
      <w:r w:rsidRPr="00D47DEB">
        <w:rPr>
          <w:i/>
          <w:sz w:val="22"/>
          <w:szCs w:val="22"/>
        </w:rPr>
        <w:t>Tier 2 testing</w:t>
      </w:r>
    </w:p>
    <w:p w:rsidR="00D92F37" w:rsidRPr="003C4118" w:rsidRDefault="00D92F37" w:rsidP="003C4118">
      <w:pPr>
        <w:pStyle w:val="NormalText"/>
        <w:rPr>
          <w:rStyle w:val="ATChar"/>
          <w:rFonts w:ascii="Calibri" w:hAnsi="Calibri" w:cs="Arial"/>
        </w:rPr>
      </w:pPr>
      <w:r w:rsidRPr="003C4118">
        <w:rPr>
          <w:rStyle w:val="ATChar"/>
          <w:rFonts w:ascii="Calibri" w:hAnsi="Calibri" w:cs="Arial"/>
        </w:rPr>
        <w:t>If &gt;50% effect is observed in Tier 1 testing for one or more species, dose–response relationships for at least six species representing families for which significant herbicidal action has been found are recommended to quantify the level of effect using both soil and foliar exposure scenarios under tier 2. The second tier considers laboratory assays on a selection of plant species. It is recommended to conduct dose-response tests on 6-10 plant species representing as many taxonomic groups as possible. In order to generate data that are useful for probabilistic approaches there should not be a focus exclusively on species assumed to be the most sensitive. If, from the screening data, a specific mode of action is evident, or strong differences in the species sensitivities are identified, this evidence should be used in the selection of the appropriate test species. This may be especially true if non-herbicides reach tier-2 testing. ER25, ER50 and, if possible, HR5 values (on the ER50 data) should be generated.</w:t>
      </w:r>
    </w:p>
    <w:p w:rsidR="00D92F37" w:rsidRPr="003C4118" w:rsidRDefault="00D92F37" w:rsidP="003C4118">
      <w:pPr>
        <w:pStyle w:val="NormalText"/>
        <w:rPr>
          <w:rStyle w:val="ATChar"/>
          <w:rFonts w:ascii="Calibri" w:hAnsi="Calibri" w:cs="Arial"/>
        </w:rPr>
      </w:pPr>
      <w:r w:rsidRPr="003C4118">
        <w:rPr>
          <w:rStyle w:val="ATChar"/>
          <w:rFonts w:ascii="Calibri" w:hAnsi="Calibri" w:cs="Arial"/>
        </w:rPr>
        <w:t xml:space="preserve">For foliar applications, the bioassays should be conducted by spraying the product on the plants, reproduce as far as possible the realistic exposure conditions and, in particular, spray drift. Soil application should be chosen if that is more appropriate with regard to the mode of action. The test substance should be the lead formulation (or another formulation) because formulations contain, besides the active substance, all those </w:t>
      </w:r>
      <w:r w:rsidRPr="003C4118">
        <w:rPr>
          <w:rStyle w:val="ATChar"/>
          <w:rFonts w:ascii="Calibri" w:hAnsi="Calibri" w:cs="Arial"/>
        </w:rPr>
        <w:lastRenderedPageBreak/>
        <w:t xml:space="preserve">components and co-adjuvants required for maximising biological activity. For systemic products applied on the ground/soil, the tests should reproduce this application pattern. </w:t>
      </w:r>
    </w:p>
    <w:p w:rsidR="00D92F37" w:rsidRPr="00C37C12" w:rsidRDefault="00D92F37" w:rsidP="00D92F37">
      <w:pPr>
        <w:pStyle w:val="BodyText"/>
        <w:rPr>
          <w:i/>
          <w:sz w:val="22"/>
          <w:szCs w:val="22"/>
        </w:rPr>
      </w:pPr>
      <w:r w:rsidRPr="00C37C12">
        <w:rPr>
          <w:i/>
          <w:sz w:val="22"/>
          <w:szCs w:val="22"/>
        </w:rPr>
        <w:t>Tier 3 testing</w:t>
      </w:r>
    </w:p>
    <w:p w:rsidR="00D92F37" w:rsidRPr="003C4118" w:rsidRDefault="00D92F37" w:rsidP="003C4118">
      <w:pPr>
        <w:pStyle w:val="NormalText"/>
        <w:rPr>
          <w:rStyle w:val="ATChar"/>
          <w:rFonts w:ascii="Calibri" w:hAnsi="Calibri" w:cs="Arial"/>
        </w:rPr>
      </w:pPr>
      <w:r w:rsidRPr="003C4118">
        <w:rPr>
          <w:rStyle w:val="ATChar"/>
          <w:rFonts w:ascii="Calibri" w:hAnsi="Calibri" w:cs="Arial"/>
        </w:rPr>
        <w:t>The third tier requires semi-field or field assays, to study the effects observed on non-target plants during realistic applications. Such studies are time-consuming and expensive; before undertaking them it should be checked whether there are options for the refinement of exposure and/or effects. Furthermore, as for all other non-target organisms, field or semi-field studies are not required if the risk based on the tier 2 assessment could be managed by risk mitigation measures (ie, mandatory no-spray zones).</w:t>
      </w:r>
    </w:p>
    <w:p w:rsidR="00D92F37" w:rsidRPr="003C4118" w:rsidRDefault="00D92F37" w:rsidP="003C4118">
      <w:pPr>
        <w:pStyle w:val="NormalText"/>
        <w:rPr>
          <w:rStyle w:val="ATChar"/>
          <w:rFonts w:ascii="Calibri" w:hAnsi="Calibri" w:cs="Arial"/>
        </w:rPr>
      </w:pPr>
      <w:r w:rsidRPr="003C4118">
        <w:rPr>
          <w:rStyle w:val="ATChar"/>
          <w:rFonts w:ascii="Calibri" w:hAnsi="Calibri" w:cs="Arial"/>
        </w:rPr>
        <w:t>Field or semi-field studies with non-target plants are not standardised. Therefore applicants might wish to discuss the protocol with the APVMA under a Pre-application Assistance (PAA) application. Generally, effects on plant abundance and biomass production at different distances from the crop or at exposure levels representing different distances from the crop should be analysed. These studies are compatible with most semi-field and field studies.</w:t>
      </w:r>
    </w:p>
    <w:p w:rsidR="00D92F37" w:rsidRPr="003C4118" w:rsidRDefault="00D92F37" w:rsidP="003C4118">
      <w:pPr>
        <w:pStyle w:val="Heading2"/>
        <w:keepLines w:val="0"/>
        <w:tabs>
          <w:tab w:val="num" w:pos="1134"/>
        </w:tabs>
        <w:suppressAutoHyphens w:val="0"/>
        <w:spacing w:before="480" w:after="120" w:line="240" w:lineRule="auto"/>
        <w:ind w:left="1134" w:hanging="1134"/>
      </w:pPr>
      <w:bookmarkStart w:id="226" w:name="_Toc526432261"/>
      <w:r w:rsidRPr="003C4118">
        <w:t>Risk assessment</w:t>
      </w:r>
      <w:bookmarkEnd w:id="226"/>
    </w:p>
    <w:p w:rsidR="00D92F37" w:rsidRPr="003C4118" w:rsidRDefault="00D92F37" w:rsidP="003C4118">
      <w:pPr>
        <w:pStyle w:val="NormalText"/>
        <w:rPr>
          <w:rStyle w:val="ATChar"/>
          <w:rFonts w:ascii="Calibri" w:hAnsi="Calibri" w:cs="Arial"/>
        </w:rPr>
      </w:pPr>
      <w:r w:rsidRPr="003C4118">
        <w:rPr>
          <w:rStyle w:val="ATChar"/>
          <w:rFonts w:ascii="Calibri" w:hAnsi="Calibri" w:cs="Arial"/>
        </w:rPr>
        <w:t>Non-target terrestrial adjacent to the treatment area could be directly exposed to spray drift during treatment. Risks to non-target terrestrial plants are assessed using a tiered approach which is in line with current EPHC (2009) guidance. Although non-target plants are defined as non-crop plants located outside the treatment area, screening level risk assessment assumes the worst-case scenario of a direct exposure to the treatment in order to identify those substances and associated uses that do not pose a risk to non-target terrestrial plants (Table X). Both pre-emergent and post-emergent exposure scenarios are considered.</w:t>
      </w:r>
    </w:p>
    <w:p w:rsidR="00D92F37" w:rsidRPr="003C4118" w:rsidRDefault="00D92F37" w:rsidP="003C4118">
      <w:pPr>
        <w:pStyle w:val="NormalText"/>
        <w:rPr>
          <w:rStyle w:val="ATChar"/>
          <w:rFonts w:ascii="Calibri" w:hAnsi="Calibri" w:cs="Arial"/>
        </w:rPr>
      </w:pPr>
      <w:r w:rsidRPr="003C4118">
        <w:rPr>
          <w:rStyle w:val="ATChar"/>
          <w:rFonts w:ascii="Calibri" w:hAnsi="Calibri" w:cs="Arial"/>
        </w:rPr>
        <w:t xml:space="preserve">Only the maximum single application rate is considered for post-emergent exposure; however, for pre-emergent exposure, accumulated residues in soil are considered in the case of multiple applications: </w:t>
      </w:r>
    </w:p>
    <w:p w:rsidR="00D92F37" w:rsidRPr="001E0BBE" w:rsidRDefault="00D92F37" w:rsidP="00D92F37">
      <w:pPr>
        <w:pStyle w:val="BodyText"/>
        <w:ind w:left="720"/>
        <w:rPr>
          <w:sz w:val="20"/>
          <w:szCs w:val="22"/>
        </w:rPr>
      </w:pPr>
      <w:r>
        <w:rPr>
          <w:sz w:val="20"/>
          <w:szCs w:val="22"/>
        </w:rPr>
        <w:t>Cumulative rate</w:t>
      </w:r>
      <w:r w:rsidRPr="001E0BBE">
        <w:rPr>
          <w:sz w:val="20"/>
          <w:szCs w:val="22"/>
        </w:rPr>
        <w:t xml:space="preserve"> = </w:t>
      </w:r>
      <w:r>
        <w:rPr>
          <w:sz w:val="20"/>
          <w:szCs w:val="22"/>
        </w:rPr>
        <w:t>Single rate</w:t>
      </w:r>
      <w:r w:rsidRPr="001E0BBE">
        <w:rPr>
          <w:sz w:val="20"/>
          <w:szCs w:val="22"/>
        </w:rPr>
        <w:t xml:space="preserve"> · </w:t>
      </w:r>
      <w:r>
        <w:rPr>
          <w:sz w:val="20"/>
          <w:szCs w:val="22"/>
        </w:rPr>
        <w:t>(1-EXP(-N*ln2/DT</w:t>
      </w:r>
      <w:r w:rsidRPr="00622A17">
        <w:rPr>
          <w:sz w:val="20"/>
          <w:szCs w:val="22"/>
          <w:vertAlign w:val="subscript"/>
        </w:rPr>
        <w:t>50</w:t>
      </w:r>
      <w:r>
        <w:rPr>
          <w:sz w:val="20"/>
          <w:szCs w:val="22"/>
        </w:rPr>
        <w:t>*interval))/(1-EXP(-ln2/DT</w:t>
      </w:r>
      <w:r w:rsidRPr="00622A17">
        <w:rPr>
          <w:sz w:val="20"/>
          <w:szCs w:val="22"/>
          <w:vertAlign w:val="subscript"/>
        </w:rPr>
        <w:t>50</w:t>
      </w:r>
      <w:r>
        <w:rPr>
          <w:sz w:val="20"/>
          <w:szCs w:val="22"/>
        </w:rPr>
        <w:t>*interval))</w:t>
      </w:r>
    </w:p>
    <w:p w:rsidR="00D92F37" w:rsidRPr="001E0BBE" w:rsidRDefault="00D92F37" w:rsidP="00D92F37">
      <w:pPr>
        <w:pStyle w:val="BodyText"/>
        <w:ind w:left="720"/>
        <w:rPr>
          <w:sz w:val="20"/>
          <w:szCs w:val="22"/>
        </w:rPr>
      </w:pPr>
    </w:p>
    <w:p w:rsidR="00D92F37" w:rsidRPr="001E0BBE" w:rsidRDefault="00D92F37" w:rsidP="00D92F37">
      <w:pPr>
        <w:pStyle w:val="BodyText"/>
        <w:ind w:left="720"/>
        <w:rPr>
          <w:sz w:val="20"/>
          <w:szCs w:val="22"/>
        </w:rPr>
      </w:pPr>
      <w:r w:rsidRPr="001E0BBE">
        <w:rPr>
          <w:sz w:val="20"/>
          <w:szCs w:val="22"/>
        </w:rPr>
        <w:t>in which:</w:t>
      </w:r>
    </w:p>
    <w:p w:rsidR="00D92F37" w:rsidRPr="001E0BBE" w:rsidRDefault="00D92F37" w:rsidP="00D92F37">
      <w:pPr>
        <w:pStyle w:val="BodyText"/>
        <w:ind w:left="720"/>
        <w:rPr>
          <w:sz w:val="20"/>
          <w:szCs w:val="22"/>
        </w:rPr>
      </w:pPr>
      <w:r>
        <w:rPr>
          <w:sz w:val="20"/>
          <w:szCs w:val="22"/>
        </w:rPr>
        <w:t>Cumulative</w:t>
      </w:r>
      <w:r w:rsidRPr="001E0BBE">
        <w:rPr>
          <w:sz w:val="20"/>
          <w:szCs w:val="22"/>
        </w:rPr>
        <w:t xml:space="preserve"> </w:t>
      </w:r>
      <w:r>
        <w:rPr>
          <w:sz w:val="20"/>
          <w:szCs w:val="22"/>
        </w:rPr>
        <w:t xml:space="preserve">rate </w:t>
      </w:r>
      <w:r w:rsidRPr="001E0BBE">
        <w:rPr>
          <w:sz w:val="20"/>
          <w:szCs w:val="22"/>
        </w:rPr>
        <w:t xml:space="preserve">= </w:t>
      </w:r>
      <w:r>
        <w:rPr>
          <w:sz w:val="20"/>
          <w:szCs w:val="22"/>
        </w:rPr>
        <w:t>accumulated application rate immediately after the last application (g ac/ha)</w:t>
      </w:r>
    </w:p>
    <w:p w:rsidR="00D92F37" w:rsidRDefault="00D92F37" w:rsidP="00D92F37">
      <w:pPr>
        <w:pStyle w:val="BodyText"/>
        <w:ind w:left="720"/>
        <w:rPr>
          <w:sz w:val="20"/>
          <w:szCs w:val="22"/>
        </w:rPr>
      </w:pPr>
      <w:r>
        <w:rPr>
          <w:sz w:val="20"/>
          <w:szCs w:val="22"/>
        </w:rPr>
        <w:t>Single rate = single application rate (g ac/ha)</w:t>
      </w:r>
    </w:p>
    <w:p w:rsidR="00D92F37" w:rsidRDefault="00D92F37" w:rsidP="00D92F37">
      <w:pPr>
        <w:pStyle w:val="BodyText"/>
        <w:ind w:left="720"/>
        <w:rPr>
          <w:sz w:val="20"/>
          <w:szCs w:val="22"/>
        </w:rPr>
      </w:pPr>
      <w:r>
        <w:rPr>
          <w:sz w:val="20"/>
          <w:szCs w:val="22"/>
        </w:rPr>
        <w:t>N = number of applications</w:t>
      </w:r>
    </w:p>
    <w:p w:rsidR="00D92F37" w:rsidRDefault="00D92F37" w:rsidP="00D92F37">
      <w:pPr>
        <w:pStyle w:val="BodyText"/>
        <w:ind w:left="720"/>
        <w:rPr>
          <w:sz w:val="20"/>
          <w:szCs w:val="22"/>
        </w:rPr>
      </w:pPr>
      <w:r>
        <w:rPr>
          <w:sz w:val="20"/>
          <w:szCs w:val="22"/>
        </w:rPr>
        <w:t>DT</w:t>
      </w:r>
      <w:r w:rsidRPr="00622A17">
        <w:rPr>
          <w:sz w:val="20"/>
          <w:szCs w:val="22"/>
          <w:vertAlign w:val="subscript"/>
        </w:rPr>
        <w:t>50</w:t>
      </w:r>
      <w:r>
        <w:rPr>
          <w:sz w:val="20"/>
          <w:szCs w:val="22"/>
        </w:rPr>
        <w:t xml:space="preserve"> = soil half-life </w:t>
      </w:r>
    </w:p>
    <w:p w:rsidR="00D92F37" w:rsidRDefault="00D92F37" w:rsidP="00D92F37">
      <w:pPr>
        <w:pStyle w:val="BodyText"/>
        <w:ind w:left="720"/>
        <w:rPr>
          <w:sz w:val="22"/>
          <w:szCs w:val="22"/>
        </w:rPr>
      </w:pPr>
      <w:r>
        <w:rPr>
          <w:sz w:val="20"/>
          <w:szCs w:val="22"/>
        </w:rPr>
        <w:t>Interval = time between application (d)</w:t>
      </w:r>
    </w:p>
    <w:p w:rsidR="00D92F37" w:rsidRPr="003C4118" w:rsidRDefault="00D92F37" w:rsidP="003C4118">
      <w:pPr>
        <w:pStyle w:val="NormalText"/>
        <w:rPr>
          <w:rStyle w:val="ATChar"/>
          <w:rFonts w:ascii="Calibri" w:hAnsi="Calibri" w:cs="Arial"/>
        </w:rPr>
      </w:pPr>
      <w:r w:rsidRPr="003C4118">
        <w:rPr>
          <w:rStyle w:val="ATChar"/>
          <w:rFonts w:ascii="Calibri" w:hAnsi="Calibri" w:cs="Arial"/>
        </w:rPr>
        <w:t xml:space="preserve">If the RQ exceeds 1.0 for either exposure scenario, a spray drift assessment is conducted to establish mandatory no-spray zones. Please refer to the following website for details on APVMA standard scenarios for spray drift: </w:t>
      </w:r>
      <w:hyperlink r:id="rId101" w:history="1">
        <w:r w:rsidRPr="003C4118">
          <w:rPr>
            <w:rStyle w:val="ATChar"/>
            <w:rFonts w:ascii="Calibri" w:hAnsi="Calibri" w:cs="Arial"/>
          </w:rPr>
          <w:t>https://apvma.gov.au/node/10796</w:t>
        </w:r>
      </w:hyperlink>
      <w:r w:rsidRPr="003C4118">
        <w:rPr>
          <w:rStyle w:val="ATChar"/>
          <w:rFonts w:ascii="Calibri" w:hAnsi="Calibri" w:cs="Arial"/>
        </w:rPr>
        <w:t xml:space="preserve"> </w:t>
      </w:r>
    </w:p>
    <w:p w:rsidR="00D92F37" w:rsidRPr="003C4118" w:rsidRDefault="00D92F37" w:rsidP="003C4118">
      <w:pPr>
        <w:pStyle w:val="Heading2"/>
        <w:keepLines w:val="0"/>
        <w:tabs>
          <w:tab w:val="num" w:pos="1134"/>
        </w:tabs>
        <w:suppressAutoHyphens w:val="0"/>
        <w:spacing w:before="480" w:after="120" w:line="240" w:lineRule="auto"/>
        <w:ind w:left="1134" w:hanging="1134"/>
      </w:pPr>
      <w:bookmarkStart w:id="227" w:name="_Toc526432262"/>
      <w:r w:rsidRPr="003C4118">
        <w:t>Combination toxicity</w:t>
      </w:r>
      <w:bookmarkEnd w:id="227"/>
    </w:p>
    <w:p w:rsidR="00D92F37" w:rsidRPr="003C4118" w:rsidRDefault="00D92F37" w:rsidP="003C4118">
      <w:pPr>
        <w:pStyle w:val="NormalText"/>
        <w:rPr>
          <w:rStyle w:val="ATChar"/>
          <w:rFonts w:ascii="Calibri" w:hAnsi="Calibri" w:cs="Arial"/>
        </w:rPr>
      </w:pPr>
      <w:r w:rsidRPr="003C4118">
        <w:rPr>
          <w:rStyle w:val="ATChar"/>
          <w:rFonts w:ascii="Calibri" w:hAnsi="Calibri" w:cs="Arial"/>
        </w:rPr>
        <w:t xml:space="preserve">Non-target terrestrial plants could be directly exposed to combined residues immediately after application as a result of spray drift. Risks are determined following direct exposure to combined residues immediately </w:t>
      </w:r>
      <w:r w:rsidRPr="003C4118">
        <w:rPr>
          <w:rStyle w:val="ATChar"/>
          <w:rFonts w:ascii="Calibri" w:hAnsi="Calibri" w:cs="Arial"/>
        </w:rPr>
        <w:lastRenderedPageBreak/>
        <w:t>after application. In the absence of formulation toxicity data, combination toxicity is estimated assuming additive toxicity for organisms which are sensitive to at least two of the constituents in the mixture. The estimation method for combination toxicity is provided in Table X. If one active substance drives the overall toxicity (≥ 90%), then it is concluded that the toxicity is driven by the active constituent and additive toxicity is not considered further.</w:t>
      </w:r>
    </w:p>
    <w:p w:rsidR="00D92F37" w:rsidRPr="003C4118" w:rsidRDefault="00D92F37" w:rsidP="003C4118">
      <w:pPr>
        <w:pStyle w:val="NormalText"/>
        <w:rPr>
          <w:rStyle w:val="ATChar"/>
          <w:rFonts w:ascii="Calibri" w:hAnsi="Calibri" w:cs="Arial"/>
        </w:rPr>
      </w:pPr>
      <w:r w:rsidRPr="003C4118">
        <w:rPr>
          <w:rStyle w:val="ATChar"/>
          <w:rFonts w:ascii="Calibri" w:hAnsi="Calibri" w:cs="Arial"/>
        </w:rPr>
        <w:t>If formulation toxicity data are available, the observed toxicity of the mixture is compared to the predicted toxicity based on active substance data which can be done for any ratio of active substances by calculation of the Model Deviation Ratio (MDR). If the MDR is within the range of 0.2 to 5, the mixture toxicity is assumed to be additive. If the MRD is &lt;0.2, the mixture toxicity is considered to be less than additive (antagonistic) and if the MDR is &gt;5, the mixture toxicity is considered to be more than additive (synergistic).</w:t>
      </w:r>
    </w:p>
    <w:p w:rsidR="00D92F37" w:rsidRPr="003C4118" w:rsidRDefault="00D92F37" w:rsidP="003C4118">
      <w:pPr>
        <w:pStyle w:val="Heading2"/>
        <w:keepLines w:val="0"/>
        <w:tabs>
          <w:tab w:val="num" w:pos="1134"/>
        </w:tabs>
        <w:suppressAutoHyphens w:val="0"/>
        <w:spacing w:before="480" w:after="120" w:line="240" w:lineRule="auto"/>
        <w:ind w:left="1134" w:hanging="1134"/>
      </w:pPr>
      <w:bookmarkStart w:id="228" w:name="_Toc526432263"/>
      <w:r w:rsidRPr="003C4118">
        <w:t>Risk assessment tables</w:t>
      </w:r>
      <w:bookmarkEnd w:id="228"/>
    </w:p>
    <w:p w:rsidR="008B68EB" w:rsidRPr="009A4CFC" w:rsidRDefault="008B68EB" w:rsidP="008B68EB">
      <w:pPr>
        <w:pStyle w:val="Caption"/>
      </w:pPr>
      <w:r w:rsidRPr="009A4CFC">
        <w:t xml:space="preserve">Table </w:t>
      </w:r>
      <w:r w:rsidR="00EA08EB">
        <w:rPr>
          <w:noProof/>
        </w:rPr>
        <w:fldChar w:fldCharType="begin"/>
      </w:r>
      <w:r w:rsidR="00EA08EB">
        <w:rPr>
          <w:noProof/>
        </w:rPr>
        <w:instrText xml:space="preserve"> SEQ Table \* ARABIC </w:instrText>
      </w:r>
      <w:r w:rsidR="00EA08EB">
        <w:rPr>
          <w:noProof/>
        </w:rPr>
        <w:fldChar w:fldCharType="separate"/>
      </w:r>
      <w:r w:rsidR="00225D67">
        <w:rPr>
          <w:noProof/>
        </w:rPr>
        <w:t>21</w:t>
      </w:r>
      <w:r w:rsidR="00EA08EB">
        <w:rPr>
          <w:noProof/>
        </w:rPr>
        <w:fldChar w:fldCharType="end"/>
      </w:r>
      <w:r w:rsidRPr="009A4CFC">
        <w:t xml:space="preserve"> - </w:t>
      </w:r>
      <w:r w:rsidRPr="008B68EB">
        <w:t>Regulatory acceptable rates for non-target terrestrial plants</w:t>
      </w:r>
    </w:p>
    <w:tbl>
      <w:tblPr>
        <w:tblW w:w="6259" w:type="dxa"/>
        <w:tblInd w:w="-10" w:type="dxa"/>
        <w:tblLook w:val="04A0" w:firstRow="1" w:lastRow="0" w:firstColumn="1" w:lastColumn="0" w:noHBand="0" w:noVBand="1"/>
      </w:tblPr>
      <w:tblGrid>
        <w:gridCol w:w="1037"/>
        <w:gridCol w:w="1117"/>
        <w:gridCol w:w="1631"/>
        <w:gridCol w:w="1277"/>
        <w:gridCol w:w="1197"/>
      </w:tblGrid>
      <w:tr w:rsidR="003E189E" w:rsidRPr="003E189E" w:rsidTr="003E189E">
        <w:trPr>
          <w:cantSplit/>
          <w:trHeight w:val="735"/>
        </w:trPr>
        <w:tc>
          <w:tcPr>
            <w:tcW w:w="103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E189E" w:rsidRPr="003E189E" w:rsidRDefault="003E189E" w:rsidP="003E189E">
            <w:pPr>
              <w:spacing w:line="240" w:lineRule="auto"/>
              <w:jc w:val="center"/>
              <w:rPr>
                <w:rFonts w:cs="Arial"/>
                <w:b/>
                <w:bCs/>
                <w:color w:val="000000"/>
                <w:sz w:val="18"/>
                <w:szCs w:val="18"/>
                <w:lang w:eastAsia="en-AU"/>
              </w:rPr>
            </w:pPr>
            <w:r w:rsidRPr="003E189E">
              <w:rPr>
                <w:rFonts w:cs="Arial"/>
                <w:b/>
                <w:bCs/>
                <w:color w:val="000000"/>
                <w:sz w:val="18"/>
                <w:szCs w:val="20"/>
                <w:lang w:eastAsia="en-AU"/>
              </w:rPr>
              <w:t>Exposure</w:t>
            </w:r>
          </w:p>
        </w:tc>
        <w:tc>
          <w:tcPr>
            <w:tcW w:w="1117" w:type="dxa"/>
            <w:tcBorders>
              <w:top w:val="single" w:sz="8" w:space="0" w:color="auto"/>
              <w:left w:val="nil"/>
              <w:bottom w:val="single" w:sz="8" w:space="0" w:color="auto"/>
              <w:right w:val="single" w:sz="8" w:space="0" w:color="auto"/>
            </w:tcBorders>
            <w:shd w:val="clear" w:color="auto" w:fill="auto"/>
            <w:vAlign w:val="center"/>
            <w:hideMark/>
          </w:tcPr>
          <w:p w:rsidR="003E189E" w:rsidRPr="003E189E" w:rsidRDefault="003E189E" w:rsidP="003E189E">
            <w:pPr>
              <w:spacing w:line="240" w:lineRule="auto"/>
              <w:jc w:val="center"/>
              <w:rPr>
                <w:rFonts w:cs="Arial"/>
                <w:b/>
                <w:bCs/>
                <w:color w:val="000000"/>
                <w:sz w:val="18"/>
                <w:szCs w:val="18"/>
                <w:lang w:eastAsia="en-AU"/>
              </w:rPr>
            </w:pPr>
            <w:r w:rsidRPr="003E189E">
              <w:rPr>
                <w:rFonts w:cs="Arial"/>
                <w:b/>
                <w:bCs/>
                <w:color w:val="000000"/>
                <w:sz w:val="18"/>
                <w:szCs w:val="20"/>
                <w:lang w:eastAsia="en-AU"/>
              </w:rPr>
              <w:t>Test</w:t>
            </w:r>
          </w:p>
        </w:tc>
        <w:tc>
          <w:tcPr>
            <w:tcW w:w="1631" w:type="dxa"/>
            <w:tcBorders>
              <w:top w:val="single" w:sz="8" w:space="0" w:color="auto"/>
              <w:left w:val="nil"/>
              <w:bottom w:val="single" w:sz="8" w:space="0" w:color="auto"/>
              <w:right w:val="single" w:sz="8" w:space="0" w:color="auto"/>
            </w:tcBorders>
            <w:shd w:val="clear" w:color="auto" w:fill="auto"/>
            <w:vAlign w:val="center"/>
            <w:hideMark/>
          </w:tcPr>
          <w:p w:rsidR="003E189E" w:rsidRPr="003E189E" w:rsidRDefault="003E189E" w:rsidP="003E189E">
            <w:pPr>
              <w:spacing w:line="240" w:lineRule="auto"/>
              <w:jc w:val="center"/>
              <w:rPr>
                <w:rFonts w:cs="Arial"/>
                <w:b/>
                <w:bCs/>
                <w:color w:val="000000"/>
                <w:sz w:val="18"/>
                <w:szCs w:val="18"/>
                <w:lang w:eastAsia="en-AU"/>
              </w:rPr>
            </w:pPr>
            <w:r w:rsidRPr="003E189E">
              <w:rPr>
                <w:rFonts w:cs="Arial"/>
                <w:b/>
                <w:bCs/>
                <w:color w:val="000000"/>
                <w:sz w:val="18"/>
                <w:szCs w:val="20"/>
                <w:lang w:eastAsia="en-AU"/>
              </w:rPr>
              <w:t>Endpoint</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rsidR="003E189E" w:rsidRPr="003E189E" w:rsidRDefault="003E189E" w:rsidP="003E189E">
            <w:pPr>
              <w:spacing w:line="240" w:lineRule="auto"/>
              <w:jc w:val="center"/>
              <w:rPr>
                <w:rFonts w:cs="Arial"/>
                <w:b/>
                <w:bCs/>
                <w:color w:val="000000"/>
                <w:sz w:val="18"/>
                <w:szCs w:val="18"/>
                <w:lang w:eastAsia="en-AU"/>
              </w:rPr>
            </w:pPr>
            <w:r w:rsidRPr="003E189E">
              <w:rPr>
                <w:rFonts w:cs="Arial"/>
                <w:b/>
                <w:bCs/>
                <w:color w:val="000000"/>
                <w:sz w:val="18"/>
                <w:szCs w:val="20"/>
                <w:lang w:eastAsia="en-AU"/>
              </w:rPr>
              <w:t>Assessment factor*</w:t>
            </w:r>
          </w:p>
        </w:tc>
        <w:tc>
          <w:tcPr>
            <w:tcW w:w="1197" w:type="dxa"/>
            <w:tcBorders>
              <w:top w:val="single" w:sz="8" w:space="0" w:color="auto"/>
              <w:left w:val="nil"/>
              <w:bottom w:val="single" w:sz="8" w:space="0" w:color="auto"/>
              <w:right w:val="single" w:sz="8" w:space="0" w:color="auto"/>
            </w:tcBorders>
            <w:shd w:val="clear" w:color="auto" w:fill="auto"/>
            <w:vAlign w:val="center"/>
            <w:hideMark/>
          </w:tcPr>
          <w:p w:rsidR="003E189E" w:rsidRPr="003E189E" w:rsidRDefault="003E189E" w:rsidP="003E189E">
            <w:pPr>
              <w:spacing w:line="240" w:lineRule="auto"/>
              <w:jc w:val="center"/>
              <w:rPr>
                <w:rFonts w:cs="Arial"/>
                <w:b/>
                <w:bCs/>
                <w:color w:val="000000"/>
                <w:sz w:val="18"/>
                <w:szCs w:val="18"/>
                <w:lang w:eastAsia="en-AU"/>
              </w:rPr>
            </w:pPr>
            <w:r w:rsidRPr="003E189E">
              <w:rPr>
                <w:rFonts w:cs="Arial"/>
                <w:b/>
                <w:bCs/>
                <w:color w:val="000000"/>
                <w:sz w:val="18"/>
                <w:szCs w:val="20"/>
                <w:lang w:eastAsia="en-AU"/>
              </w:rPr>
              <w:t>RAR</w:t>
            </w:r>
          </w:p>
        </w:tc>
      </w:tr>
      <w:tr w:rsidR="003E189E" w:rsidRPr="003E189E" w:rsidTr="003E189E">
        <w:trPr>
          <w:cantSplit/>
          <w:trHeight w:val="510"/>
        </w:trPr>
        <w:tc>
          <w:tcPr>
            <w:tcW w:w="1037" w:type="dxa"/>
            <w:vMerge w:val="restart"/>
            <w:tcBorders>
              <w:top w:val="nil"/>
              <w:left w:val="single" w:sz="8" w:space="0" w:color="auto"/>
              <w:bottom w:val="single" w:sz="8" w:space="0" w:color="000000"/>
              <w:right w:val="single" w:sz="8" w:space="0" w:color="auto"/>
            </w:tcBorders>
            <w:shd w:val="clear" w:color="auto" w:fill="auto"/>
            <w:vAlign w:val="center"/>
            <w:hideMark/>
          </w:tcPr>
          <w:p w:rsidR="003E189E" w:rsidRPr="003E189E" w:rsidRDefault="003E189E" w:rsidP="003E189E">
            <w:pPr>
              <w:spacing w:line="240" w:lineRule="auto"/>
              <w:rPr>
                <w:rFonts w:cs="Arial"/>
                <w:color w:val="000000"/>
                <w:sz w:val="18"/>
                <w:szCs w:val="18"/>
                <w:lang w:eastAsia="en-AU"/>
              </w:rPr>
            </w:pPr>
            <w:r w:rsidRPr="003E189E">
              <w:rPr>
                <w:rFonts w:cs="Arial"/>
                <w:color w:val="000000"/>
                <w:sz w:val="18"/>
                <w:szCs w:val="20"/>
                <w:lang w:eastAsia="en-AU"/>
              </w:rPr>
              <w:t>Pre-emergent</w:t>
            </w:r>
          </w:p>
        </w:tc>
        <w:tc>
          <w:tcPr>
            <w:tcW w:w="1117" w:type="dxa"/>
            <w:vMerge w:val="restart"/>
            <w:tcBorders>
              <w:top w:val="nil"/>
              <w:left w:val="single" w:sz="8" w:space="0" w:color="auto"/>
              <w:bottom w:val="single" w:sz="8" w:space="0" w:color="000000"/>
              <w:right w:val="single" w:sz="8" w:space="0" w:color="auto"/>
            </w:tcBorders>
            <w:shd w:val="clear" w:color="auto" w:fill="auto"/>
            <w:vAlign w:val="center"/>
            <w:hideMark/>
          </w:tcPr>
          <w:p w:rsidR="003E189E" w:rsidRPr="003E189E" w:rsidRDefault="003E189E" w:rsidP="003E189E">
            <w:pPr>
              <w:spacing w:line="240" w:lineRule="auto"/>
              <w:rPr>
                <w:rFonts w:cs="Arial"/>
                <w:color w:val="000000"/>
                <w:sz w:val="18"/>
                <w:szCs w:val="18"/>
                <w:lang w:eastAsia="en-AU"/>
              </w:rPr>
            </w:pPr>
            <w:r w:rsidRPr="003E189E">
              <w:rPr>
                <w:rFonts w:cs="Arial"/>
                <w:color w:val="000000"/>
                <w:sz w:val="18"/>
                <w:szCs w:val="20"/>
                <w:lang w:eastAsia="en-AU"/>
              </w:rPr>
              <w:t>Seedling emergence</w:t>
            </w:r>
          </w:p>
        </w:tc>
        <w:tc>
          <w:tcPr>
            <w:tcW w:w="1631" w:type="dxa"/>
            <w:tcBorders>
              <w:top w:val="nil"/>
              <w:left w:val="nil"/>
              <w:bottom w:val="nil"/>
              <w:right w:val="single" w:sz="8" w:space="0" w:color="auto"/>
            </w:tcBorders>
            <w:shd w:val="clear" w:color="auto" w:fill="auto"/>
            <w:vAlign w:val="center"/>
            <w:hideMark/>
          </w:tcPr>
          <w:p w:rsidR="003E189E" w:rsidRPr="003E189E" w:rsidRDefault="003E189E" w:rsidP="003E189E">
            <w:pPr>
              <w:spacing w:line="240" w:lineRule="auto"/>
              <w:jc w:val="right"/>
              <w:rPr>
                <w:rFonts w:cs="Arial"/>
                <w:color w:val="000000"/>
                <w:sz w:val="18"/>
                <w:szCs w:val="18"/>
                <w:lang w:eastAsia="en-AU"/>
              </w:rPr>
            </w:pPr>
            <w:r w:rsidRPr="003E189E">
              <w:rPr>
                <w:rFonts w:cs="Arial"/>
                <w:color w:val="000000"/>
                <w:sz w:val="18"/>
                <w:szCs w:val="20"/>
                <w:lang w:eastAsia="en-AU"/>
              </w:rPr>
              <w:t>ER</w:t>
            </w:r>
            <w:r w:rsidRPr="003E189E">
              <w:rPr>
                <w:rFonts w:cs="Arial"/>
                <w:color w:val="000000"/>
                <w:sz w:val="18"/>
                <w:szCs w:val="18"/>
                <w:vertAlign w:val="subscript"/>
                <w:lang w:eastAsia="en-AU"/>
              </w:rPr>
              <w:t>50</w:t>
            </w:r>
            <w:r w:rsidRPr="003E189E">
              <w:rPr>
                <w:rFonts w:cs="Arial"/>
                <w:color w:val="000000"/>
                <w:sz w:val="18"/>
                <w:szCs w:val="18"/>
                <w:lang w:eastAsia="en-AU"/>
              </w:rPr>
              <w:t xml:space="preserve"> XX g ac/ha</w:t>
            </w:r>
          </w:p>
        </w:tc>
        <w:tc>
          <w:tcPr>
            <w:tcW w:w="1277" w:type="dxa"/>
            <w:tcBorders>
              <w:top w:val="nil"/>
              <w:left w:val="nil"/>
              <w:bottom w:val="nil"/>
              <w:right w:val="single" w:sz="8" w:space="0" w:color="auto"/>
            </w:tcBorders>
            <w:shd w:val="clear" w:color="auto" w:fill="auto"/>
            <w:vAlign w:val="center"/>
            <w:hideMark/>
          </w:tcPr>
          <w:p w:rsidR="003E189E" w:rsidRPr="003E189E" w:rsidRDefault="003E189E" w:rsidP="003E189E">
            <w:pPr>
              <w:spacing w:line="240" w:lineRule="auto"/>
              <w:jc w:val="center"/>
              <w:rPr>
                <w:rFonts w:cs="Arial"/>
                <w:color w:val="000000"/>
                <w:sz w:val="18"/>
                <w:szCs w:val="18"/>
                <w:lang w:eastAsia="en-AU"/>
              </w:rPr>
            </w:pPr>
            <w:r w:rsidRPr="003E189E">
              <w:rPr>
                <w:rFonts w:cs="Arial"/>
                <w:color w:val="000000"/>
                <w:sz w:val="18"/>
                <w:szCs w:val="20"/>
                <w:lang w:eastAsia="en-AU"/>
              </w:rPr>
              <w:t>10</w:t>
            </w:r>
          </w:p>
        </w:tc>
        <w:tc>
          <w:tcPr>
            <w:tcW w:w="1197" w:type="dxa"/>
            <w:vMerge w:val="restart"/>
            <w:tcBorders>
              <w:top w:val="nil"/>
              <w:left w:val="single" w:sz="8" w:space="0" w:color="auto"/>
              <w:bottom w:val="single" w:sz="8" w:space="0" w:color="000000"/>
              <w:right w:val="single" w:sz="8" w:space="0" w:color="auto"/>
            </w:tcBorders>
            <w:shd w:val="clear" w:color="auto" w:fill="auto"/>
            <w:vAlign w:val="center"/>
            <w:hideMark/>
          </w:tcPr>
          <w:p w:rsidR="003E189E" w:rsidRPr="003E189E" w:rsidRDefault="003E189E" w:rsidP="003E189E">
            <w:pPr>
              <w:spacing w:line="240" w:lineRule="auto"/>
              <w:jc w:val="right"/>
              <w:rPr>
                <w:rFonts w:cs="Arial"/>
                <w:color w:val="000000"/>
                <w:sz w:val="18"/>
                <w:szCs w:val="18"/>
                <w:lang w:eastAsia="en-AU"/>
              </w:rPr>
            </w:pPr>
            <w:r w:rsidRPr="003E189E">
              <w:rPr>
                <w:rFonts w:cs="Arial"/>
                <w:color w:val="000000"/>
                <w:sz w:val="18"/>
                <w:szCs w:val="20"/>
                <w:lang w:eastAsia="en-AU"/>
              </w:rPr>
              <w:t>XX g ac/ha</w:t>
            </w:r>
          </w:p>
        </w:tc>
      </w:tr>
      <w:tr w:rsidR="003E189E" w:rsidRPr="003E189E" w:rsidTr="003E189E">
        <w:trPr>
          <w:trHeight w:val="510"/>
        </w:trPr>
        <w:tc>
          <w:tcPr>
            <w:tcW w:w="1037" w:type="dxa"/>
            <w:vMerge/>
            <w:tcBorders>
              <w:top w:val="nil"/>
              <w:left w:val="single" w:sz="8" w:space="0" w:color="auto"/>
              <w:bottom w:val="single" w:sz="8" w:space="0" w:color="000000"/>
              <w:right w:val="single" w:sz="8" w:space="0" w:color="auto"/>
            </w:tcBorders>
            <w:vAlign w:val="center"/>
            <w:hideMark/>
          </w:tcPr>
          <w:p w:rsidR="003E189E" w:rsidRPr="003E189E" w:rsidRDefault="003E189E" w:rsidP="003E189E">
            <w:pPr>
              <w:spacing w:line="240" w:lineRule="auto"/>
              <w:rPr>
                <w:rFonts w:cs="Arial"/>
                <w:color w:val="000000"/>
                <w:sz w:val="18"/>
                <w:szCs w:val="18"/>
                <w:lang w:eastAsia="en-AU"/>
              </w:rPr>
            </w:pPr>
          </w:p>
        </w:tc>
        <w:tc>
          <w:tcPr>
            <w:tcW w:w="1117" w:type="dxa"/>
            <w:vMerge/>
            <w:tcBorders>
              <w:top w:val="nil"/>
              <w:left w:val="single" w:sz="8" w:space="0" w:color="auto"/>
              <w:bottom w:val="single" w:sz="8" w:space="0" w:color="000000"/>
              <w:right w:val="single" w:sz="8" w:space="0" w:color="auto"/>
            </w:tcBorders>
            <w:vAlign w:val="center"/>
            <w:hideMark/>
          </w:tcPr>
          <w:p w:rsidR="003E189E" w:rsidRPr="003E189E" w:rsidRDefault="003E189E" w:rsidP="003E189E">
            <w:pPr>
              <w:spacing w:line="240" w:lineRule="auto"/>
              <w:rPr>
                <w:rFonts w:cs="Arial"/>
                <w:color w:val="000000"/>
                <w:sz w:val="18"/>
                <w:szCs w:val="18"/>
                <w:lang w:eastAsia="en-AU"/>
              </w:rPr>
            </w:pPr>
          </w:p>
        </w:tc>
        <w:tc>
          <w:tcPr>
            <w:tcW w:w="1631" w:type="dxa"/>
            <w:tcBorders>
              <w:top w:val="nil"/>
              <w:left w:val="nil"/>
              <w:bottom w:val="nil"/>
              <w:right w:val="single" w:sz="8" w:space="0" w:color="auto"/>
            </w:tcBorders>
            <w:shd w:val="clear" w:color="auto" w:fill="auto"/>
            <w:vAlign w:val="center"/>
            <w:hideMark/>
          </w:tcPr>
          <w:p w:rsidR="003E189E" w:rsidRPr="003E189E" w:rsidRDefault="003E189E" w:rsidP="003E189E">
            <w:pPr>
              <w:spacing w:line="240" w:lineRule="auto"/>
              <w:jc w:val="right"/>
              <w:rPr>
                <w:rFonts w:cs="Arial"/>
                <w:color w:val="000000"/>
                <w:sz w:val="18"/>
                <w:szCs w:val="18"/>
                <w:lang w:eastAsia="en-AU"/>
              </w:rPr>
            </w:pPr>
            <w:r w:rsidRPr="003E189E">
              <w:rPr>
                <w:rFonts w:cs="Arial"/>
                <w:color w:val="000000"/>
                <w:sz w:val="18"/>
                <w:szCs w:val="20"/>
                <w:lang w:eastAsia="en-AU"/>
              </w:rPr>
              <w:t>ER</w:t>
            </w:r>
            <w:r w:rsidRPr="003E189E">
              <w:rPr>
                <w:rFonts w:cs="Arial"/>
                <w:color w:val="000000"/>
                <w:sz w:val="18"/>
                <w:szCs w:val="18"/>
                <w:vertAlign w:val="subscript"/>
                <w:lang w:eastAsia="en-AU"/>
              </w:rPr>
              <w:t>25</w:t>
            </w:r>
            <w:r w:rsidRPr="003E189E">
              <w:rPr>
                <w:rFonts w:cs="Arial"/>
                <w:color w:val="000000"/>
                <w:sz w:val="18"/>
                <w:szCs w:val="18"/>
                <w:lang w:eastAsia="en-AU"/>
              </w:rPr>
              <w:t xml:space="preserve"> XX g ac/ha</w:t>
            </w:r>
          </w:p>
        </w:tc>
        <w:tc>
          <w:tcPr>
            <w:tcW w:w="1277" w:type="dxa"/>
            <w:tcBorders>
              <w:top w:val="nil"/>
              <w:left w:val="nil"/>
              <w:bottom w:val="nil"/>
              <w:right w:val="single" w:sz="8" w:space="0" w:color="auto"/>
            </w:tcBorders>
            <w:shd w:val="clear" w:color="auto" w:fill="auto"/>
            <w:vAlign w:val="center"/>
            <w:hideMark/>
          </w:tcPr>
          <w:p w:rsidR="003E189E" w:rsidRPr="003E189E" w:rsidRDefault="003E189E" w:rsidP="003E189E">
            <w:pPr>
              <w:spacing w:line="240" w:lineRule="auto"/>
              <w:jc w:val="center"/>
              <w:rPr>
                <w:rFonts w:cs="Arial"/>
                <w:color w:val="000000"/>
                <w:sz w:val="18"/>
                <w:szCs w:val="18"/>
                <w:lang w:eastAsia="en-AU"/>
              </w:rPr>
            </w:pPr>
            <w:r w:rsidRPr="003E189E">
              <w:rPr>
                <w:rFonts w:cs="Arial"/>
                <w:color w:val="000000"/>
                <w:sz w:val="18"/>
                <w:szCs w:val="20"/>
                <w:lang w:eastAsia="en-AU"/>
              </w:rPr>
              <w:t>2</w:t>
            </w:r>
          </w:p>
        </w:tc>
        <w:tc>
          <w:tcPr>
            <w:tcW w:w="1197" w:type="dxa"/>
            <w:vMerge/>
            <w:tcBorders>
              <w:top w:val="nil"/>
              <w:left w:val="single" w:sz="8" w:space="0" w:color="auto"/>
              <w:bottom w:val="single" w:sz="8" w:space="0" w:color="000000"/>
              <w:right w:val="single" w:sz="8" w:space="0" w:color="auto"/>
            </w:tcBorders>
            <w:vAlign w:val="center"/>
            <w:hideMark/>
          </w:tcPr>
          <w:p w:rsidR="003E189E" w:rsidRPr="003E189E" w:rsidRDefault="003E189E" w:rsidP="003E189E">
            <w:pPr>
              <w:spacing w:line="240" w:lineRule="auto"/>
              <w:rPr>
                <w:rFonts w:cs="Arial"/>
                <w:color w:val="000000"/>
                <w:sz w:val="18"/>
                <w:szCs w:val="18"/>
                <w:lang w:eastAsia="en-AU"/>
              </w:rPr>
            </w:pPr>
          </w:p>
        </w:tc>
      </w:tr>
      <w:tr w:rsidR="003E189E" w:rsidRPr="003E189E" w:rsidTr="003E189E">
        <w:trPr>
          <w:trHeight w:val="525"/>
        </w:trPr>
        <w:tc>
          <w:tcPr>
            <w:tcW w:w="1037" w:type="dxa"/>
            <w:vMerge/>
            <w:tcBorders>
              <w:top w:val="nil"/>
              <w:left w:val="single" w:sz="8" w:space="0" w:color="auto"/>
              <w:bottom w:val="single" w:sz="8" w:space="0" w:color="000000"/>
              <w:right w:val="single" w:sz="8" w:space="0" w:color="auto"/>
            </w:tcBorders>
            <w:vAlign w:val="center"/>
            <w:hideMark/>
          </w:tcPr>
          <w:p w:rsidR="003E189E" w:rsidRPr="003E189E" w:rsidRDefault="003E189E" w:rsidP="003E189E">
            <w:pPr>
              <w:spacing w:line="240" w:lineRule="auto"/>
              <w:rPr>
                <w:rFonts w:cs="Arial"/>
                <w:color w:val="000000"/>
                <w:sz w:val="18"/>
                <w:szCs w:val="18"/>
                <w:lang w:eastAsia="en-AU"/>
              </w:rPr>
            </w:pPr>
          </w:p>
        </w:tc>
        <w:tc>
          <w:tcPr>
            <w:tcW w:w="1117" w:type="dxa"/>
            <w:vMerge/>
            <w:tcBorders>
              <w:top w:val="nil"/>
              <w:left w:val="single" w:sz="8" w:space="0" w:color="auto"/>
              <w:bottom w:val="single" w:sz="8" w:space="0" w:color="000000"/>
              <w:right w:val="single" w:sz="8" w:space="0" w:color="auto"/>
            </w:tcBorders>
            <w:vAlign w:val="center"/>
            <w:hideMark/>
          </w:tcPr>
          <w:p w:rsidR="003E189E" w:rsidRPr="003E189E" w:rsidRDefault="003E189E" w:rsidP="003E189E">
            <w:pPr>
              <w:spacing w:line="240" w:lineRule="auto"/>
              <w:rPr>
                <w:rFonts w:cs="Arial"/>
                <w:color w:val="000000"/>
                <w:sz w:val="18"/>
                <w:szCs w:val="18"/>
                <w:lang w:eastAsia="en-AU"/>
              </w:rPr>
            </w:pPr>
          </w:p>
        </w:tc>
        <w:tc>
          <w:tcPr>
            <w:tcW w:w="1631" w:type="dxa"/>
            <w:tcBorders>
              <w:top w:val="nil"/>
              <w:left w:val="nil"/>
              <w:bottom w:val="single" w:sz="8" w:space="0" w:color="auto"/>
              <w:right w:val="single" w:sz="8" w:space="0" w:color="auto"/>
            </w:tcBorders>
            <w:shd w:val="clear" w:color="auto" w:fill="auto"/>
            <w:vAlign w:val="center"/>
            <w:hideMark/>
          </w:tcPr>
          <w:p w:rsidR="003E189E" w:rsidRPr="003E189E" w:rsidRDefault="003E189E" w:rsidP="003E189E">
            <w:pPr>
              <w:spacing w:line="240" w:lineRule="auto"/>
              <w:jc w:val="right"/>
              <w:rPr>
                <w:rFonts w:cs="Arial"/>
                <w:color w:val="000000"/>
                <w:sz w:val="18"/>
                <w:szCs w:val="18"/>
                <w:lang w:eastAsia="en-AU"/>
              </w:rPr>
            </w:pPr>
            <w:r w:rsidRPr="003E189E">
              <w:rPr>
                <w:rFonts w:cs="Arial"/>
                <w:color w:val="000000"/>
                <w:sz w:val="18"/>
                <w:szCs w:val="20"/>
                <w:lang w:eastAsia="en-AU"/>
              </w:rPr>
              <w:t>HR</w:t>
            </w:r>
            <w:r w:rsidRPr="003E189E">
              <w:rPr>
                <w:rFonts w:cs="Arial"/>
                <w:color w:val="000000"/>
                <w:sz w:val="18"/>
                <w:szCs w:val="18"/>
                <w:vertAlign w:val="subscript"/>
                <w:lang w:eastAsia="en-AU"/>
              </w:rPr>
              <w:t>5</w:t>
            </w:r>
            <w:r w:rsidRPr="003E189E">
              <w:rPr>
                <w:rFonts w:cs="Arial"/>
                <w:color w:val="000000"/>
                <w:sz w:val="18"/>
                <w:szCs w:val="18"/>
                <w:lang w:eastAsia="en-AU"/>
              </w:rPr>
              <w:t xml:space="preserve"> XX g ac/ha</w:t>
            </w:r>
          </w:p>
        </w:tc>
        <w:tc>
          <w:tcPr>
            <w:tcW w:w="1277" w:type="dxa"/>
            <w:tcBorders>
              <w:top w:val="nil"/>
              <w:left w:val="nil"/>
              <w:bottom w:val="single" w:sz="8" w:space="0" w:color="auto"/>
              <w:right w:val="single" w:sz="8" w:space="0" w:color="auto"/>
            </w:tcBorders>
            <w:shd w:val="clear" w:color="auto" w:fill="auto"/>
            <w:vAlign w:val="center"/>
            <w:hideMark/>
          </w:tcPr>
          <w:p w:rsidR="003E189E" w:rsidRPr="003E189E" w:rsidRDefault="003E189E" w:rsidP="003E189E">
            <w:pPr>
              <w:spacing w:line="240" w:lineRule="auto"/>
              <w:jc w:val="center"/>
              <w:rPr>
                <w:rFonts w:cs="Arial"/>
                <w:color w:val="000000"/>
                <w:sz w:val="18"/>
                <w:szCs w:val="18"/>
                <w:lang w:eastAsia="en-AU"/>
              </w:rPr>
            </w:pPr>
            <w:r w:rsidRPr="003E189E">
              <w:rPr>
                <w:rFonts w:cs="Arial"/>
                <w:color w:val="000000"/>
                <w:sz w:val="18"/>
                <w:szCs w:val="20"/>
                <w:lang w:eastAsia="en-AU"/>
              </w:rPr>
              <w:t>1</w:t>
            </w:r>
          </w:p>
        </w:tc>
        <w:tc>
          <w:tcPr>
            <w:tcW w:w="1197" w:type="dxa"/>
            <w:vMerge/>
            <w:tcBorders>
              <w:top w:val="nil"/>
              <w:left w:val="single" w:sz="8" w:space="0" w:color="auto"/>
              <w:bottom w:val="single" w:sz="8" w:space="0" w:color="000000"/>
              <w:right w:val="single" w:sz="8" w:space="0" w:color="auto"/>
            </w:tcBorders>
            <w:vAlign w:val="center"/>
            <w:hideMark/>
          </w:tcPr>
          <w:p w:rsidR="003E189E" w:rsidRPr="003E189E" w:rsidRDefault="003E189E" w:rsidP="003E189E">
            <w:pPr>
              <w:spacing w:line="240" w:lineRule="auto"/>
              <w:rPr>
                <w:rFonts w:cs="Arial"/>
                <w:color w:val="000000"/>
                <w:sz w:val="18"/>
                <w:szCs w:val="18"/>
                <w:lang w:eastAsia="en-AU"/>
              </w:rPr>
            </w:pPr>
          </w:p>
        </w:tc>
      </w:tr>
      <w:tr w:rsidR="003E189E" w:rsidRPr="003E189E" w:rsidTr="003E189E">
        <w:trPr>
          <w:cantSplit/>
          <w:trHeight w:val="510"/>
        </w:trPr>
        <w:tc>
          <w:tcPr>
            <w:tcW w:w="1037" w:type="dxa"/>
            <w:vMerge w:val="restart"/>
            <w:tcBorders>
              <w:top w:val="nil"/>
              <w:left w:val="single" w:sz="8" w:space="0" w:color="auto"/>
              <w:bottom w:val="single" w:sz="8" w:space="0" w:color="000000"/>
              <w:right w:val="single" w:sz="8" w:space="0" w:color="auto"/>
            </w:tcBorders>
            <w:shd w:val="clear" w:color="auto" w:fill="auto"/>
            <w:vAlign w:val="center"/>
            <w:hideMark/>
          </w:tcPr>
          <w:p w:rsidR="003E189E" w:rsidRPr="003E189E" w:rsidRDefault="003E189E" w:rsidP="003E189E">
            <w:pPr>
              <w:spacing w:line="240" w:lineRule="auto"/>
              <w:rPr>
                <w:rFonts w:cs="Arial"/>
                <w:color w:val="000000"/>
                <w:sz w:val="18"/>
                <w:szCs w:val="18"/>
                <w:lang w:eastAsia="en-AU"/>
              </w:rPr>
            </w:pPr>
            <w:r w:rsidRPr="003E189E">
              <w:rPr>
                <w:rFonts w:cs="Arial"/>
                <w:color w:val="000000"/>
                <w:sz w:val="18"/>
                <w:szCs w:val="20"/>
                <w:lang w:eastAsia="en-AU"/>
              </w:rPr>
              <w:t>Post-emergent</w:t>
            </w:r>
          </w:p>
        </w:tc>
        <w:tc>
          <w:tcPr>
            <w:tcW w:w="1117" w:type="dxa"/>
            <w:vMerge w:val="restart"/>
            <w:tcBorders>
              <w:top w:val="nil"/>
              <w:left w:val="single" w:sz="8" w:space="0" w:color="auto"/>
              <w:bottom w:val="single" w:sz="8" w:space="0" w:color="000000"/>
              <w:right w:val="single" w:sz="8" w:space="0" w:color="auto"/>
            </w:tcBorders>
            <w:shd w:val="clear" w:color="auto" w:fill="auto"/>
            <w:vAlign w:val="center"/>
            <w:hideMark/>
          </w:tcPr>
          <w:p w:rsidR="003E189E" w:rsidRPr="003E189E" w:rsidRDefault="003E189E" w:rsidP="003E189E">
            <w:pPr>
              <w:spacing w:line="240" w:lineRule="auto"/>
              <w:rPr>
                <w:rFonts w:cs="Arial"/>
                <w:color w:val="000000"/>
                <w:sz w:val="18"/>
                <w:szCs w:val="18"/>
                <w:lang w:eastAsia="en-AU"/>
              </w:rPr>
            </w:pPr>
            <w:r w:rsidRPr="003E189E">
              <w:rPr>
                <w:rFonts w:cs="Arial"/>
                <w:color w:val="000000"/>
                <w:sz w:val="18"/>
                <w:szCs w:val="20"/>
                <w:lang w:eastAsia="en-AU"/>
              </w:rPr>
              <w:t>Vegetative vigour</w:t>
            </w:r>
          </w:p>
        </w:tc>
        <w:tc>
          <w:tcPr>
            <w:tcW w:w="1631" w:type="dxa"/>
            <w:tcBorders>
              <w:top w:val="nil"/>
              <w:left w:val="nil"/>
              <w:bottom w:val="nil"/>
              <w:right w:val="single" w:sz="8" w:space="0" w:color="auto"/>
            </w:tcBorders>
            <w:shd w:val="clear" w:color="auto" w:fill="auto"/>
            <w:vAlign w:val="center"/>
            <w:hideMark/>
          </w:tcPr>
          <w:p w:rsidR="003E189E" w:rsidRPr="003E189E" w:rsidRDefault="003E189E" w:rsidP="003E189E">
            <w:pPr>
              <w:spacing w:line="240" w:lineRule="auto"/>
              <w:jc w:val="right"/>
              <w:rPr>
                <w:rFonts w:cs="Arial"/>
                <w:color w:val="000000"/>
                <w:sz w:val="18"/>
                <w:szCs w:val="18"/>
                <w:lang w:eastAsia="en-AU"/>
              </w:rPr>
            </w:pPr>
            <w:r w:rsidRPr="003E189E">
              <w:rPr>
                <w:rFonts w:cs="Arial"/>
                <w:color w:val="000000"/>
                <w:sz w:val="18"/>
                <w:szCs w:val="20"/>
                <w:lang w:eastAsia="en-AU"/>
              </w:rPr>
              <w:t>ER</w:t>
            </w:r>
            <w:r w:rsidRPr="003E189E">
              <w:rPr>
                <w:rFonts w:cs="Arial"/>
                <w:color w:val="000000"/>
                <w:sz w:val="18"/>
                <w:szCs w:val="18"/>
                <w:vertAlign w:val="subscript"/>
                <w:lang w:eastAsia="en-AU"/>
              </w:rPr>
              <w:t>50</w:t>
            </w:r>
            <w:r w:rsidRPr="003E189E">
              <w:rPr>
                <w:rFonts w:cs="Arial"/>
                <w:color w:val="000000"/>
                <w:sz w:val="18"/>
                <w:szCs w:val="18"/>
                <w:lang w:eastAsia="en-AU"/>
              </w:rPr>
              <w:t xml:space="preserve"> XX g ac/ha</w:t>
            </w:r>
          </w:p>
        </w:tc>
        <w:tc>
          <w:tcPr>
            <w:tcW w:w="1277" w:type="dxa"/>
            <w:tcBorders>
              <w:top w:val="nil"/>
              <w:left w:val="nil"/>
              <w:bottom w:val="nil"/>
              <w:right w:val="single" w:sz="8" w:space="0" w:color="auto"/>
            </w:tcBorders>
            <w:shd w:val="clear" w:color="auto" w:fill="auto"/>
            <w:vAlign w:val="center"/>
            <w:hideMark/>
          </w:tcPr>
          <w:p w:rsidR="003E189E" w:rsidRPr="003E189E" w:rsidRDefault="003E189E" w:rsidP="003E189E">
            <w:pPr>
              <w:spacing w:line="240" w:lineRule="auto"/>
              <w:jc w:val="center"/>
              <w:rPr>
                <w:rFonts w:cs="Arial"/>
                <w:color w:val="000000"/>
                <w:sz w:val="18"/>
                <w:szCs w:val="18"/>
                <w:lang w:eastAsia="en-AU"/>
              </w:rPr>
            </w:pPr>
            <w:r w:rsidRPr="003E189E">
              <w:rPr>
                <w:rFonts w:cs="Arial"/>
                <w:color w:val="000000"/>
                <w:sz w:val="18"/>
                <w:szCs w:val="20"/>
                <w:lang w:eastAsia="en-AU"/>
              </w:rPr>
              <w:t>10</w:t>
            </w:r>
          </w:p>
        </w:tc>
        <w:tc>
          <w:tcPr>
            <w:tcW w:w="1197" w:type="dxa"/>
            <w:vMerge w:val="restart"/>
            <w:tcBorders>
              <w:top w:val="nil"/>
              <w:left w:val="single" w:sz="8" w:space="0" w:color="auto"/>
              <w:bottom w:val="single" w:sz="8" w:space="0" w:color="000000"/>
              <w:right w:val="single" w:sz="8" w:space="0" w:color="auto"/>
            </w:tcBorders>
            <w:shd w:val="clear" w:color="auto" w:fill="auto"/>
            <w:vAlign w:val="center"/>
            <w:hideMark/>
          </w:tcPr>
          <w:p w:rsidR="003E189E" w:rsidRPr="003E189E" w:rsidRDefault="003E189E" w:rsidP="003E189E">
            <w:pPr>
              <w:spacing w:line="240" w:lineRule="auto"/>
              <w:jc w:val="right"/>
              <w:rPr>
                <w:rFonts w:cs="Arial"/>
                <w:color w:val="000000"/>
                <w:sz w:val="18"/>
                <w:szCs w:val="18"/>
                <w:lang w:eastAsia="en-AU"/>
              </w:rPr>
            </w:pPr>
            <w:r w:rsidRPr="003E189E">
              <w:rPr>
                <w:rFonts w:cs="Arial"/>
                <w:color w:val="000000"/>
                <w:sz w:val="18"/>
                <w:szCs w:val="20"/>
                <w:lang w:eastAsia="en-AU"/>
              </w:rPr>
              <w:t>XX g ac/ha</w:t>
            </w:r>
          </w:p>
        </w:tc>
      </w:tr>
      <w:tr w:rsidR="003E189E" w:rsidRPr="003E189E" w:rsidTr="003E189E">
        <w:trPr>
          <w:trHeight w:val="510"/>
        </w:trPr>
        <w:tc>
          <w:tcPr>
            <w:tcW w:w="1037" w:type="dxa"/>
            <w:vMerge/>
            <w:tcBorders>
              <w:top w:val="nil"/>
              <w:left w:val="single" w:sz="8" w:space="0" w:color="auto"/>
              <w:bottom w:val="single" w:sz="8" w:space="0" w:color="000000"/>
              <w:right w:val="single" w:sz="8" w:space="0" w:color="auto"/>
            </w:tcBorders>
            <w:vAlign w:val="center"/>
            <w:hideMark/>
          </w:tcPr>
          <w:p w:rsidR="003E189E" w:rsidRPr="003E189E" w:rsidRDefault="003E189E" w:rsidP="003E189E">
            <w:pPr>
              <w:spacing w:line="240" w:lineRule="auto"/>
              <w:rPr>
                <w:rFonts w:cs="Arial"/>
                <w:color w:val="000000"/>
                <w:sz w:val="18"/>
                <w:szCs w:val="18"/>
                <w:lang w:eastAsia="en-AU"/>
              </w:rPr>
            </w:pPr>
          </w:p>
        </w:tc>
        <w:tc>
          <w:tcPr>
            <w:tcW w:w="1117" w:type="dxa"/>
            <w:vMerge/>
            <w:tcBorders>
              <w:top w:val="nil"/>
              <w:left w:val="single" w:sz="8" w:space="0" w:color="auto"/>
              <w:bottom w:val="single" w:sz="8" w:space="0" w:color="000000"/>
              <w:right w:val="single" w:sz="8" w:space="0" w:color="auto"/>
            </w:tcBorders>
            <w:vAlign w:val="center"/>
            <w:hideMark/>
          </w:tcPr>
          <w:p w:rsidR="003E189E" w:rsidRPr="003E189E" w:rsidRDefault="003E189E" w:rsidP="003E189E">
            <w:pPr>
              <w:spacing w:line="240" w:lineRule="auto"/>
              <w:rPr>
                <w:rFonts w:cs="Arial"/>
                <w:color w:val="000000"/>
                <w:sz w:val="18"/>
                <w:szCs w:val="18"/>
                <w:lang w:eastAsia="en-AU"/>
              </w:rPr>
            </w:pPr>
          </w:p>
        </w:tc>
        <w:tc>
          <w:tcPr>
            <w:tcW w:w="1631" w:type="dxa"/>
            <w:tcBorders>
              <w:top w:val="nil"/>
              <w:left w:val="nil"/>
              <w:bottom w:val="nil"/>
              <w:right w:val="single" w:sz="8" w:space="0" w:color="auto"/>
            </w:tcBorders>
            <w:shd w:val="clear" w:color="auto" w:fill="auto"/>
            <w:vAlign w:val="center"/>
            <w:hideMark/>
          </w:tcPr>
          <w:p w:rsidR="003E189E" w:rsidRPr="003E189E" w:rsidRDefault="003E189E" w:rsidP="003E189E">
            <w:pPr>
              <w:spacing w:line="240" w:lineRule="auto"/>
              <w:jc w:val="right"/>
              <w:rPr>
                <w:rFonts w:cs="Arial"/>
                <w:color w:val="000000"/>
                <w:sz w:val="18"/>
                <w:szCs w:val="18"/>
                <w:lang w:eastAsia="en-AU"/>
              </w:rPr>
            </w:pPr>
            <w:r w:rsidRPr="003E189E">
              <w:rPr>
                <w:rFonts w:cs="Arial"/>
                <w:color w:val="000000"/>
                <w:sz w:val="18"/>
                <w:szCs w:val="20"/>
                <w:lang w:eastAsia="en-AU"/>
              </w:rPr>
              <w:t>ER</w:t>
            </w:r>
            <w:r w:rsidRPr="003E189E">
              <w:rPr>
                <w:rFonts w:cs="Arial"/>
                <w:color w:val="000000"/>
                <w:sz w:val="18"/>
                <w:szCs w:val="18"/>
                <w:vertAlign w:val="subscript"/>
                <w:lang w:eastAsia="en-AU"/>
              </w:rPr>
              <w:t>25</w:t>
            </w:r>
            <w:r w:rsidRPr="003E189E">
              <w:rPr>
                <w:rFonts w:cs="Arial"/>
                <w:color w:val="000000"/>
                <w:sz w:val="18"/>
                <w:szCs w:val="18"/>
                <w:lang w:eastAsia="en-AU"/>
              </w:rPr>
              <w:t xml:space="preserve"> XX g ac/ha</w:t>
            </w:r>
          </w:p>
        </w:tc>
        <w:tc>
          <w:tcPr>
            <w:tcW w:w="1277" w:type="dxa"/>
            <w:tcBorders>
              <w:top w:val="nil"/>
              <w:left w:val="nil"/>
              <w:bottom w:val="nil"/>
              <w:right w:val="single" w:sz="8" w:space="0" w:color="auto"/>
            </w:tcBorders>
            <w:shd w:val="clear" w:color="auto" w:fill="auto"/>
            <w:vAlign w:val="center"/>
            <w:hideMark/>
          </w:tcPr>
          <w:p w:rsidR="003E189E" w:rsidRPr="003E189E" w:rsidRDefault="003E189E" w:rsidP="003E189E">
            <w:pPr>
              <w:spacing w:line="240" w:lineRule="auto"/>
              <w:jc w:val="center"/>
              <w:rPr>
                <w:rFonts w:cs="Arial"/>
                <w:color w:val="000000"/>
                <w:sz w:val="18"/>
                <w:szCs w:val="18"/>
                <w:lang w:eastAsia="en-AU"/>
              </w:rPr>
            </w:pPr>
            <w:r w:rsidRPr="003E189E">
              <w:rPr>
                <w:rFonts w:cs="Arial"/>
                <w:color w:val="000000"/>
                <w:sz w:val="18"/>
                <w:szCs w:val="20"/>
                <w:lang w:eastAsia="en-AU"/>
              </w:rPr>
              <w:t>2</w:t>
            </w:r>
          </w:p>
        </w:tc>
        <w:tc>
          <w:tcPr>
            <w:tcW w:w="1197" w:type="dxa"/>
            <w:vMerge/>
            <w:tcBorders>
              <w:top w:val="nil"/>
              <w:left w:val="single" w:sz="8" w:space="0" w:color="auto"/>
              <w:bottom w:val="single" w:sz="8" w:space="0" w:color="000000"/>
              <w:right w:val="single" w:sz="8" w:space="0" w:color="auto"/>
            </w:tcBorders>
            <w:vAlign w:val="center"/>
            <w:hideMark/>
          </w:tcPr>
          <w:p w:rsidR="003E189E" w:rsidRPr="003E189E" w:rsidRDefault="003E189E" w:rsidP="003E189E">
            <w:pPr>
              <w:spacing w:line="240" w:lineRule="auto"/>
              <w:rPr>
                <w:rFonts w:cs="Arial"/>
                <w:color w:val="000000"/>
                <w:sz w:val="18"/>
                <w:szCs w:val="18"/>
                <w:lang w:eastAsia="en-AU"/>
              </w:rPr>
            </w:pPr>
          </w:p>
        </w:tc>
      </w:tr>
      <w:tr w:rsidR="003E189E" w:rsidRPr="003E189E" w:rsidTr="003E189E">
        <w:trPr>
          <w:trHeight w:val="525"/>
        </w:trPr>
        <w:tc>
          <w:tcPr>
            <w:tcW w:w="1037" w:type="dxa"/>
            <w:vMerge/>
            <w:tcBorders>
              <w:top w:val="nil"/>
              <w:left w:val="single" w:sz="8" w:space="0" w:color="auto"/>
              <w:bottom w:val="single" w:sz="8" w:space="0" w:color="000000"/>
              <w:right w:val="single" w:sz="8" w:space="0" w:color="auto"/>
            </w:tcBorders>
            <w:vAlign w:val="center"/>
            <w:hideMark/>
          </w:tcPr>
          <w:p w:rsidR="003E189E" w:rsidRPr="003E189E" w:rsidRDefault="003E189E" w:rsidP="003E189E">
            <w:pPr>
              <w:spacing w:line="240" w:lineRule="auto"/>
              <w:rPr>
                <w:rFonts w:cs="Arial"/>
                <w:color w:val="000000"/>
                <w:sz w:val="18"/>
                <w:szCs w:val="18"/>
                <w:lang w:eastAsia="en-AU"/>
              </w:rPr>
            </w:pPr>
          </w:p>
        </w:tc>
        <w:tc>
          <w:tcPr>
            <w:tcW w:w="1117" w:type="dxa"/>
            <w:vMerge/>
            <w:tcBorders>
              <w:top w:val="nil"/>
              <w:left w:val="single" w:sz="8" w:space="0" w:color="auto"/>
              <w:bottom w:val="single" w:sz="8" w:space="0" w:color="000000"/>
              <w:right w:val="single" w:sz="8" w:space="0" w:color="auto"/>
            </w:tcBorders>
            <w:vAlign w:val="center"/>
            <w:hideMark/>
          </w:tcPr>
          <w:p w:rsidR="003E189E" w:rsidRPr="003E189E" w:rsidRDefault="003E189E" w:rsidP="003E189E">
            <w:pPr>
              <w:spacing w:line="240" w:lineRule="auto"/>
              <w:rPr>
                <w:rFonts w:cs="Arial"/>
                <w:color w:val="000000"/>
                <w:sz w:val="18"/>
                <w:szCs w:val="18"/>
                <w:lang w:eastAsia="en-AU"/>
              </w:rPr>
            </w:pPr>
          </w:p>
        </w:tc>
        <w:tc>
          <w:tcPr>
            <w:tcW w:w="1631" w:type="dxa"/>
            <w:tcBorders>
              <w:top w:val="nil"/>
              <w:left w:val="nil"/>
              <w:bottom w:val="single" w:sz="8" w:space="0" w:color="auto"/>
              <w:right w:val="single" w:sz="8" w:space="0" w:color="auto"/>
            </w:tcBorders>
            <w:shd w:val="clear" w:color="auto" w:fill="auto"/>
            <w:vAlign w:val="center"/>
            <w:hideMark/>
          </w:tcPr>
          <w:p w:rsidR="003E189E" w:rsidRPr="003E189E" w:rsidRDefault="003E189E" w:rsidP="003E189E">
            <w:pPr>
              <w:spacing w:line="240" w:lineRule="auto"/>
              <w:jc w:val="right"/>
              <w:rPr>
                <w:rFonts w:cs="Arial"/>
                <w:color w:val="000000"/>
                <w:sz w:val="18"/>
                <w:szCs w:val="18"/>
                <w:lang w:eastAsia="en-AU"/>
              </w:rPr>
            </w:pPr>
            <w:r w:rsidRPr="003E189E">
              <w:rPr>
                <w:rFonts w:cs="Arial"/>
                <w:color w:val="000000"/>
                <w:sz w:val="18"/>
                <w:szCs w:val="20"/>
                <w:lang w:eastAsia="en-AU"/>
              </w:rPr>
              <w:t>HR</w:t>
            </w:r>
            <w:r w:rsidRPr="003E189E">
              <w:rPr>
                <w:rFonts w:cs="Arial"/>
                <w:color w:val="000000"/>
                <w:sz w:val="18"/>
                <w:szCs w:val="18"/>
                <w:vertAlign w:val="subscript"/>
                <w:lang w:eastAsia="en-AU"/>
              </w:rPr>
              <w:t>5</w:t>
            </w:r>
            <w:r w:rsidRPr="003E189E">
              <w:rPr>
                <w:rFonts w:cs="Arial"/>
                <w:color w:val="000000"/>
                <w:sz w:val="18"/>
                <w:szCs w:val="18"/>
                <w:lang w:eastAsia="en-AU"/>
              </w:rPr>
              <w:t xml:space="preserve"> XX g ac/ha</w:t>
            </w:r>
          </w:p>
        </w:tc>
        <w:tc>
          <w:tcPr>
            <w:tcW w:w="1277" w:type="dxa"/>
            <w:tcBorders>
              <w:top w:val="nil"/>
              <w:left w:val="nil"/>
              <w:bottom w:val="single" w:sz="8" w:space="0" w:color="auto"/>
              <w:right w:val="single" w:sz="8" w:space="0" w:color="auto"/>
            </w:tcBorders>
            <w:shd w:val="clear" w:color="auto" w:fill="auto"/>
            <w:vAlign w:val="center"/>
            <w:hideMark/>
          </w:tcPr>
          <w:p w:rsidR="003E189E" w:rsidRPr="003E189E" w:rsidRDefault="003E189E" w:rsidP="003E189E">
            <w:pPr>
              <w:spacing w:line="240" w:lineRule="auto"/>
              <w:jc w:val="center"/>
              <w:rPr>
                <w:rFonts w:cs="Arial"/>
                <w:color w:val="000000"/>
                <w:sz w:val="18"/>
                <w:szCs w:val="18"/>
                <w:lang w:eastAsia="en-AU"/>
              </w:rPr>
            </w:pPr>
            <w:r w:rsidRPr="003E189E">
              <w:rPr>
                <w:rFonts w:cs="Arial"/>
                <w:color w:val="000000"/>
                <w:sz w:val="18"/>
                <w:szCs w:val="20"/>
                <w:lang w:eastAsia="en-AU"/>
              </w:rPr>
              <w:t>1</w:t>
            </w:r>
          </w:p>
        </w:tc>
        <w:tc>
          <w:tcPr>
            <w:tcW w:w="1197" w:type="dxa"/>
            <w:vMerge/>
            <w:tcBorders>
              <w:top w:val="nil"/>
              <w:left w:val="single" w:sz="8" w:space="0" w:color="auto"/>
              <w:bottom w:val="single" w:sz="8" w:space="0" w:color="000000"/>
              <w:right w:val="single" w:sz="8" w:space="0" w:color="auto"/>
            </w:tcBorders>
            <w:vAlign w:val="center"/>
            <w:hideMark/>
          </w:tcPr>
          <w:p w:rsidR="003E189E" w:rsidRPr="003E189E" w:rsidRDefault="003E189E" w:rsidP="003E189E">
            <w:pPr>
              <w:spacing w:line="240" w:lineRule="auto"/>
              <w:rPr>
                <w:rFonts w:cs="Arial"/>
                <w:color w:val="000000"/>
                <w:sz w:val="18"/>
                <w:szCs w:val="18"/>
                <w:lang w:eastAsia="en-AU"/>
              </w:rPr>
            </w:pPr>
          </w:p>
        </w:tc>
      </w:tr>
    </w:tbl>
    <w:p w:rsidR="00D92F37" w:rsidRDefault="00D92F37" w:rsidP="00D92F37">
      <w:pPr>
        <w:pStyle w:val="BodyText"/>
        <w:rPr>
          <w:sz w:val="18"/>
          <w:szCs w:val="18"/>
        </w:rPr>
      </w:pPr>
      <w:r>
        <w:rPr>
          <w:sz w:val="18"/>
          <w:szCs w:val="18"/>
        </w:rPr>
        <w:t>Assessment factor as per EPHC (2009)</w:t>
      </w:r>
    </w:p>
    <w:p w:rsidR="00D92F37" w:rsidRPr="00ED0747" w:rsidRDefault="00D92F37" w:rsidP="00D92F37">
      <w:pPr>
        <w:pStyle w:val="BodyText"/>
        <w:rPr>
          <w:sz w:val="20"/>
          <w:szCs w:val="22"/>
        </w:rPr>
      </w:pPr>
      <w:r w:rsidRPr="00ED0747">
        <w:rPr>
          <w:sz w:val="18"/>
          <w:szCs w:val="18"/>
        </w:rPr>
        <w:t>RA</w:t>
      </w:r>
      <w:r>
        <w:rPr>
          <w:sz w:val="18"/>
          <w:szCs w:val="18"/>
        </w:rPr>
        <w:t>R</w:t>
      </w:r>
      <w:r w:rsidRPr="00ED0747">
        <w:rPr>
          <w:sz w:val="18"/>
          <w:szCs w:val="18"/>
        </w:rPr>
        <w:t xml:space="preserve"> = regulatory acceptable </w:t>
      </w:r>
      <w:r>
        <w:rPr>
          <w:sz w:val="18"/>
          <w:szCs w:val="18"/>
        </w:rPr>
        <w:t>rate</w:t>
      </w:r>
      <w:r w:rsidRPr="00ED0747">
        <w:rPr>
          <w:sz w:val="18"/>
          <w:szCs w:val="18"/>
        </w:rPr>
        <w:t xml:space="preserve"> = endpoint/assessment factor</w:t>
      </w:r>
    </w:p>
    <w:p w:rsidR="008B68EB" w:rsidRPr="009A4CFC" w:rsidRDefault="008B68EB" w:rsidP="008B68EB">
      <w:pPr>
        <w:pStyle w:val="Caption"/>
      </w:pPr>
      <w:r w:rsidRPr="009A4CFC">
        <w:t xml:space="preserve">Table </w:t>
      </w:r>
      <w:r w:rsidR="00EA08EB">
        <w:rPr>
          <w:noProof/>
        </w:rPr>
        <w:fldChar w:fldCharType="begin"/>
      </w:r>
      <w:r w:rsidR="00EA08EB">
        <w:rPr>
          <w:noProof/>
        </w:rPr>
        <w:instrText xml:space="preserve"> SEQ Table \* ARABIC </w:instrText>
      </w:r>
      <w:r w:rsidR="00EA08EB">
        <w:rPr>
          <w:noProof/>
        </w:rPr>
        <w:fldChar w:fldCharType="separate"/>
      </w:r>
      <w:r w:rsidR="00225D67">
        <w:rPr>
          <w:noProof/>
        </w:rPr>
        <w:t>22</w:t>
      </w:r>
      <w:r w:rsidR="00EA08EB">
        <w:rPr>
          <w:noProof/>
        </w:rPr>
        <w:fldChar w:fldCharType="end"/>
      </w:r>
      <w:r w:rsidRPr="009A4CFC">
        <w:t xml:space="preserve"> - </w:t>
      </w:r>
      <w:r w:rsidRPr="008B68EB">
        <w:t>Screening level risk assessment for risks to non-target terrestrial plants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1283"/>
        <w:gridCol w:w="2429"/>
        <w:gridCol w:w="8"/>
        <w:gridCol w:w="2424"/>
        <w:gridCol w:w="8"/>
        <w:gridCol w:w="1671"/>
        <w:gridCol w:w="8"/>
        <w:gridCol w:w="1797"/>
      </w:tblGrid>
      <w:tr w:rsidR="00D92F37" w:rsidRPr="00C426CC" w:rsidTr="008B68EB">
        <w:trPr>
          <w:cantSplit/>
          <w:tblHeader/>
        </w:trPr>
        <w:tc>
          <w:tcPr>
            <w:tcW w:w="666" w:type="pct"/>
            <w:shd w:val="clear" w:color="auto" w:fill="auto"/>
          </w:tcPr>
          <w:p w:rsidR="00D92F37" w:rsidRPr="006937CC" w:rsidRDefault="00D92F37" w:rsidP="003C4118">
            <w:pPr>
              <w:jc w:val="center"/>
              <w:rPr>
                <w:b/>
                <w:sz w:val="18"/>
                <w:szCs w:val="20"/>
                <w:lang w:eastAsia="en-AU"/>
              </w:rPr>
            </w:pPr>
            <w:r w:rsidRPr="006937CC">
              <w:rPr>
                <w:b/>
                <w:sz w:val="18"/>
                <w:szCs w:val="20"/>
                <w:lang w:eastAsia="en-AU"/>
              </w:rPr>
              <w:t>Exposure</w:t>
            </w:r>
          </w:p>
        </w:tc>
        <w:tc>
          <w:tcPr>
            <w:tcW w:w="1265" w:type="pct"/>
            <w:gridSpan w:val="2"/>
          </w:tcPr>
          <w:p w:rsidR="00D92F37" w:rsidRPr="006937CC" w:rsidRDefault="00D92F37" w:rsidP="003C4118">
            <w:pPr>
              <w:jc w:val="center"/>
              <w:rPr>
                <w:b/>
                <w:sz w:val="18"/>
                <w:szCs w:val="20"/>
                <w:lang w:eastAsia="en-AU"/>
              </w:rPr>
            </w:pPr>
            <w:r>
              <w:rPr>
                <w:b/>
                <w:sz w:val="18"/>
                <w:szCs w:val="20"/>
                <w:lang w:eastAsia="en-AU"/>
              </w:rPr>
              <w:t>Test</w:t>
            </w:r>
          </w:p>
        </w:tc>
        <w:tc>
          <w:tcPr>
            <w:tcW w:w="1263" w:type="pct"/>
            <w:gridSpan w:val="2"/>
          </w:tcPr>
          <w:p w:rsidR="00D92F37" w:rsidRPr="006937CC" w:rsidRDefault="00D92F37" w:rsidP="003C4118">
            <w:pPr>
              <w:jc w:val="center"/>
              <w:rPr>
                <w:b/>
                <w:sz w:val="18"/>
                <w:szCs w:val="20"/>
                <w:lang w:eastAsia="en-AU"/>
              </w:rPr>
            </w:pPr>
            <w:r>
              <w:rPr>
                <w:b/>
                <w:sz w:val="18"/>
                <w:szCs w:val="20"/>
                <w:lang w:eastAsia="en-AU"/>
              </w:rPr>
              <w:t>Application rate (g ac/ha)</w:t>
            </w:r>
          </w:p>
        </w:tc>
        <w:tc>
          <w:tcPr>
            <w:tcW w:w="872" w:type="pct"/>
            <w:gridSpan w:val="2"/>
          </w:tcPr>
          <w:p w:rsidR="00D92F37" w:rsidRPr="006937CC" w:rsidRDefault="00D92F37" w:rsidP="003C4118">
            <w:pPr>
              <w:jc w:val="center"/>
              <w:rPr>
                <w:b/>
                <w:sz w:val="18"/>
                <w:szCs w:val="20"/>
                <w:lang w:eastAsia="en-AU"/>
              </w:rPr>
            </w:pPr>
            <w:r>
              <w:rPr>
                <w:b/>
                <w:sz w:val="18"/>
                <w:szCs w:val="20"/>
                <w:lang w:eastAsia="en-AU"/>
              </w:rPr>
              <w:t>RAR (g ac/ha)</w:t>
            </w:r>
          </w:p>
        </w:tc>
        <w:tc>
          <w:tcPr>
            <w:tcW w:w="933" w:type="pct"/>
            <w:shd w:val="clear" w:color="auto" w:fill="auto"/>
          </w:tcPr>
          <w:p w:rsidR="00D92F37" w:rsidRPr="006937CC" w:rsidRDefault="00D92F37" w:rsidP="003C4118">
            <w:pPr>
              <w:jc w:val="center"/>
              <w:rPr>
                <w:b/>
                <w:sz w:val="18"/>
                <w:szCs w:val="20"/>
                <w:lang w:eastAsia="en-AU"/>
              </w:rPr>
            </w:pPr>
            <w:r>
              <w:rPr>
                <w:b/>
                <w:sz w:val="18"/>
                <w:szCs w:val="20"/>
                <w:lang w:eastAsia="en-AU"/>
              </w:rPr>
              <w:t>RQ</w:t>
            </w:r>
          </w:p>
        </w:tc>
      </w:tr>
      <w:tr w:rsidR="00D92F37" w:rsidRPr="00C426CC" w:rsidTr="008B68EB">
        <w:trPr>
          <w:cantSplit/>
        </w:trPr>
        <w:tc>
          <w:tcPr>
            <w:tcW w:w="666" w:type="pct"/>
            <w:shd w:val="clear" w:color="auto" w:fill="auto"/>
          </w:tcPr>
          <w:p w:rsidR="00D92F37" w:rsidRPr="00ED0747" w:rsidRDefault="00D92F37" w:rsidP="003C4118">
            <w:pPr>
              <w:rPr>
                <w:sz w:val="18"/>
                <w:szCs w:val="20"/>
                <w:lang w:eastAsia="en-AU"/>
              </w:rPr>
            </w:pPr>
            <w:r>
              <w:rPr>
                <w:sz w:val="18"/>
                <w:szCs w:val="20"/>
                <w:lang w:eastAsia="en-AU"/>
              </w:rPr>
              <w:t>Pre-emergent</w:t>
            </w:r>
          </w:p>
        </w:tc>
        <w:tc>
          <w:tcPr>
            <w:tcW w:w="1261" w:type="pct"/>
          </w:tcPr>
          <w:p w:rsidR="00D92F37" w:rsidRDefault="00D92F37" w:rsidP="003C4118">
            <w:pPr>
              <w:rPr>
                <w:sz w:val="18"/>
                <w:szCs w:val="20"/>
                <w:lang w:eastAsia="en-AU"/>
              </w:rPr>
            </w:pPr>
            <w:r>
              <w:rPr>
                <w:sz w:val="18"/>
                <w:szCs w:val="20"/>
                <w:lang w:eastAsia="en-AU"/>
              </w:rPr>
              <w:t>Seedling emergence</w:t>
            </w:r>
          </w:p>
        </w:tc>
        <w:tc>
          <w:tcPr>
            <w:tcW w:w="1263" w:type="pct"/>
            <w:gridSpan w:val="2"/>
          </w:tcPr>
          <w:p w:rsidR="00D92F37" w:rsidRPr="006937CC" w:rsidRDefault="00D92F37" w:rsidP="003C4118">
            <w:pPr>
              <w:jc w:val="right"/>
              <w:rPr>
                <w:sz w:val="18"/>
                <w:szCs w:val="20"/>
                <w:lang w:eastAsia="en-AU"/>
              </w:rPr>
            </w:pPr>
          </w:p>
        </w:tc>
        <w:tc>
          <w:tcPr>
            <w:tcW w:w="872" w:type="pct"/>
            <w:gridSpan w:val="2"/>
          </w:tcPr>
          <w:p w:rsidR="00D92F37" w:rsidRPr="006937CC" w:rsidRDefault="00D92F37" w:rsidP="003C4118">
            <w:pPr>
              <w:jc w:val="center"/>
              <w:rPr>
                <w:sz w:val="18"/>
                <w:szCs w:val="20"/>
                <w:lang w:eastAsia="en-AU"/>
              </w:rPr>
            </w:pPr>
          </w:p>
        </w:tc>
        <w:tc>
          <w:tcPr>
            <w:tcW w:w="937" w:type="pct"/>
            <w:gridSpan w:val="2"/>
            <w:shd w:val="clear" w:color="auto" w:fill="auto"/>
          </w:tcPr>
          <w:p w:rsidR="00D92F37" w:rsidRPr="006937CC" w:rsidRDefault="00D92F37" w:rsidP="003C4118">
            <w:pPr>
              <w:jc w:val="right"/>
              <w:rPr>
                <w:sz w:val="18"/>
                <w:szCs w:val="20"/>
                <w:lang w:eastAsia="en-AU"/>
              </w:rPr>
            </w:pPr>
          </w:p>
        </w:tc>
      </w:tr>
      <w:tr w:rsidR="00D92F37" w:rsidRPr="00C426CC" w:rsidTr="008B68EB">
        <w:trPr>
          <w:cantSplit/>
        </w:trPr>
        <w:tc>
          <w:tcPr>
            <w:tcW w:w="666" w:type="pct"/>
            <w:shd w:val="clear" w:color="auto" w:fill="auto"/>
          </w:tcPr>
          <w:p w:rsidR="00D92F37" w:rsidRPr="006937CC" w:rsidRDefault="00D92F37" w:rsidP="003C4118">
            <w:pPr>
              <w:rPr>
                <w:sz w:val="18"/>
                <w:szCs w:val="20"/>
                <w:lang w:eastAsia="en-AU"/>
              </w:rPr>
            </w:pPr>
            <w:r>
              <w:rPr>
                <w:sz w:val="18"/>
                <w:szCs w:val="20"/>
                <w:lang w:eastAsia="en-AU"/>
              </w:rPr>
              <w:t>Post-emergent</w:t>
            </w:r>
          </w:p>
        </w:tc>
        <w:tc>
          <w:tcPr>
            <w:tcW w:w="1261" w:type="pct"/>
          </w:tcPr>
          <w:p w:rsidR="00D92F37" w:rsidRDefault="00D92F37" w:rsidP="003C4118">
            <w:pPr>
              <w:rPr>
                <w:sz w:val="18"/>
                <w:szCs w:val="20"/>
                <w:lang w:eastAsia="en-AU"/>
              </w:rPr>
            </w:pPr>
            <w:r>
              <w:rPr>
                <w:sz w:val="18"/>
                <w:szCs w:val="20"/>
                <w:lang w:eastAsia="en-AU"/>
              </w:rPr>
              <w:t>Vegetative vigour</w:t>
            </w:r>
          </w:p>
        </w:tc>
        <w:tc>
          <w:tcPr>
            <w:tcW w:w="1263" w:type="pct"/>
            <w:gridSpan w:val="2"/>
          </w:tcPr>
          <w:p w:rsidR="00D92F37" w:rsidRPr="006937CC" w:rsidRDefault="00D92F37" w:rsidP="003C4118">
            <w:pPr>
              <w:jc w:val="right"/>
              <w:rPr>
                <w:sz w:val="18"/>
                <w:szCs w:val="20"/>
                <w:lang w:eastAsia="en-AU"/>
              </w:rPr>
            </w:pPr>
          </w:p>
        </w:tc>
        <w:tc>
          <w:tcPr>
            <w:tcW w:w="872" w:type="pct"/>
            <w:gridSpan w:val="2"/>
          </w:tcPr>
          <w:p w:rsidR="00D92F37" w:rsidRPr="006937CC" w:rsidRDefault="00D92F37" w:rsidP="003C4118">
            <w:pPr>
              <w:jc w:val="center"/>
              <w:rPr>
                <w:sz w:val="18"/>
                <w:szCs w:val="20"/>
                <w:lang w:eastAsia="en-AU"/>
              </w:rPr>
            </w:pPr>
          </w:p>
        </w:tc>
        <w:tc>
          <w:tcPr>
            <w:tcW w:w="937" w:type="pct"/>
            <w:gridSpan w:val="2"/>
            <w:shd w:val="clear" w:color="auto" w:fill="auto"/>
          </w:tcPr>
          <w:p w:rsidR="00D92F37" w:rsidRPr="006937CC" w:rsidRDefault="00D92F37" w:rsidP="003C4118">
            <w:pPr>
              <w:jc w:val="right"/>
              <w:rPr>
                <w:sz w:val="18"/>
                <w:szCs w:val="20"/>
                <w:lang w:eastAsia="en-AU"/>
              </w:rPr>
            </w:pPr>
          </w:p>
        </w:tc>
      </w:tr>
    </w:tbl>
    <w:p w:rsidR="00D92F37" w:rsidRDefault="00D92F37" w:rsidP="00D92F37">
      <w:pPr>
        <w:pStyle w:val="BodyText"/>
        <w:rPr>
          <w:sz w:val="18"/>
          <w:szCs w:val="18"/>
        </w:rPr>
      </w:pPr>
      <w:r>
        <w:rPr>
          <w:sz w:val="18"/>
          <w:szCs w:val="18"/>
        </w:rPr>
        <w:t>Assessment factor as per EPHC (2009)</w:t>
      </w:r>
    </w:p>
    <w:p w:rsidR="00D92F37" w:rsidRDefault="00D92F37" w:rsidP="00D92F37">
      <w:pPr>
        <w:pStyle w:val="BodyText"/>
        <w:rPr>
          <w:sz w:val="18"/>
          <w:szCs w:val="18"/>
        </w:rPr>
      </w:pPr>
      <w:r w:rsidRPr="00ED0747">
        <w:rPr>
          <w:sz w:val="18"/>
          <w:szCs w:val="18"/>
        </w:rPr>
        <w:t>RA</w:t>
      </w:r>
      <w:r>
        <w:rPr>
          <w:sz w:val="18"/>
          <w:szCs w:val="18"/>
        </w:rPr>
        <w:t>R</w:t>
      </w:r>
      <w:r w:rsidRPr="00ED0747">
        <w:rPr>
          <w:sz w:val="18"/>
          <w:szCs w:val="18"/>
        </w:rPr>
        <w:t xml:space="preserve"> = regulatory acceptable </w:t>
      </w:r>
      <w:r>
        <w:rPr>
          <w:sz w:val="18"/>
          <w:szCs w:val="18"/>
        </w:rPr>
        <w:t>rate</w:t>
      </w:r>
      <w:r w:rsidRPr="00ED0747">
        <w:rPr>
          <w:sz w:val="18"/>
          <w:szCs w:val="18"/>
        </w:rPr>
        <w:t xml:space="preserve"> </w:t>
      </w:r>
      <w:r>
        <w:rPr>
          <w:sz w:val="18"/>
          <w:szCs w:val="18"/>
        </w:rPr>
        <w:t>(from Table X)</w:t>
      </w:r>
    </w:p>
    <w:p w:rsidR="00D92F37" w:rsidRPr="00ED0747" w:rsidRDefault="00D92F37" w:rsidP="00D92F37">
      <w:pPr>
        <w:pStyle w:val="BodyText"/>
        <w:rPr>
          <w:sz w:val="20"/>
          <w:szCs w:val="22"/>
        </w:rPr>
      </w:pPr>
      <w:r>
        <w:rPr>
          <w:sz w:val="18"/>
          <w:szCs w:val="18"/>
        </w:rPr>
        <w:t>RQ = risk quotient = rate / RAR, where acceptable RQ &lt;1</w:t>
      </w:r>
    </w:p>
    <w:p w:rsidR="008B68EB" w:rsidRPr="008B68EB" w:rsidRDefault="008B68EB" w:rsidP="00BB0F73">
      <w:pPr>
        <w:pStyle w:val="Caption"/>
      </w:pPr>
      <w:r w:rsidRPr="009A4CFC">
        <w:lastRenderedPageBreak/>
        <w:t xml:space="preserve">Table </w:t>
      </w:r>
      <w:r w:rsidR="00EA08EB">
        <w:rPr>
          <w:noProof/>
        </w:rPr>
        <w:fldChar w:fldCharType="begin"/>
      </w:r>
      <w:r w:rsidR="00EA08EB">
        <w:rPr>
          <w:noProof/>
        </w:rPr>
        <w:instrText xml:space="preserve"> SEQ Table \* ARABIC </w:instrText>
      </w:r>
      <w:r w:rsidR="00EA08EB">
        <w:rPr>
          <w:noProof/>
        </w:rPr>
        <w:fldChar w:fldCharType="separate"/>
      </w:r>
      <w:r w:rsidR="00225D67">
        <w:rPr>
          <w:noProof/>
        </w:rPr>
        <w:t>23</w:t>
      </w:r>
      <w:r w:rsidR="00EA08EB">
        <w:rPr>
          <w:noProof/>
        </w:rPr>
        <w:fldChar w:fldCharType="end"/>
      </w:r>
      <w:r w:rsidRPr="009A4CFC">
        <w:t xml:space="preserve"> - </w:t>
      </w:r>
      <w:r w:rsidRPr="008B68EB">
        <w:t>Combination toxicity to non-target terrestrial plants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349"/>
        <w:gridCol w:w="2452"/>
        <w:gridCol w:w="2371"/>
        <w:gridCol w:w="2461"/>
      </w:tblGrid>
      <w:tr w:rsidR="00D92F37" w:rsidRPr="00E57A8D" w:rsidTr="00BB0F73">
        <w:trPr>
          <w:cantSplit/>
          <w:tblHeader/>
        </w:trPr>
        <w:tc>
          <w:tcPr>
            <w:tcW w:w="2377" w:type="dxa"/>
            <w:tcBorders>
              <w:top w:val="nil"/>
              <w:left w:val="nil"/>
              <w:bottom w:val="nil"/>
              <w:right w:val="single" w:sz="4" w:space="0" w:color="auto"/>
            </w:tcBorders>
            <w:shd w:val="clear" w:color="auto" w:fill="auto"/>
          </w:tcPr>
          <w:p w:rsidR="00D92F37" w:rsidRPr="00E57A8D" w:rsidRDefault="00D92F37" w:rsidP="00BB0F73">
            <w:pPr>
              <w:keepNext/>
              <w:widowControl w:val="0"/>
              <w:rPr>
                <w:color w:val="000000"/>
                <w:sz w:val="18"/>
                <w:szCs w:val="18"/>
              </w:rPr>
            </w:pPr>
          </w:p>
        </w:tc>
        <w:tc>
          <w:tcPr>
            <w:tcW w:w="2486" w:type="dxa"/>
            <w:tcBorders>
              <w:left w:val="single" w:sz="4" w:space="0" w:color="auto"/>
            </w:tcBorders>
            <w:shd w:val="clear" w:color="auto" w:fill="auto"/>
          </w:tcPr>
          <w:p w:rsidR="00D92F37" w:rsidRPr="00E57A8D" w:rsidRDefault="00D92F37" w:rsidP="00BB0F73">
            <w:pPr>
              <w:keepNext/>
              <w:widowControl w:val="0"/>
              <w:jc w:val="center"/>
              <w:rPr>
                <w:b/>
                <w:color w:val="000000"/>
                <w:sz w:val="18"/>
                <w:szCs w:val="18"/>
              </w:rPr>
            </w:pPr>
            <w:r w:rsidRPr="00E57A8D">
              <w:rPr>
                <w:b/>
                <w:color w:val="000000"/>
                <w:sz w:val="18"/>
                <w:szCs w:val="18"/>
              </w:rPr>
              <w:t>Active 1</w:t>
            </w:r>
          </w:p>
        </w:tc>
        <w:tc>
          <w:tcPr>
            <w:tcW w:w="2403" w:type="dxa"/>
            <w:shd w:val="clear" w:color="auto" w:fill="auto"/>
          </w:tcPr>
          <w:p w:rsidR="00D92F37" w:rsidRPr="00E57A8D" w:rsidRDefault="00D92F37" w:rsidP="00BB0F73">
            <w:pPr>
              <w:keepNext/>
              <w:widowControl w:val="0"/>
              <w:jc w:val="center"/>
              <w:rPr>
                <w:b/>
                <w:color w:val="000000"/>
                <w:sz w:val="18"/>
                <w:szCs w:val="18"/>
              </w:rPr>
            </w:pPr>
            <w:r w:rsidRPr="00E57A8D">
              <w:rPr>
                <w:b/>
                <w:color w:val="000000"/>
                <w:sz w:val="18"/>
                <w:szCs w:val="18"/>
              </w:rPr>
              <w:t>Active 2</w:t>
            </w:r>
          </w:p>
        </w:tc>
        <w:tc>
          <w:tcPr>
            <w:tcW w:w="2486" w:type="dxa"/>
          </w:tcPr>
          <w:p w:rsidR="00D92F37" w:rsidRPr="00E57A8D" w:rsidRDefault="00D92F37" w:rsidP="00BB0F73">
            <w:pPr>
              <w:keepNext/>
              <w:widowControl w:val="0"/>
              <w:jc w:val="center"/>
              <w:rPr>
                <w:b/>
                <w:color w:val="000000"/>
                <w:sz w:val="18"/>
                <w:szCs w:val="18"/>
              </w:rPr>
            </w:pPr>
            <w:r w:rsidRPr="00E57A8D">
              <w:rPr>
                <w:b/>
                <w:color w:val="000000"/>
                <w:sz w:val="18"/>
                <w:szCs w:val="18"/>
              </w:rPr>
              <w:t>Combination</w:t>
            </w:r>
            <w:r w:rsidRPr="00E57A8D">
              <w:rPr>
                <w:b/>
                <w:color w:val="000000"/>
                <w:sz w:val="18"/>
                <w:szCs w:val="18"/>
                <w:vertAlign w:val="superscript"/>
              </w:rPr>
              <w:footnoteReference w:id="17"/>
            </w:r>
            <w:r w:rsidRPr="00E57A8D">
              <w:rPr>
                <w:b/>
                <w:color w:val="000000"/>
                <w:sz w:val="18"/>
                <w:szCs w:val="18"/>
              </w:rPr>
              <w:t xml:space="preserve"> </w:t>
            </w:r>
            <w:r w:rsidRPr="00E57A8D">
              <w:rPr>
                <w:sz w:val="18"/>
                <w:szCs w:val="18"/>
                <w:vertAlign w:val="superscript"/>
              </w:rPr>
              <w:footnoteReference w:id="18"/>
            </w:r>
            <w:r w:rsidRPr="00E57A8D">
              <w:rPr>
                <w:b/>
                <w:color w:val="000000"/>
                <w:sz w:val="18"/>
                <w:szCs w:val="18"/>
              </w:rPr>
              <w:t xml:space="preserve"> </w:t>
            </w:r>
            <w:r w:rsidRPr="00E57A8D">
              <w:rPr>
                <w:rStyle w:val="FootnoteReference"/>
                <w:b/>
                <w:color w:val="000000"/>
                <w:sz w:val="18"/>
                <w:szCs w:val="18"/>
              </w:rPr>
              <w:footnoteReference w:id="19"/>
            </w:r>
          </w:p>
        </w:tc>
      </w:tr>
      <w:tr w:rsidR="00D92F37" w:rsidRPr="00E57A8D" w:rsidTr="00BB0F73">
        <w:trPr>
          <w:cantSplit/>
          <w:tblHeader/>
        </w:trPr>
        <w:tc>
          <w:tcPr>
            <w:tcW w:w="2377" w:type="dxa"/>
            <w:tcBorders>
              <w:top w:val="nil"/>
              <w:left w:val="nil"/>
              <w:bottom w:val="nil"/>
              <w:right w:val="single" w:sz="4" w:space="0" w:color="auto"/>
            </w:tcBorders>
            <w:shd w:val="clear" w:color="auto" w:fill="auto"/>
          </w:tcPr>
          <w:p w:rsidR="00D92F37" w:rsidRPr="00E57A8D" w:rsidRDefault="00D92F37" w:rsidP="003C4118">
            <w:pPr>
              <w:widowControl w:val="0"/>
              <w:rPr>
                <w:color w:val="000000"/>
                <w:sz w:val="18"/>
                <w:szCs w:val="18"/>
              </w:rPr>
            </w:pPr>
            <w:r w:rsidRPr="00E57A8D">
              <w:rPr>
                <w:color w:val="000000"/>
                <w:sz w:val="18"/>
                <w:szCs w:val="18"/>
              </w:rPr>
              <w:t>Fraction in combination</w:t>
            </w:r>
          </w:p>
        </w:tc>
        <w:tc>
          <w:tcPr>
            <w:tcW w:w="2486" w:type="dxa"/>
            <w:tcBorders>
              <w:top w:val="nil"/>
              <w:left w:val="nil"/>
              <w:bottom w:val="single" w:sz="8" w:space="0" w:color="auto"/>
              <w:right w:val="single" w:sz="8" w:space="0" w:color="auto"/>
            </w:tcBorders>
            <w:shd w:val="clear" w:color="auto" w:fill="auto"/>
          </w:tcPr>
          <w:p w:rsidR="00D92F37" w:rsidRPr="00E57A8D" w:rsidRDefault="00D92F37" w:rsidP="003C4118">
            <w:pPr>
              <w:widowControl w:val="0"/>
              <w:jc w:val="center"/>
              <w:rPr>
                <w:b/>
                <w:color w:val="FF0000"/>
                <w:sz w:val="18"/>
                <w:szCs w:val="18"/>
              </w:rPr>
            </w:pPr>
            <w:r w:rsidRPr="00E57A8D">
              <w:rPr>
                <w:b/>
                <w:color w:val="FF0000"/>
                <w:sz w:val="18"/>
                <w:szCs w:val="18"/>
              </w:rPr>
              <w:t>0.XX</w:t>
            </w:r>
          </w:p>
        </w:tc>
        <w:tc>
          <w:tcPr>
            <w:tcW w:w="2403" w:type="dxa"/>
            <w:tcBorders>
              <w:top w:val="nil"/>
              <w:left w:val="nil"/>
              <w:bottom w:val="single" w:sz="8" w:space="0" w:color="auto"/>
              <w:right w:val="single" w:sz="8" w:space="0" w:color="auto"/>
            </w:tcBorders>
            <w:shd w:val="clear" w:color="auto" w:fill="auto"/>
          </w:tcPr>
          <w:p w:rsidR="00D92F37" w:rsidRPr="00E57A8D" w:rsidRDefault="00D92F37" w:rsidP="003C4118">
            <w:pPr>
              <w:widowControl w:val="0"/>
              <w:jc w:val="center"/>
              <w:rPr>
                <w:b/>
                <w:color w:val="FF0000"/>
                <w:sz w:val="18"/>
                <w:szCs w:val="18"/>
              </w:rPr>
            </w:pPr>
            <w:r w:rsidRPr="00E57A8D">
              <w:rPr>
                <w:b/>
                <w:color w:val="FF0000"/>
                <w:sz w:val="18"/>
                <w:szCs w:val="18"/>
              </w:rPr>
              <w:t>0.XX</w:t>
            </w:r>
          </w:p>
        </w:tc>
        <w:tc>
          <w:tcPr>
            <w:tcW w:w="2486" w:type="dxa"/>
          </w:tcPr>
          <w:p w:rsidR="00D92F37" w:rsidRPr="00E57A8D" w:rsidRDefault="00D92F37" w:rsidP="003C4118">
            <w:pPr>
              <w:widowControl w:val="0"/>
              <w:jc w:val="center"/>
              <w:rPr>
                <w:b/>
                <w:color w:val="000000"/>
                <w:sz w:val="18"/>
                <w:szCs w:val="18"/>
              </w:rPr>
            </w:pPr>
            <w:r w:rsidRPr="00E57A8D">
              <w:rPr>
                <w:b/>
                <w:color w:val="000000"/>
                <w:sz w:val="18"/>
                <w:szCs w:val="18"/>
              </w:rPr>
              <w:t>1.00</w:t>
            </w:r>
          </w:p>
        </w:tc>
      </w:tr>
      <w:tr w:rsidR="00D92F37" w:rsidRPr="00E57A8D" w:rsidTr="00BB0F73">
        <w:trPr>
          <w:cantSplit/>
        </w:trPr>
        <w:tc>
          <w:tcPr>
            <w:tcW w:w="2377" w:type="dxa"/>
            <w:tcBorders>
              <w:top w:val="nil"/>
              <w:left w:val="nil"/>
              <w:bottom w:val="nil"/>
              <w:right w:val="single" w:sz="4" w:space="0" w:color="auto"/>
            </w:tcBorders>
            <w:shd w:val="clear" w:color="auto" w:fill="auto"/>
          </w:tcPr>
          <w:p w:rsidR="00D92F37" w:rsidRPr="00E57A8D" w:rsidRDefault="00D92F37" w:rsidP="003C4118">
            <w:pPr>
              <w:widowControl w:val="0"/>
              <w:rPr>
                <w:color w:val="000000"/>
                <w:sz w:val="18"/>
                <w:szCs w:val="18"/>
              </w:rPr>
            </w:pPr>
            <w:r>
              <w:rPr>
                <w:color w:val="000000"/>
                <w:sz w:val="18"/>
                <w:szCs w:val="18"/>
              </w:rPr>
              <w:t>Effects on seedling emergence</w:t>
            </w:r>
            <w:r w:rsidRPr="00E57A8D">
              <w:rPr>
                <w:color w:val="000000"/>
                <w:sz w:val="18"/>
                <w:szCs w:val="18"/>
              </w:rPr>
              <w:t xml:space="preserve"> </w:t>
            </w:r>
          </w:p>
        </w:tc>
        <w:tc>
          <w:tcPr>
            <w:tcW w:w="2486" w:type="dxa"/>
            <w:tcBorders>
              <w:top w:val="nil"/>
              <w:left w:val="nil"/>
              <w:bottom w:val="single" w:sz="8" w:space="0" w:color="auto"/>
              <w:right w:val="single" w:sz="8" w:space="0" w:color="auto"/>
            </w:tcBorders>
            <w:shd w:val="clear" w:color="auto" w:fill="auto"/>
          </w:tcPr>
          <w:p w:rsidR="00D92F37" w:rsidRPr="00E57A8D" w:rsidRDefault="00D92F37" w:rsidP="003C4118">
            <w:pPr>
              <w:widowControl w:val="0"/>
              <w:rPr>
                <w:color w:val="000000"/>
                <w:sz w:val="18"/>
                <w:szCs w:val="18"/>
              </w:rPr>
            </w:pPr>
            <w:r>
              <w:rPr>
                <w:color w:val="000000"/>
                <w:sz w:val="18"/>
                <w:szCs w:val="18"/>
              </w:rPr>
              <w:t>ER</w:t>
            </w:r>
            <w:r w:rsidRPr="00E57A8D">
              <w:rPr>
                <w:color w:val="000000"/>
                <w:sz w:val="18"/>
                <w:szCs w:val="18"/>
                <w:vertAlign w:val="subscript"/>
              </w:rPr>
              <w:t>50</w:t>
            </w:r>
            <w:r w:rsidRPr="00E57A8D">
              <w:rPr>
                <w:color w:val="000000"/>
                <w:sz w:val="18"/>
                <w:szCs w:val="18"/>
              </w:rPr>
              <w:t xml:space="preserve"> </w:t>
            </w:r>
            <w:r w:rsidRPr="00E57A8D">
              <w:rPr>
                <w:color w:val="FF0000"/>
                <w:sz w:val="18"/>
                <w:szCs w:val="18"/>
              </w:rPr>
              <w:t>XX</w:t>
            </w:r>
            <w:r>
              <w:rPr>
                <w:color w:val="000000"/>
                <w:sz w:val="18"/>
                <w:szCs w:val="18"/>
              </w:rPr>
              <w:t xml:space="preserve"> </w:t>
            </w:r>
            <w:r w:rsidRPr="00E57A8D">
              <w:rPr>
                <w:color w:val="000000"/>
                <w:sz w:val="18"/>
                <w:szCs w:val="18"/>
              </w:rPr>
              <w:t>g ac/</w:t>
            </w:r>
            <w:r>
              <w:rPr>
                <w:color w:val="000000"/>
                <w:sz w:val="18"/>
                <w:szCs w:val="18"/>
              </w:rPr>
              <w:t>ha</w:t>
            </w:r>
            <w:r w:rsidRPr="00E57A8D">
              <w:rPr>
                <w:color w:val="000000"/>
                <w:sz w:val="18"/>
                <w:szCs w:val="18"/>
              </w:rPr>
              <w:t xml:space="preserve"> </w:t>
            </w:r>
          </w:p>
          <w:p w:rsidR="00D92F37" w:rsidRDefault="00D92F37" w:rsidP="003C4118">
            <w:pPr>
              <w:widowControl w:val="0"/>
              <w:rPr>
                <w:color w:val="FF0000"/>
                <w:sz w:val="18"/>
                <w:szCs w:val="18"/>
              </w:rPr>
            </w:pPr>
            <w:r w:rsidRPr="00E57A8D">
              <w:rPr>
                <w:color w:val="FF0000"/>
                <w:sz w:val="18"/>
                <w:szCs w:val="18"/>
              </w:rPr>
              <w:t>Test item</w:t>
            </w:r>
          </w:p>
          <w:p w:rsidR="00D92F37" w:rsidRPr="00E57A8D" w:rsidRDefault="00D92F37" w:rsidP="003C4118">
            <w:pPr>
              <w:widowControl w:val="0"/>
              <w:rPr>
                <w:color w:val="FF0000"/>
                <w:sz w:val="18"/>
                <w:szCs w:val="18"/>
              </w:rPr>
            </w:pPr>
            <w:r>
              <w:rPr>
                <w:color w:val="FF0000"/>
                <w:sz w:val="18"/>
                <w:szCs w:val="18"/>
              </w:rPr>
              <w:t>Tier of testing</w:t>
            </w:r>
          </w:p>
          <w:p w:rsidR="00D92F37" w:rsidRPr="00E57A8D" w:rsidRDefault="00D92F37" w:rsidP="003C4118">
            <w:pPr>
              <w:widowControl w:val="0"/>
              <w:rPr>
                <w:i/>
                <w:color w:val="FF0000"/>
                <w:sz w:val="18"/>
                <w:szCs w:val="18"/>
              </w:rPr>
            </w:pPr>
            <w:r w:rsidRPr="00E57A8D">
              <w:rPr>
                <w:i/>
                <w:color w:val="FF0000"/>
                <w:sz w:val="18"/>
                <w:szCs w:val="18"/>
              </w:rPr>
              <w:t>Test species</w:t>
            </w:r>
            <w:r>
              <w:rPr>
                <w:i/>
                <w:color w:val="FF0000"/>
                <w:sz w:val="18"/>
                <w:szCs w:val="18"/>
              </w:rPr>
              <w:t xml:space="preserve"> </w:t>
            </w:r>
            <w:r w:rsidRPr="00C166AC">
              <w:rPr>
                <w:color w:val="FF0000"/>
                <w:sz w:val="18"/>
                <w:szCs w:val="18"/>
              </w:rPr>
              <w:t>(or #species tested if &gt;value)</w:t>
            </w:r>
          </w:p>
          <w:p w:rsidR="00D92F37" w:rsidRPr="00E57A8D" w:rsidRDefault="00D92F37" w:rsidP="003C4118">
            <w:pPr>
              <w:widowControl w:val="0"/>
              <w:rPr>
                <w:color w:val="000000"/>
                <w:sz w:val="18"/>
                <w:szCs w:val="18"/>
                <w:lang w:eastAsia="en-AU"/>
              </w:rPr>
            </w:pPr>
            <w:r w:rsidRPr="00E57A8D">
              <w:rPr>
                <w:color w:val="FF0000"/>
                <w:sz w:val="18"/>
                <w:szCs w:val="18"/>
                <w:lang w:eastAsia="en-AU"/>
              </w:rPr>
              <w:t>Reference</w:t>
            </w:r>
          </w:p>
        </w:tc>
        <w:tc>
          <w:tcPr>
            <w:tcW w:w="2403" w:type="dxa"/>
            <w:tcBorders>
              <w:top w:val="nil"/>
              <w:left w:val="nil"/>
              <w:bottom w:val="single" w:sz="8" w:space="0" w:color="auto"/>
              <w:right w:val="single" w:sz="8" w:space="0" w:color="auto"/>
            </w:tcBorders>
            <w:shd w:val="clear" w:color="auto" w:fill="auto"/>
          </w:tcPr>
          <w:p w:rsidR="00D92F37" w:rsidRPr="00E57A8D" w:rsidRDefault="00D92F37" w:rsidP="003C4118">
            <w:pPr>
              <w:widowControl w:val="0"/>
              <w:rPr>
                <w:color w:val="000000"/>
                <w:sz w:val="18"/>
                <w:szCs w:val="18"/>
              </w:rPr>
            </w:pPr>
            <w:r>
              <w:rPr>
                <w:color w:val="000000"/>
                <w:sz w:val="18"/>
                <w:szCs w:val="18"/>
              </w:rPr>
              <w:t>ER</w:t>
            </w:r>
            <w:r w:rsidRPr="00E57A8D">
              <w:rPr>
                <w:color w:val="000000"/>
                <w:sz w:val="18"/>
                <w:szCs w:val="18"/>
                <w:vertAlign w:val="subscript"/>
              </w:rPr>
              <w:t>50</w:t>
            </w:r>
            <w:r w:rsidRPr="00E57A8D">
              <w:rPr>
                <w:color w:val="000000"/>
                <w:sz w:val="18"/>
                <w:szCs w:val="18"/>
              </w:rPr>
              <w:t xml:space="preserve"> </w:t>
            </w:r>
            <w:r w:rsidRPr="00E57A8D">
              <w:rPr>
                <w:color w:val="FF0000"/>
                <w:sz w:val="18"/>
                <w:szCs w:val="18"/>
              </w:rPr>
              <w:t>XX</w:t>
            </w:r>
            <w:r>
              <w:rPr>
                <w:color w:val="000000"/>
                <w:sz w:val="18"/>
                <w:szCs w:val="18"/>
              </w:rPr>
              <w:t xml:space="preserve"> </w:t>
            </w:r>
            <w:r w:rsidRPr="00E57A8D">
              <w:rPr>
                <w:color w:val="000000"/>
                <w:sz w:val="18"/>
                <w:szCs w:val="18"/>
              </w:rPr>
              <w:t>g ac/</w:t>
            </w:r>
            <w:r>
              <w:rPr>
                <w:color w:val="000000"/>
                <w:sz w:val="18"/>
                <w:szCs w:val="18"/>
              </w:rPr>
              <w:t>ha</w:t>
            </w:r>
            <w:r w:rsidRPr="00E57A8D">
              <w:rPr>
                <w:color w:val="000000"/>
                <w:sz w:val="18"/>
                <w:szCs w:val="18"/>
              </w:rPr>
              <w:t xml:space="preserve"> </w:t>
            </w:r>
          </w:p>
          <w:p w:rsidR="00D92F37" w:rsidRDefault="00D92F37" w:rsidP="003C4118">
            <w:pPr>
              <w:widowControl w:val="0"/>
              <w:rPr>
                <w:color w:val="FF0000"/>
                <w:sz w:val="18"/>
                <w:szCs w:val="18"/>
              </w:rPr>
            </w:pPr>
            <w:r w:rsidRPr="00E57A8D">
              <w:rPr>
                <w:color w:val="FF0000"/>
                <w:sz w:val="18"/>
                <w:szCs w:val="18"/>
              </w:rPr>
              <w:t>Test item</w:t>
            </w:r>
          </w:p>
          <w:p w:rsidR="00D92F37" w:rsidRPr="00E57A8D" w:rsidRDefault="00D92F37" w:rsidP="003C4118">
            <w:pPr>
              <w:widowControl w:val="0"/>
              <w:rPr>
                <w:color w:val="FF0000"/>
                <w:sz w:val="18"/>
                <w:szCs w:val="18"/>
              </w:rPr>
            </w:pPr>
            <w:r>
              <w:rPr>
                <w:color w:val="FF0000"/>
                <w:sz w:val="18"/>
                <w:szCs w:val="18"/>
              </w:rPr>
              <w:t>Tier of testing</w:t>
            </w:r>
          </w:p>
          <w:p w:rsidR="00D92F37" w:rsidRPr="00E57A8D" w:rsidRDefault="00D92F37" w:rsidP="003C4118">
            <w:pPr>
              <w:widowControl w:val="0"/>
              <w:rPr>
                <w:i/>
                <w:color w:val="FF0000"/>
                <w:sz w:val="18"/>
                <w:szCs w:val="18"/>
              </w:rPr>
            </w:pPr>
            <w:r w:rsidRPr="00E57A8D">
              <w:rPr>
                <w:i/>
                <w:color w:val="FF0000"/>
                <w:sz w:val="18"/>
                <w:szCs w:val="18"/>
              </w:rPr>
              <w:t>Test species</w:t>
            </w:r>
            <w:r>
              <w:rPr>
                <w:i/>
                <w:color w:val="FF0000"/>
                <w:sz w:val="18"/>
                <w:szCs w:val="18"/>
              </w:rPr>
              <w:t xml:space="preserve"> </w:t>
            </w:r>
            <w:r w:rsidRPr="00C166AC">
              <w:rPr>
                <w:color w:val="FF0000"/>
                <w:sz w:val="18"/>
                <w:szCs w:val="18"/>
              </w:rPr>
              <w:t>(or #species tested if &gt;value)</w:t>
            </w:r>
          </w:p>
          <w:p w:rsidR="00D92F37" w:rsidRPr="00E57A8D" w:rsidRDefault="00D92F37" w:rsidP="003C4118">
            <w:pPr>
              <w:widowControl w:val="0"/>
              <w:rPr>
                <w:color w:val="000000"/>
                <w:sz w:val="18"/>
                <w:szCs w:val="18"/>
                <w:lang w:eastAsia="en-AU"/>
              </w:rPr>
            </w:pPr>
            <w:r w:rsidRPr="00E57A8D">
              <w:rPr>
                <w:color w:val="FF0000"/>
                <w:sz w:val="18"/>
                <w:szCs w:val="18"/>
                <w:lang w:eastAsia="en-AU"/>
              </w:rPr>
              <w:t>Reference</w:t>
            </w:r>
          </w:p>
        </w:tc>
        <w:tc>
          <w:tcPr>
            <w:tcW w:w="2486" w:type="dxa"/>
          </w:tcPr>
          <w:p w:rsidR="00D92F37" w:rsidRPr="00E57A8D" w:rsidRDefault="00D92F37" w:rsidP="003C4118">
            <w:pPr>
              <w:widowControl w:val="0"/>
              <w:rPr>
                <w:color w:val="000000"/>
                <w:sz w:val="18"/>
                <w:szCs w:val="18"/>
              </w:rPr>
            </w:pPr>
            <w:r w:rsidRPr="00E57A8D">
              <w:rPr>
                <w:color w:val="000000"/>
                <w:sz w:val="18"/>
                <w:szCs w:val="18"/>
              </w:rPr>
              <w:t>Measured:</w:t>
            </w:r>
          </w:p>
          <w:p w:rsidR="00D92F37" w:rsidRPr="00E57A8D" w:rsidRDefault="00D92F37" w:rsidP="003C4118">
            <w:pPr>
              <w:widowControl w:val="0"/>
              <w:rPr>
                <w:color w:val="000000"/>
                <w:sz w:val="18"/>
                <w:szCs w:val="18"/>
              </w:rPr>
            </w:pPr>
            <w:r>
              <w:rPr>
                <w:color w:val="000000"/>
                <w:sz w:val="18"/>
                <w:szCs w:val="18"/>
              </w:rPr>
              <w:t>ER</w:t>
            </w:r>
            <w:r w:rsidRPr="00E57A8D">
              <w:rPr>
                <w:color w:val="000000"/>
                <w:sz w:val="18"/>
                <w:szCs w:val="18"/>
                <w:vertAlign w:val="subscript"/>
              </w:rPr>
              <w:t>50</w:t>
            </w:r>
            <w:r w:rsidRPr="00E57A8D">
              <w:rPr>
                <w:color w:val="000000"/>
                <w:sz w:val="18"/>
                <w:szCs w:val="18"/>
              </w:rPr>
              <w:t xml:space="preserve"> </w:t>
            </w:r>
            <w:r w:rsidRPr="00E57A8D">
              <w:rPr>
                <w:color w:val="FF0000"/>
                <w:sz w:val="18"/>
                <w:szCs w:val="18"/>
              </w:rPr>
              <w:t>XX</w:t>
            </w:r>
            <w:r>
              <w:rPr>
                <w:color w:val="000000"/>
                <w:sz w:val="18"/>
                <w:szCs w:val="18"/>
              </w:rPr>
              <w:t xml:space="preserve"> </w:t>
            </w:r>
            <w:r w:rsidRPr="00E57A8D">
              <w:rPr>
                <w:color w:val="000000"/>
                <w:sz w:val="18"/>
                <w:szCs w:val="18"/>
              </w:rPr>
              <w:t>g ac/</w:t>
            </w:r>
            <w:r>
              <w:rPr>
                <w:color w:val="000000"/>
                <w:sz w:val="18"/>
                <w:szCs w:val="18"/>
              </w:rPr>
              <w:t>ha</w:t>
            </w:r>
            <w:r w:rsidRPr="00E57A8D">
              <w:rPr>
                <w:color w:val="000000"/>
                <w:sz w:val="18"/>
                <w:szCs w:val="18"/>
              </w:rPr>
              <w:t xml:space="preserve"> </w:t>
            </w:r>
          </w:p>
          <w:p w:rsidR="00D92F37" w:rsidRDefault="00D92F37" w:rsidP="003C4118">
            <w:pPr>
              <w:widowControl w:val="0"/>
              <w:rPr>
                <w:color w:val="FF0000"/>
                <w:sz w:val="18"/>
                <w:szCs w:val="18"/>
              </w:rPr>
            </w:pPr>
            <w:r w:rsidRPr="00E57A8D">
              <w:rPr>
                <w:color w:val="FF0000"/>
                <w:sz w:val="18"/>
                <w:szCs w:val="18"/>
              </w:rPr>
              <w:t>Test item</w:t>
            </w:r>
          </w:p>
          <w:p w:rsidR="00D92F37" w:rsidRPr="00E57A8D" w:rsidRDefault="00D92F37" w:rsidP="003C4118">
            <w:pPr>
              <w:widowControl w:val="0"/>
              <w:rPr>
                <w:color w:val="FF0000"/>
                <w:sz w:val="18"/>
                <w:szCs w:val="18"/>
              </w:rPr>
            </w:pPr>
            <w:r>
              <w:rPr>
                <w:color w:val="FF0000"/>
                <w:sz w:val="18"/>
                <w:szCs w:val="18"/>
              </w:rPr>
              <w:t>Tier of testing</w:t>
            </w:r>
          </w:p>
          <w:p w:rsidR="00D92F37" w:rsidRPr="00E57A8D" w:rsidRDefault="00D92F37" w:rsidP="003C4118">
            <w:pPr>
              <w:widowControl w:val="0"/>
              <w:rPr>
                <w:i/>
                <w:color w:val="FF0000"/>
                <w:sz w:val="18"/>
                <w:szCs w:val="18"/>
              </w:rPr>
            </w:pPr>
            <w:r w:rsidRPr="00E57A8D">
              <w:rPr>
                <w:i/>
                <w:color w:val="FF0000"/>
                <w:sz w:val="18"/>
                <w:szCs w:val="18"/>
              </w:rPr>
              <w:t>Test species</w:t>
            </w:r>
            <w:r>
              <w:rPr>
                <w:i/>
                <w:color w:val="FF0000"/>
                <w:sz w:val="18"/>
                <w:szCs w:val="18"/>
              </w:rPr>
              <w:t xml:space="preserve"> </w:t>
            </w:r>
            <w:r w:rsidRPr="00C166AC">
              <w:rPr>
                <w:color w:val="FF0000"/>
                <w:sz w:val="18"/>
                <w:szCs w:val="18"/>
              </w:rPr>
              <w:t>(or #species tested if &gt;value)</w:t>
            </w:r>
          </w:p>
          <w:p w:rsidR="00D92F37" w:rsidRPr="00E57A8D" w:rsidRDefault="00D92F37" w:rsidP="003C4118">
            <w:pPr>
              <w:widowControl w:val="0"/>
              <w:rPr>
                <w:sz w:val="18"/>
                <w:szCs w:val="18"/>
                <w:lang w:eastAsia="en-AU"/>
              </w:rPr>
            </w:pPr>
            <w:r w:rsidRPr="00E57A8D">
              <w:rPr>
                <w:color w:val="FF0000"/>
                <w:sz w:val="18"/>
                <w:szCs w:val="18"/>
                <w:lang w:eastAsia="en-AU"/>
              </w:rPr>
              <w:t>Reference</w:t>
            </w:r>
          </w:p>
          <w:p w:rsidR="00D92F37" w:rsidRPr="00E57A8D" w:rsidRDefault="00D92F37" w:rsidP="003C4118">
            <w:pPr>
              <w:widowControl w:val="0"/>
              <w:rPr>
                <w:sz w:val="18"/>
                <w:szCs w:val="18"/>
                <w:lang w:eastAsia="en-AU"/>
              </w:rPr>
            </w:pPr>
          </w:p>
          <w:p w:rsidR="00D92F37" w:rsidRPr="00E57A8D" w:rsidRDefault="00D92F37" w:rsidP="003C4118">
            <w:pPr>
              <w:widowControl w:val="0"/>
              <w:rPr>
                <w:sz w:val="18"/>
                <w:szCs w:val="18"/>
                <w:lang w:eastAsia="en-AU"/>
              </w:rPr>
            </w:pPr>
            <w:r w:rsidRPr="00E57A8D">
              <w:rPr>
                <w:sz w:val="18"/>
                <w:szCs w:val="18"/>
                <w:lang w:eastAsia="en-AU"/>
              </w:rPr>
              <w:t>Predicted:</w:t>
            </w:r>
          </w:p>
          <w:p w:rsidR="00D92F37" w:rsidRPr="00E57A8D" w:rsidRDefault="00D92F37" w:rsidP="003C4118">
            <w:pPr>
              <w:widowControl w:val="0"/>
              <w:rPr>
                <w:color w:val="000000"/>
                <w:sz w:val="18"/>
                <w:szCs w:val="18"/>
              </w:rPr>
            </w:pPr>
            <w:r>
              <w:rPr>
                <w:color w:val="000000"/>
                <w:sz w:val="18"/>
                <w:szCs w:val="18"/>
              </w:rPr>
              <w:t>ER</w:t>
            </w:r>
            <w:r w:rsidRPr="00E57A8D">
              <w:rPr>
                <w:color w:val="000000"/>
                <w:sz w:val="18"/>
                <w:szCs w:val="18"/>
                <w:vertAlign w:val="subscript"/>
              </w:rPr>
              <w:t>50</w:t>
            </w:r>
            <w:r w:rsidRPr="00E57A8D">
              <w:rPr>
                <w:color w:val="000000"/>
                <w:sz w:val="18"/>
                <w:szCs w:val="18"/>
              </w:rPr>
              <w:t xml:space="preserve"> </w:t>
            </w:r>
            <w:r w:rsidRPr="00E57A8D">
              <w:rPr>
                <w:color w:val="FF0000"/>
                <w:sz w:val="18"/>
                <w:szCs w:val="18"/>
              </w:rPr>
              <w:t>XX</w:t>
            </w:r>
            <w:r w:rsidRPr="00E57A8D">
              <w:rPr>
                <w:color w:val="000000"/>
                <w:sz w:val="18"/>
                <w:szCs w:val="18"/>
              </w:rPr>
              <w:t xml:space="preserve"> mg ac/kg bw</w:t>
            </w:r>
          </w:p>
          <w:p w:rsidR="00D92F37" w:rsidRPr="00E57A8D" w:rsidRDefault="00D92F37" w:rsidP="003C4118">
            <w:pPr>
              <w:widowControl w:val="0"/>
              <w:rPr>
                <w:color w:val="000000"/>
                <w:sz w:val="18"/>
                <w:szCs w:val="18"/>
              </w:rPr>
            </w:pPr>
          </w:p>
          <w:p w:rsidR="00D92F37" w:rsidRPr="00E57A8D" w:rsidRDefault="00D92F37" w:rsidP="003C4118">
            <w:pPr>
              <w:widowControl w:val="0"/>
              <w:rPr>
                <w:color w:val="000000"/>
                <w:sz w:val="18"/>
                <w:szCs w:val="18"/>
              </w:rPr>
            </w:pPr>
            <w:r w:rsidRPr="00E57A8D">
              <w:rPr>
                <w:color w:val="000000"/>
                <w:sz w:val="18"/>
                <w:szCs w:val="18"/>
              </w:rPr>
              <w:t>Relative toxicity contributions:</w:t>
            </w:r>
          </w:p>
          <w:p w:rsidR="00D92F37" w:rsidRPr="00E57A8D" w:rsidRDefault="00D92F37" w:rsidP="003C4118">
            <w:pPr>
              <w:widowControl w:val="0"/>
              <w:rPr>
                <w:color w:val="000000"/>
                <w:sz w:val="18"/>
                <w:szCs w:val="18"/>
              </w:rPr>
            </w:pPr>
            <w:r w:rsidRPr="00E57A8D">
              <w:rPr>
                <w:color w:val="FF0000"/>
                <w:sz w:val="18"/>
                <w:szCs w:val="18"/>
              </w:rPr>
              <w:t>X</w:t>
            </w:r>
            <w:r w:rsidRPr="00E57A8D">
              <w:rPr>
                <w:color w:val="000000"/>
                <w:sz w:val="18"/>
                <w:szCs w:val="18"/>
              </w:rPr>
              <w:t xml:space="preserve">% + </w:t>
            </w:r>
            <w:r w:rsidRPr="00E57A8D">
              <w:rPr>
                <w:color w:val="FF0000"/>
                <w:sz w:val="18"/>
                <w:szCs w:val="18"/>
              </w:rPr>
              <w:t>X</w:t>
            </w:r>
            <w:r w:rsidRPr="00E57A8D">
              <w:rPr>
                <w:color w:val="000000"/>
                <w:sz w:val="18"/>
                <w:szCs w:val="18"/>
              </w:rPr>
              <w:t>%</w:t>
            </w:r>
          </w:p>
          <w:p w:rsidR="00D92F37" w:rsidRPr="00E57A8D" w:rsidRDefault="00D92F37" w:rsidP="003C4118">
            <w:pPr>
              <w:widowControl w:val="0"/>
              <w:rPr>
                <w:color w:val="000000"/>
                <w:sz w:val="18"/>
                <w:szCs w:val="18"/>
              </w:rPr>
            </w:pPr>
          </w:p>
          <w:p w:rsidR="00D92F37" w:rsidRPr="00E57A8D" w:rsidRDefault="00D92F37" w:rsidP="003C4118">
            <w:pPr>
              <w:widowControl w:val="0"/>
              <w:rPr>
                <w:color w:val="000000"/>
                <w:sz w:val="18"/>
                <w:szCs w:val="18"/>
              </w:rPr>
            </w:pPr>
            <w:r w:rsidRPr="00E57A8D">
              <w:rPr>
                <w:color w:val="000000"/>
                <w:sz w:val="18"/>
                <w:szCs w:val="18"/>
              </w:rPr>
              <w:t xml:space="preserve">MDR </w:t>
            </w:r>
            <w:r w:rsidRPr="00E57A8D">
              <w:rPr>
                <w:color w:val="FF0000"/>
                <w:sz w:val="18"/>
                <w:szCs w:val="18"/>
              </w:rPr>
              <w:t>X</w:t>
            </w:r>
          </w:p>
        </w:tc>
      </w:tr>
      <w:tr w:rsidR="00D92F37" w:rsidRPr="00E57A8D" w:rsidTr="00BB0F73">
        <w:trPr>
          <w:cantSplit/>
        </w:trPr>
        <w:tc>
          <w:tcPr>
            <w:tcW w:w="2377" w:type="dxa"/>
            <w:tcBorders>
              <w:top w:val="nil"/>
              <w:left w:val="nil"/>
              <w:bottom w:val="nil"/>
              <w:right w:val="single" w:sz="4" w:space="0" w:color="auto"/>
            </w:tcBorders>
            <w:shd w:val="clear" w:color="auto" w:fill="auto"/>
          </w:tcPr>
          <w:p w:rsidR="00D92F37" w:rsidRPr="00E57A8D" w:rsidRDefault="00D92F37" w:rsidP="003C4118">
            <w:pPr>
              <w:widowControl w:val="0"/>
              <w:rPr>
                <w:color w:val="000000"/>
                <w:sz w:val="18"/>
                <w:szCs w:val="18"/>
              </w:rPr>
            </w:pPr>
            <w:r>
              <w:rPr>
                <w:color w:val="000000"/>
                <w:sz w:val="18"/>
                <w:szCs w:val="18"/>
              </w:rPr>
              <w:lastRenderedPageBreak/>
              <w:t>Effects on vegetative vigour</w:t>
            </w:r>
            <w:r w:rsidRPr="00E57A8D">
              <w:rPr>
                <w:color w:val="000000"/>
                <w:sz w:val="18"/>
                <w:szCs w:val="18"/>
              </w:rPr>
              <w:t xml:space="preserve"> </w:t>
            </w:r>
          </w:p>
        </w:tc>
        <w:tc>
          <w:tcPr>
            <w:tcW w:w="2486" w:type="dxa"/>
            <w:tcBorders>
              <w:top w:val="nil"/>
              <w:left w:val="nil"/>
              <w:bottom w:val="single" w:sz="8" w:space="0" w:color="auto"/>
              <w:right w:val="single" w:sz="8" w:space="0" w:color="auto"/>
            </w:tcBorders>
            <w:shd w:val="clear" w:color="auto" w:fill="auto"/>
          </w:tcPr>
          <w:p w:rsidR="00D92F37" w:rsidRPr="00E57A8D" w:rsidRDefault="00D92F37" w:rsidP="003C4118">
            <w:pPr>
              <w:widowControl w:val="0"/>
              <w:rPr>
                <w:color w:val="000000"/>
                <w:sz w:val="18"/>
                <w:szCs w:val="18"/>
              </w:rPr>
            </w:pPr>
            <w:r>
              <w:rPr>
                <w:color w:val="000000"/>
                <w:sz w:val="18"/>
                <w:szCs w:val="18"/>
              </w:rPr>
              <w:t>ER</w:t>
            </w:r>
            <w:r w:rsidRPr="00E57A8D">
              <w:rPr>
                <w:color w:val="000000"/>
                <w:sz w:val="18"/>
                <w:szCs w:val="18"/>
                <w:vertAlign w:val="subscript"/>
              </w:rPr>
              <w:t>50</w:t>
            </w:r>
            <w:r w:rsidRPr="00E57A8D">
              <w:rPr>
                <w:color w:val="000000"/>
                <w:sz w:val="18"/>
                <w:szCs w:val="18"/>
              </w:rPr>
              <w:t xml:space="preserve"> </w:t>
            </w:r>
            <w:r w:rsidRPr="00E57A8D">
              <w:rPr>
                <w:color w:val="FF0000"/>
                <w:sz w:val="18"/>
                <w:szCs w:val="18"/>
              </w:rPr>
              <w:t>XX</w:t>
            </w:r>
            <w:r>
              <w:rPr>
                <w:color w:val="000000"/>
                <w:sz w:val="18"/>
                <w:szCs w:val="18"/>
              </w:rPr>
              <w:t xml:space="preserve"> </w:t>
            </w:r>
            <w:r w:rsidRPr="00E57A8D">
              <w:rPr>
                <w:color w:val="000000"/>
                <w:sz w:val="18"/>
                <w:szCs w:val="18"/>
              </w:rPr>
              <w:t>g ac/</w:t>
            </w:r>
            <w:r>
              <w:rPr>
                <w:color w:val="000000"/>
                <w:sz w:val="18"/>
                <w:szCs w:val="18"/>
              </w:rPr>
              <w:t>ha</w:t>
            </w:r>
            <w:r w:rsidRPr="00E57A8D">
              <w:rPr>
                <w:color w:val="000000"/>
                <w:sz w:val="18"/>
                <w:szCs w:val="18"/>
              </w:rPr>
              <w:t xml:space="preserve"> </w:t>
            </w:r>
          </w:p>
          <w:p w:rsidR="00D92F37" w:rsidRDefault="00D92F37" w:rsidP="003C4118">
            <w:pPr>
              <w:widowControl w:val="0"/>
              <w:rPr>
                <w:color w:val="FF0000"/>
                <w:sz w:val="18"/>
                <w:szCs w:val="18"/>
              </w:rPr>
            </w:pPr>
            <w:r w:rsidRPr="00E57A8D">
              <w:rPr>
                <w:color w:val="FF0000"/>
                <w:sz w:val="18"/>
                <w:szCs w:val="18"/>
              </w:rPr>
              <w:t>Test item</w:t>
            </w:r>
          </w:p>
          <w:p w:rsidR="00D92F37" w:rsidRPr="00E57A8D" w:rsidRDefault="00D92F37" w:rsidP="003C4118">
            <w:pPr>
              <w:widowControl w:val="0"/>
              <w:rPr>
                <w:color w:val="FF0000"/>
                <w:sz w:val="18"/>
                <w:szCs w:val="18"/>
              </w:rPr>
            </w:pPr>
            <w:r>
              <w:rPr>
                <w:color w:val="FF0000"/>
                <w:sz w:val="18"/>
                <w:szCs w:val="18"/>
              </w:rPr>
              <w:t>Tier of testing</w:t>
            </w:r>
          </w:p>
          <w:p w:rsidR="00D92F37" w:rsidRPr="00E57A8D" w:rsidRDefault="00D92F37" w:rsidP="003C4118">
            <w:pPr>
              <w:widowControl w:val="0"/>
              <w:rPr>
                <w:i/>
                <w:color w:val="FF0000"/>
                <w:sz w:val="18"/>
                <w:szCs w:val="18"/>
              </w:rPr>
            </w:pPr>
            <w:r w:rsidRPr="00E57A8D">
              <w:rPr>
                <w:i/>
                <w:color w:val="FF0000"/>
                <w:sz w:val="18"/>
                <w:szCs w:val="18"/>
              </w:rPr>
              <w:t>Test species</w:t>
            </w:r>
            <w:r>
              <w:rPr>
                <w:i/>
                <w:color w:val="FF0000"/>
                <w:sz w:val="18"/>
                <w:szCs w:val="18"/>
              </w:rPr>
              <w:t xml:space="preserve"> </w:t>
            </w:r>
            <w:r w:rsidRPr="00C166AC">
              <w:rPr>
                <w:color w:val="FF0000"/>
                <w:sz w:val="18"/>
                <w:szCs w:val="18"/>
              </w:rPr>
              <w:t>(or #species tested if &gt;value)</w:t>
            </w:r>
          </w:p>
          <w:p w:rsidR="00D92F37" w:rsidRPr="00E57A8D" w:rsidRDefault="00D92F37" w:rsidP="003C4118">
            <w:pPr>
              <w:widowControl w:val="0"/>
              <w:rPr>
                <w:color w:val="000000"/>
                <w:sz w:val="18"/>
                <w:szCs w:val="18"/>
                <w:lang w:eastAsia="en-AU"/>
              </w:rPr>
            </w:pPr>
            <w:r w:rsidRPr="00E57A8D">
              <w:rPr>
                <w:color w:val="FF0000"/>
                <w:sz w:val="18"/>
                <w:szCs w:val="18"/>
                <w:lang w:eastAsia="en-AU"/>
              </w:rPr>
              <w:t>Reference</w:t>
            </w:r>
          </w:p>
        </w:tc>
        <w:tc>
          <w:tcPr>
            <w:tcW w:w="2403" w:type="dxa"/>
            <w:tcBorders>
              <w:top w:val="nil"/>
              <w:left w:val="nil"/>
              <w:bottom w:val="single" w:sz="8" w:space="0" w:color="auto"/>
              <w:right w:val="single" w:sz="8" w:space="0" w:color="auto"/>
            </w:tcBorders>
            <w:shd w:val="clear" w:color="auto" w:fill="auto"/>
          </w:tcPr>
          <w:p w:rsidR="00D92F37" w:rsidRPr="00E57A8D" w:rsidRDefault="00D92F37" w:rsidP="003C4118">
            <w:pPr>
              <w:widowControl w:val="0"/>
              <w:rPr>
                <w:color w:val="000000"/>
                <w:sz w:val="18"/>
                <w:szCs w:val="18"/>
              </w:rPr>
            </w:pPr>
            <w:r>
              <w:rPr>
                <w:color w:val="000000"/>
                <w:sz w:val="18"/>
                <w:szCs w:val="18"/>
              </w:rPr>
              <w:t>ER</w:t>
            </w:r>
            <w:r w:rsidRPr="00E57A8D">
              <w:rPr>
                <w:color w:val="000000"/>
                <w:sz w:val="18"/>
                <w:szCs w:val="18"/>
                <w:vertAlign w:val="subscript"/>
              </w:rPr>
              <w:t>50</w:t>
            </w:r>
            <w:r w:rsidRPr="00E57A8D">
              <w:rPr>
                <w:color w:val="000000"/>
                <w:sz w:val="18"/>
                <w:szCs w:val="18"/>
              </w:rPr>
              <w:t xml:space="preserve"> </w:t>
            </w:r>
            <w:r w:rsidRPr="00E57A8D">
              <w:rPr>
                <w:color w:val="FF0000"/>
                <w:sz w:val="18"/>
                <w:szCs w:val="18"/>
              </w:rPr>
              <w:t>XX</w:t>
            </w:r>
            <w:r>
              <w:rPr>
                <w:color w:val="000000"/>
                <w:sz w:val="18"/>
                <w:szCs w:val="18"/>
              </w:rPr>
              <w:t xml:space="preserve"> </w:t>
            </w:r>
            <w:r w:rsidRPr="00E57A8D">
              <w:rPr>
                <w:color w:val="000000"/>
                <w:sz w:val="18"/>
                <w:szCs w:val="18"/>
              </w:rPr>
              <w:t>g ac/</w:t>
            </w:r>
            <w:r>
              <w:rPr>
                <w:color w:val="000000"/>
                <w:sz w:val="18"/>
                <w:szCs w:val="18"/>
              </w:rPr>
              <w:t>ha</w:t>
            </w:r>
            <w:r w:rsidRPr="00E57A8D">
              <w:rPr>
                <w:color w:val="000000"/>
                <w:sz w:val="18"/>
                <w:szCs w:val="18"/>
              </w:rPr>
              <w:t xml:space="preserve"> </w:t>
            </w:r>
          </w:p>
          <w:p w:rsidR="00D92F37" w:rsidRDefault="00D92F37" w:rsidP="003C4118">
            <w:pPr>
              <w:widowControl w:val="0"/>
              <w:rPr>
                <w:color w:val="FF0000"/>
                <w:sz w:val="18"/>
                <w:szCs w:val="18"/>
              </w:rPr>
            </w:pPr>
            <w:r w:rsidRPr="00E57A8D">
              <w:rPr>
                <w:color w:val="FF0000"/>
                <w:sz w:val="18"/>
                <w:szCs w:val="18"/>
              </w:rPr>
              <w:t>Test item</w:t>
            </w:r>
          </w:p>
          <w:p w:rsidR="00D92F37" w:rsidRPr="00E57A8D" w:rsidRDefault="00D92F37" w:rsidP="003C4118">
            <w:pPr>
              <w:widowControl w:val="0"/>
              <w:rPr>
                <w:color w:val="FF0000"/>
                <w:sz w:val="18"/>
                <w:szCs w:val="18"/>
              </w:rPr>
            </w:pPr>
            <w:r>
              <w:rPr>
                <w:color w:val="FF0000"/>
                <w:sz w:val="18"/>
                <w:szCs w:val="18"/>
              </w:rPr>
              <w:t>Tier of testing</w:t>
            </w:r>
          </w:p>
          <w:p w:rsidR="00D92F37" w:rsidRPr="00E57A8D" w:rsidRDefault="00D92F37" w:rsidP="003C4118">
            <w:pPr>
              <w:widowControl w:val="0"/>
              <w:rPr>
                <w:i/>
                <w:color w:val="FF0000"/>
                <w:sz w:val="18"/>
                <w:szCs w:val="18"/>
              </w:rPr>
            </w:pPr>
            <w:r w:rsidRPr="00E57A8D">
              <w:rPr>
                <w:i/>
                <w:color w:val="FF0000"/>
                <w:sz w:val="18"/>
                <w:szCs w:val="18"/>
              </w:rPr>
              <w:t>Test species</w:t>
            </w:r>
            <w:r>
              <w:rPr>
                <w:i/>
                <w:color w:val="FF0000"/>
                <w:sz w:val="18"/>
                <w:szCs w:val="18"/>
              </w:rPr>
              <w:t xml:space="preserve"> </w:t>
            </w:r>
            <w:r w:rsidRPr="00C166AC">
              <w:rPr>
                <w:color w:val="FF0000"/>
                <w:sz w:val="18"/>
                <w:szCs w:val="18"/>
              </w:rPr>
              <w:t>(or #species tested if &gt;value)</w:t>
            </w:r>
          </w:p>
          <w:p w:rsidR="00D92F37" w:rsidRPr="00E57A8D" w:rsidRDefault="00D92F37" w:rsidP="003C4118">
            <w:pPr>
              <w:widowControl w:val="0"/>
              <w:rPr>
                <w:color w:val="000000"/>
                <w:sz w:val="18"/>
                <w:szCs w:val="18"/>
                <w:lang w:eastAsia="en-AU"/>
              </w:rPr>
            </w:pPr>
            <w:r w:rsidRPr="00E57A8D">
              <w:rPr>
                <w:color w:val="FF0000"/>
                <w:sz w:val="18"/>
                <w:szCs w:val="18"/>
                <w:lang w:eastAsia="en-AU"/>
              </w:rPr>
              <w:t>Reference</w:t>
            </w:r>
          </w:p>
        </w:tc>
        <w:tc>
          <w:tcPr>
            <w:tcW w:w="2486" w:type="dxa"/>
          </w:tcPr>
          <w:p w:rsidR="00D92F37" w:rsidRPr="00E57A8D" w:rsidRDefault="00D92F37" w:rsidP="003C4118">
            <w:pPr>
              <w:widowControl w:val="0"/>
              <w:rPr>
                <w:color w:val="000000"/>
                <w:sz w:val="18"/>
                <w:szCs w:val="18"/>
              </w:rPr>
            </w:pPr>
            <w:r w:rsidRPr="00E57A8D">
              <w:rPr>
                <w:color w:val="000000"/>
                <w:sz w:val="18"/>
                <w:szCs w:val="18"/>
              </w:rPr>
              <w:t>Measured:</w:t>
            </w:r>
          </w:p>
          <w:p w:rsidR="00D92F37" w:rsidRPr="00E57A8D" w:rsidRDefault="00D92F37" w:rsidP="003C4118">
            <w:pPr>
              <w:widowControl w:val="0"/>
              <w:rPr>
                <w:color w:val="000000"/>
                <w:sz w:val="18"/>
                <w:szCs w:val="18"/>
              </w:rPr>
            </w:pPr>
            <w:r>
              <w:rPr>
                <w:color w:val="000000"/>
                <w:sz w:val="18"/>
                <w:szCs w:val="18"/>
              </w:rPr>
              <w:t>ER</w:t>
            </w:r>
            <w:r w:rsidRPr="00E57A8D">
              <w:rPr>
                <w:color w:val="000000"/>
                <w:sz w:val="18"/>
                <w:szCs w:val="18"/>
                <w:vertAlign w:val="subscript"/>
              </w:rPr>
              <w:t>50</w:t>
            </w:r>
            <w:r w:rsidRPr="00E57A8D">
              <w:rPr>
                <w:color w:val="000000"/>
                <w:sz w:val="18"/>
                <w:szCs w:val="18"/>
              </w:rPr>
              <w:t xml:space="preserve"> </w:t>
            </w:r>
            <w:r w:rsidRPr="00E57A8D">
              <w:rPr>
                <w:color w:val="FF0000"/>
                <w:sz w:val="18"/>
                <w:szCs w:val="18"/>
              </w:rPr>
              <w:t>XX</w:t>
            </w:r>
            <w:r>
              <w:rPr>
                <w:color w:val="000000"/>
                <w:sz w:val="18"/>
                <w:szCs w:val="18"/>
              </w:rPr>
              <w:t xml:space="preserve"> </w:t>
            </w:r>
            <w:r w:rsidRPr="00E57A8D">
              <w:rPr>
                <w:color w:val="000000"/>
                <w:sz w:val="18"/>
                <w:szCs w:val="18"/>
              </w:rPr>
              <w:t>g ac/</w:t>
            </w:r>
            <w:r>
              <w:rPr>
                <w:color w:val="000000"/>
                <w:sz w:val="18"/>
                <w:szCs w:val="18"/>
              </w:rPr>
              <w:t>ha</w:t>
            </w:r>
            <w:r w:rsidRPr="00E57A8D">
              <w:rPr>
                <w:color w:val="000000"/>
                <w:sz w:val="18"/>
                <w:szCs w:val="18"/>
              </w:rPr>
              <w:t xml:space="preserve"> </w:t>
            </w:r>
          </w:p>
          <w:p w:rsidR="00D92F37" w:rsidRDefault="00D92F37" w:rsidP="003C4118">
            <w:pPr>
              <w:widowControl w:val="0"/>
              <w:rPr>
                <w:color w:val="FF0000"/>
                <w:sz w:val="18"/>
                <w:szCs w:val="18"/>
              </w:rPr>
            </w:pPr>
            <w:r w:rsidRPr="00E57A8D">
              <w:rPr>
                <w:color w:val="FF0000"/>
                <w:sz w:val="18"/>
                <w:szCs w:val="18"/>
              </w:rPr>
              <w:t>Test item</w:t>
            </w:r>
          </w:p>
          <w:p w:rsidR="00D92F37" w:rsidRPr="00E57A8D" w:rsidRDefault="00D92F37" w:rsidP="003C4118">
            <w:pPr>
              <w:widowControl w:val="0"/>
              <w:rPr>
                <w:color w:val="FF0000"/>
                <w:sz w:val="18"/>
                <w:szCs w:val="18"/>
              </w:rPr>
            </w:pPr>
            <w:r>
              <w:rPr>
                <w:color w:val="FF0000"/>
                <w:sz w:val="18"/>
                <w:szCs w:val="18"/>
              </w:rPr>
              <w:t>Tier of testing</w:t>
            </w:r>
          </w:p>
          <w:p w:rsidR="00D92F37" w:rsidRPr="00E57A8D" w:rsidRDefault="00D92F37" w:rsidP="003C4118">
            <w:pPr>
              <w:widowControl w:val="0"/>
              <w:rPr>
                <w:i/>
                <w:color w:val="FF0000"/>
                <w:sz w:val="18"/>
                <w:szCs w:val="18"/>
              </w:rPr>
            </w:pPr>
            <w:r w:rsidRPr="00E57A8D">
              <w:rPr>
                <w:i/>
                <w:color w:val="FF0000"/>
                <w:sz w:val="18"/>
                <w:szCs w:val="18"/>
              </w:rPr>
              <w:t>Test species</w:t>
            </w:r>
            <w:r>
              <w:rPr>
                <w:i/>
                <w:color w:val="FF0000"/>
                <w:sz w:val="18"/>
                <w:szCs w:val="18"/>
              </w:rPr>
              <w:t xml:space="preserve"> </w:t>
            </w:r>
            <w:r w:rsidRPr="00C166AC">
              <w:rPr>
                <w:color w:val="FF0000"/>
                <w:sz w:val="18"/>
                <w:szCs w:val="18"/>
              </w:rPr>
              <w:t>(or #species tested if &gt;value)</w:t>
            </w:r>
          </w:p>
          <w:p w:rsidR="00D92F37" w:rsidRPr="00E57A8D" w:rsidRDefault="00D92F37" w:rsidP="003C4118">
            <w:pPr>
              <w:widowControl w:val="0"/>
              <w:rPr>
                <w:sz w:val="18"/>
                <w:szCs w:val="18"/>
                <w:lang w:eastAsia="en-AU"/>
              </w:rPr>
            </w:pPr>
            <w:r w:rsidRPr="00E57A8D">
              <w:rPr>
                <w:color w:val="FF0000"/>
                <w:sz w:val="18"/>
                <w:szCs w:val="18"/>
                <w:lang w:eastAsia="en-AU"/>
              </w:rPr>
              <w:t>Reference</w:t>
            </w:r>
          </w:p>
          <w:p w:rsidR="00D92F37" w:rsidRPr="00E57A8D" w:rsidRDefault="00D92F37" w:rsidP="003C4118">
            <w:pPr>
              <w:widowControl w:val="0"/>
              <w:rPr>
                <w:sz w:val="18"/>
                <w:szCs w:val="18"/>
                <w:lang w:eastAsia="en-AU"/>
              </w:rPr>
            </w:pPr>
          </w:p>
          <w:p w:rsidR="00D92F37" w:rsidRPr="00E57A8D" w:rsidRDefault="00D92F37" w:rsidP="003C4118">
            <w:pPr>
              <w:widowControl w:val="0"/>
              <w:rPr>
                <w:sz w:val="18"/>
                <w:szCs w:val="18"/>
                <w:lang w:eastAsia="en-AU"/>
              </w:rPr>
            </w:pPr>
            <w:r w:rsidRPr="00E57A8D">
              <w:rPr>
                <w:sz w:val="18"/>
                <w:szCs w:val="18"/>
                <w:lang w:eastAsia="en-AU"/>
              </w:rPr>
              <w:t>Predicted:</w:t>
            </w:r>
          </w:p>
          <w:p w:rsidR="00D92F37" w:rsidRPr="00E57A8D" w:rsidRDefault="00D92F37" w:rsidP="003C4118">
            <w:pPr>
              <w:widowControl w:val="0"/>
              <w:rPr>
                <w:color w:val="000000"/>
                <w:sz w:val="18"/>
                <w:szCs w:val="18"/>
              </w:rPr>
            </w:pPr>
            <w:r>
              <w:rPr>
                <w:color w:val="000000"/>
                <w:sz w:val="18"/>
                <w:szCs w:val="18"/>
              </w:rPr>
              <w:t>ER</w:t>
            </w:r>
            <w:r w:rsidRPr="00E57A8D">
              <w:rPr>
                <w:color w:val="000000"/>
                <w:sz w:val="18"/>
                <w:szCs w:val="18"/>
                <w:vertAlign w:val="subscript"/>
              </w:rPr>
              <w:t>50</w:t>
            </w:r>
            <w:r w:rsidRPr="00E57A8D">
              <w:rPr>
                <w:color w:val="000000"/>
                <w:sz w:val="18"/>
                <w:szCs w:val="18"/>
              </w:rPr>
              <w:t xml:space="preserve"> </w:t>
            </w:r>
            <w:r w:rsidRPr="00E57A8D">
              <w:rPr>
                <w:color w:val="FF0000"/>
                <w:sz w:val="18"/>
                <w:szCs w:val="18"/>
              </w:rPr>
              <w:t>XX</w:t>
            </w:r>
            <w:r w:rsidRPr="00E57A8D">
              <w:rPr>
                <w:color w:val="000000"/>
                <w:sz w:val="18"/>
                <w:szCs w:val="18"/>
              </w:rPr>
              <w:t xml:space="preserve"> mg ac/kg bw</w:t>
            </w:r>
          </w:p>
          <w:p w:rsidR="00D92F37" w:rsidRPr="00E57A8D" w:rsidRDefault="00D92F37" w:rsidP="003C4118">
            <w:pPr>
              <w:widowControl w:val="0"/>
              <w:rPr>
                <w:color w:val="000000"/>
                <w:sz w:val="18"/>
                <w:szCs w:val="18"/>
              </w:rPr>
            </w:pPr>
          </w:p>
          <w:p w:rsidR="00D92F37" w:rsidRPr="00E57A8D" w:rsidRDefault="00D92F37" w:rsidP="003C4118">
            <w:pPr>
              <w:widowControl w:val="0"/>
              <w:rPr>
                <w:color w:val="000000"/>
                <w:sz w:val="18"/>
                <w:szCs w:val="18"/>
              </w:rPr>
            </w:pPr>
            <w:r w:rsidRPr="00E57A8D">
              <w:rPr>
                <w:color w:val="000000"/>
                <w:sz w:val="18"/>
                <w:szCs w:val="18"/>
              </w:rPr>
              <w:t>Relative toxicity contributions:</w:t>
            </w:r>
          </w:p>
          <w:p w:rsidR="00D92F37" w:rsidRPr="00E57A8D" w:rsidRDefault="00D92F37" w:rsidP="003C4118">
            <w:pPr>
              <w:widowControl w:val="0"/>
              <w:rPr>
                <w:color w:val="000000"/>
                <w:sz w:val="18"/>
                <w:szCs w:val="18"/>
              </w:rPr>
            </w:pPr>
            <w:r w:rsidRPr="00E57A8D">
              <w:rPr>
                <w:color w:val="FF0000"/>
                <w:sz w:val="18"/>
                <w:szCs w:val="18"/>
              </w:rPr>
              <w:t>X</w:t>
            </w:r>
            <w:r w:rsidRPr="00E57A8D">
              <w:rPr>
                <w:color w:val="000000"/>
                <w:sz w:val="18"/>
                <w:szCs w:val="18"/>
              </w:rPr>
              <w:t xml:space="preserve">% + </w:t>
            </w:r>
            <w:r w:rsidRPr="00E57A8D">
              <w:rPr>
                <w:color w:val="FF0000"/>
                <w:sz w:val="18"/>
                <w:szCs w:val="18"/>
              </w:rPr>
              <w:t>X</w:t>
            </w:r>
            <w:r w:rsidRPr="00E57A8D">
              <w:rPr>
                <w:color w:val="000000"/>
                <w:sz w:val="18"/>
                <w:szCs w:val="18"/>
              </w:rPr>
              <w:t>%</w:t>
            </w:r>
          </w:p>
          <w:p w:rsidR="00D92F37" w:rsidRPr="00E57A8D" w:rsidRDefault="00D92F37" w:rsidP="003C4118">
            <w:pPr>
              <w:widowControl w:val="0"/>
              <w:rPr>
                <w:color w:val="000000"/>
                <w:sz w:val="18"/>
                <w:szCs w:val="18"/>
              </w:rPr>
            </w:pPr>
          </w:p>
          <w:p w:rsidR="00D92F37" w:rsidRPr="00E57A8D" w:rsidRDefault="00D92F37" w:rsidP="003C4118">
            <w:pPr>
              <w:widowControl w:val="0"/>
              <w:rPr>
                <w:color w:val="000000"/>
                <w:sz w:val="18"/>
                <w:szCs w:val="18"/>
              </w:rPr>
            </w:pPr>
            <w:r w:rsidRPr="00E57A8D">
              <w:rPr>
                <w:color w:val="000000"/>
                <w:sz w:val="18"/>
                <w:szCs w:val="18"/>
              </w:rPr>
              <w:t xml:space="preserve">MDR </w:t>
            </w:r>
            <w:r w:rsidRPr="00E57A8D">
              <w:rPr>
                <w:color w:val="FF0000"/>
                <w:sz w:val="18"/>
                <w:szCs w:val="18"/>
              </w:rPr>
              <w:t>X</w:t>
            </w:r>
          </w:p>
        </w:tc>
      </w:tr>
    </w:tbl>
    <w:p w:rsidR="00D92F37" w:rsidRPr="003C4118" w:rsidRDefault="00D92F37" w:rsidP="003C4118">
      <w:pPr>
        <w:pStyle w:val="Heading2"/>
        <w:keepLines w:val="0"/>
        <w:tabs>
          <w:tab w:val="num" w:pos="1134"/>
        </w:tabs>
        <w:suppressAutoHyphens w:val="0"/>
        <w:spacing w:before="480" w:after="120" w:line="240" w:lineRule="auto"/>
        <w:ind w:left="1134" w:hanging="1134"/>
      </w:pPr>
      <w:bookmarkStart w:id="229" w:name="_Toc526432264"/>
      <w:r w:rsidRPr="003C4118">
        <w:t>References</w:t>
      </w:r>
      <w:bookmarkEnd w:id="229"/>
    </w:p>
    <w:p w:rsidR="00D92F37" w:rsidRPr="003C4118" w:rsidRDefault="00D92F37" w:rsidP="003C4118">
      <w:pPr>
        <w:pStyle w:val="NormalText"/>
        <w:rPr>
          <w:rStyle w:val="ATChar"/>
          <w:rFonts w:ascii="Calibri" w:hAnsi="Calibri" w:cs="Arial"/>
        </w:rPr>
      </w:pPr>
      <w:r w:rsidRPr="003C4118">
        <w:rPr>
          <w:rStyle w:val="ATChar"/>
          <w:rFonts w:ascii="Calibri" w:hAnsi="Calibri" w:cs="Arial"/>
        </w:rPr>
        <w:t xml:space="preserve">EFSA (European Food Safety Authority), 2014, Scientific opinion addressing the state of the science on risk assessment of plant protection products on non-target plants, EFSA Journal 12(7): 3800, 153pp, doi:10.2903/j.efsa2014.3800, available online: </w:t>
      </w:r>
      <w:hyperlink r:id="rId102" w:history="1">
        <w:r w:rsidRPr="003C4118">
          <w:rPr>
            <w:rStyle w:val="ATChar"/>
            <w:rFonts w:ascii="Calibri" w:hAnsi="Calibri" w:cs="Arial"/>
          </w:rPr>
          <w:t>www.efsa.europa.eu/efsajournal</w:t>
        </w:r>
      </w:hyperlink>
      <w:r w:rsidRPr="003C4118">
        <w:rPr>
          <w:rStyle w:val="ATChar"/>
          <w:rFonts w:ascii="Calibri" w:hAnsi="Calibri" w:cs="Arial"/>
        </w:rPr>
        <w:t xml:space="preserve">  </w:t>
      </w:r>
    </w:p>
    <w:p w:rsidR="00D92F37" w:rsidRPr="003C4118" w:rsidRDefault="00D92F37" w:rsidP="003C4118">
      <w:pPr>
        <w:pStyle w:val="NormalText"/>
        <w:rPr>
          <w:rStyle w:val="ATChar"/>
          <w:rFonts w:ascii="Calibri" w:hAnsi="Calibri" w:cs="Arial"/>
        </w:rPr>
      </w:pPr>
      <w:r w:rsidRPr="003C4118">
        <w:rPr>
          <w:rStyle w:val="ATChar"/>
          <w:rFonts w:ascii="Calibri" w:hAnsi="Calibri" w:cs="Arial"/>
        </w:rPr>
        <w:t xml:space="preserve">EPHC (Environment Protection and Heritage Council), 2009, Environmental risk assessment guidance manual for agricultural and veterinary chemicals, ISBN 978-1-9221173-38-7, available online: </w:t>
      </w:r>
      <w:hyperlink r:id="rId103" w:history="1">
        <w:r w:rsidRPr="003C4118">
          <w:rPr>
            <w:rStyle w:val="ATChar"/>
            <w:rFonts w:ascii="Calibri" w:hAnsi="Calibri" w:cs="Arial"/>
          </w:rPr>
          <w:t>http://www.nepc.gov.au/resource/chemical-risk-assessment-guidance-manuals</w:t>
        </w:r>
      </w:hyperlink>
      <w:r w:rsidRPr="003C4118">
        <w:rPr>
          <w:rStyle w:val="ATChar"/>
          <w:rFonts w:ascii="Calibri" w:hAnsi="Calibri" w:cs="Arial"/>
        </w:rPr>
        <w:t xml:space="preserve"> </w:t>
      </w:r>
    </w:p>
    <w:p w:rsidR="003C4118" w:rsidRPr="003C4118" w:rsidRDefault="00D92F37" w:rsidP="00F55461">
      <w:pPr>
        <w:pStyle w:val="NormalText"/>
        <w:rPr>
          <w:rStyle w:val="ATChar"/>
          <w:rFonts w:ascii="Calibri" w:hAnsi="Calibri" w:cs="Arial"/>
        </w:rPr>
      </w:pPr>
      <w:r w:rsidRPr="003C4118">
        <w:rPr>
          <w:rStyle w:val="ATChar"/>
          <w:rFonts w:ascii="Calibri" w:hAnsi="Calibri" w:cs="Arial"/>
        </w:rPr>
        <w:t>EPPO (European and Mediterranean Plant Protection Organization), 2003, Environmental risk assessment scheme for plant protection products: Chapter 12: Non-target terrestrial higher plants, PP3/13(1), EPP</w:t>
      </w:r>
      <w:r w:rsidR="00F55461">
        <w:rPr>
          <w:rStyle w:val="ATChar"/>
          <w:rFonts w:ascii="Calibri" w:hAnsi="Calibri" w:cs="Arial"/>
        </w:rPr>
        <w:t>O Bulletin 33: 239-244.</w:t>
      </w:r>
    </w:p>
    <w:sectPr w:rsidR="003C4118" w:rsidRPr="003C4118" w:rsidSect="001A19FE">
      <w:headerReference w:type="default" r:id="rId104"/>
      <w:endnotePr>
        <w:numFmt w:val="decimal"/>
      </w:endnotePr>
      <w:pgSz w:w="11906" w:h="16838" w:code="9"/>
      <w:pgMar w:top="2552" w:right="1134" w:bottom="1134" w:left="1134" w:header="1758" w:footer="68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CCE1EB" w16cid:durableId="1EC7CB7A"/>
  <w16cid:commentId w16cid:paraId="6AF499DF" w16cid:durableId="1EC7CB7C"/>
  <w16cid:commentId w16cid:paraId="318A48A1" w16cid:durableId="1EC7CB7D"/>
  <w16cid:commentId w16cid:paraId="2914058D" w16cid:durableId="1EC7CB7F"/>
  <w16cid:commentId w16cid:paraId="0025C3AD" w16cid:durableId="1EC7CB80"/>
  <w16cid:commentId w16cid:paraId="43D061F8" w16cid:durableId="1EC7CB81"/>
  <w16cid:commentId w16cid:paraId="2C4B41AF" w16cid:durableId="1EC7CB82"/>
  <w16cid:commentId w16cid:paraId="5E23AF96" w16cid:durableId="1EC7CB83"/>
  <w16cid:commentId w16cid:paraId="1A14059B" w16cid:durableId="1EC7CB84"/>
  <w16cid:commentId w16cid:paraId="0D27C54E" w16cid:durableId="1EC7CB85"/>
  <w16cid:commentId w16cid:paraId="49C90B71" w16cid:durableId="1EC7CB86"/>
  <w16cid:commentId w16cid:paraId="40C8BA2E" w16cid:durableId="1EC7CB87"/>
  <w16cid:commentId w16cid:paraId="6F9B3F2A" w16cid:durableId="1EC7CB88"/>
  <w16cid:commentId w16cid:paraId="31D320E6" w16cid:durableId="1EC7CB8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B4E" w:rsidRDefault="00445B4E" w:rsidP="00531D0B">
      <w:pPr>
        <w:spacing w:line="240" w:lineRule="auto"/>
      </w:pPr>
      <w:r>
        <w:separator/>
      </w:r>
    </w:p>
  </w:endnote>
  <w:endnote w:type="continuationSeparator" w:id="0">
    <w:p w:rsidR="00445B4E" w:rsidRDefault="00445B4E" w:rsidP="00531D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Browallia New">
    <w:charset w:val="00"/>
    <w:family w:val="swiss"/>
    <w:pitch w:val="variable"/>
    <w:sig w:usb0="81000003" w:usb1="00000000" w:usb2="00000000" w:usb3="00000000" w:csb0="00010001" w:csb1="00000000"/>
  </w:font>
  <w:font w:name="Palatino">
    <w:altName w:val="Book Antiqua"/>
    <w:charset w:val="00"/>
    <w:family w:val="roman"/>
    <w:pitch w:val="variable"/>
    <w:sig w:usb0="00000007" w:usb1="00000000"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B4E" w:rsidRPr="0026493F" w:rsidRDefault="00445B4E" w:rsidP="0085360B">
    <w:pPr>
      <w:pStyle w:val="Footer"/>
    </w:pPr>
    <w:r w:rsidRPr="008C5C0D">
      <w:rPr>
        <w:rFonts w:asciiTheme="minorHAnsi" w:hAnsiTheme="minorHAnsi"/>
        <w:color w:val="969696"/>
        <w:sz w:val="16"/>
        <w:szCs w:val="16"/>
      </w:rPr>
      <w:t>FM_PAC12/0</w:t>
    </w:r>
    <w:r>
      <w:rPr>
        <w:rFonts w:asciiTheme="minorHAnsi" w:hAnsiTheme="minorHAnsi"/>
        <w:color w:val="969696"/>
        <w:sz w:val="16"/>
        <w:szCs w:val="16"/>
      </w:rPr>
      <w:t>4 – V5  – fA458731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2291720"/>
      <w:docPartObj>
        <w:docPartGallery w:val="Page Numbers (Bottom of Page)"/>
        <w:docPartUnique/>
      </w:docPartObj>
    </w:sdtPr>
    <w:sdtEndPr>
      <w:rPr>
        <w:noProof/>
      </w:rPr>
    </w:sdtEndPr>
    <w:sdtContent>
      <w:p w:rsidR="00445B4E" w:rsidRDefault="00445B4E">
        <w:pPr>
          <w:pStyle w:val="Footer"/>
          <w:jc w:val="center"/>
        </w:pPr>
        <w:r>
          <w:fldChar w:fldCharType="begin"/>
        </w:r>
        <w:r>
          <w:instrText xml:space="preserve"> PAGE   \* MERGEFORMAT </w:instrText>
        </w:r>
        <w:r>
          <w:fldChar w:fldCharType="separate"/>
        </w:r>
        <w:r w:rsidR="0086416E">
          <w:rPr>
            <w:noProof/>
          </w:rPr>
          <w:t>67</w:t>
        </w:r>
        <w:r>
          <w:rPr>
            <w:noProof/>
          </w:rPr>
          <w:fldChar w:fldCharType="end"/>
        </w:r>
      </w:p>
    </w:sdtContent>
  </w:sdt>
  <w:p w:rsidR="00445B4E" w:rsidRDefault="00445B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B4E" w:rsidRDefault="00445B4E" w:rsidP="00531D0B">
      <w:pPr>
        <w:spacing w:line="240" w:lineRule="auto"/>
      </w:pPr>
      <w:r>
        <w:separator/>
      </w:r>
    </w:p>
  </w:footnote>
  <w:footnote w:type="continuationSeparator" w:id="0">
    <w:p w:rsidR="00445B4E" w:rsidRDefault="00445B4E" w:rsidP="00531D0B">
      <w:pPr>
        <w:spacing w:line="240" w:lineRule="auto"/>
      </w:pPr>
      <w:r>
        <w:continuationSeparator/>
      </w:r>
    </w:p>
  </w:footnote>
  <w:footnote w:id="1">
    <w:p w:rsidR="00445B4E" w:rsidRDefault="00445B4E" w:rsidP="003E14E0">
      <w:pPr>
        <w:pStyle w:val="FootnoteText"/>
      </w:pPr>
      <w:r>
        <w:rPr>
          <w:rStyle w:val="FootnoteReference"/>
        </w:rPr>
        <w:footnoteRef/>
      </w:r>
      <w:r>
        <w:t xml:space="preserve"> </w:t>
      </w:r>
      <w:hyperlink r:id="rId1" w:history="1">
        <w:r>
          <w:rPr>
            <w:rStyle w:val="Hyperlink"/>
          </w:rPr>
          <w:t>www.pops.int/Home/tabid/2121/Default.aspx</w:t>
        </w:r>
      </w:hyperlink>
    </w:p>
  </w:footnote>
  <w:footnote w:id="2">
    <w:p w:rsidR="00445B4E" w:rsidRPr="00597BD6" w:rsidRDefault="00445B4E" w:rsidP="00B72640">
      <w:pPr>
        <w:pStyle w:val="FootnoteText"/>
        <w:rPr>
          <w:lang w:val="en-US"/>
        </w:rPr>
      </w:pPr>
      <w:r>
        <w:rPr>
          <w:rStyle w:val="FootnoteReference"/>
        </w:rPr>
        <w:footnoteRef/>
      </w:r>
      <w:r>
        <w:t xml:space="preserve"> </w:t>
      </w:r>
      <w:r>
        <w:rPr>
          <w:lang w:val="en-US"/>
        </w:rPr>
        <w:t>This group also encompasses medium-sized birds for the purpose of refinement if necessary</w:t>
      </w:r>
    </w:p>
  </w:footnote>
  <w:footnote w:id="3">
    <w:p w:rsidR="00445B4E" w:rsidRPr="00672648" w:rsidRDefault="00445B4E" w:rsidP="00B72640">
      <w:pPr>
        <w:pStyle w:val="FootnoteText"/>
        <w:rPr>
          <w:lang w:val="en-US"/>
        </w:rPr>
      </w:pPr>
      <w:r>
        <w:rPr>
          <w:rStyle w:val="FootnoteReference"/>
        </w:rPr>
        <w:footnoteRef/>
      </w:r>
      <w:r>
        <w:t xml:space="preserve"> </w:t>
      </w:r>
      <w:r>
        <w:rPr>
          <w:lang w:val="en-US"/>
        </w:rPr>
        <w:t>Acute or chronic; add an additional column if both time scales are of concern</w:t>
      </w:r>
    </w:p>
  </w:footnote>
  <w:footnote w:id="4">
    <w:p w:rsidR="00445B4E" w:rsidRPr="00B31833" w:rsidRDefault="00445B4E" w:rsidP="00B72640">
      <w:pPr>
        <w:pStyle w:val="BodyText"/>
        <w:rPr>
          <w:sz w:val="18"/>
          <w:szCs w:val="18"/>
        </w:rPr>
      </w:pPr>
      <w:r>
        <w:rPr>
          <w:rStyle w:val="FootnoteReference"/>
        </w:rPr>
        <w:footnoteRef/>
      </w:r>
      <w:r>
        <w:t xml:space="preserve"> </w:t>
      </w:r>
      <w:r w:rsidRPr="00B31833">
        <w:rPr>
          <w:sz w:val="18"/>
          <w:szCs w:val="18"/>
        </w:rPr>
        <w:t>Predicted values calculated assuming additive toxicity of active constituents in a the specified ratio (p</w:t>
      </w:r>
      <w:r w:rsidRPr="00B31833">
        <w:rPr>
          <w:sz w:val="18"/>
          <w:szCs w:val="18"/>
          <w:vertAlign w:val="subscript"/>
        </w:rPr>
        <w:t>1</w:t>
      </w:r>
      <w:r w:rsidRPr="00B31833">
        <w:rPr>
          <w:sz w:val="18"/>
          <w:szCs w:val="18"/>
        </w:rPr>
        <w:t>:p</w:t>
      </w:r>
      <w:r w:rsidRPr="00B31833">
        <w:rPr>
          <w:sz w:val="18"/>
          <w:szCs w:val="18"/>
          <w:vertAlign w:val="subscript"/>
        </w:rPr>
        <w:t>2</w:t>
      </w:r>
      <w:r w:rsidRPr="00B31833">
        <w:rPr>
          <w:sz w:val="18"/>
          <w:szCs w:val="18"/>
        </w:rPr>
        <w:t>) using most sensitive endpoints reported for that organism group where:</w:t>
      </w:r>
    </w:p>
    <w:p w:rsidR="00445B4E" w:rsidRPr="00B31833" w:rsidRDefault="00445B4E" w:rsidP="00B72640">
      <w:pPr>
        <w:pStyle w:val="BodyText"/>
        <w:rPr>
          <w:sz w:val="18"/>
          <w:szCs w:val="18"/>
        </w:rPr>
      </w:pPr>
    </w:p>
    <w:p w:rsidR="00445B4E" w:rsidRPr="00932C34" w:rsidRDefault="0086416E" w:rsidP="00B72640">
      <w:pPr>
        <w:widowControl w:val="0"/>
        <w:rPr>
          <w:sz w:val="18"/>
          <w:szCs w:val="18"/>
        </w:rPr>
      </w:pPr>
      <m:oMathPara>
        <m:oMath>
          <m:sSub>
            <m:sSubPr>
              <m:ctrlPr>
                <w:rPr>
                  <w:rFonts w:ascii="Cambria Math" w:hAnsi="Cambria Math"/>
                  <w:i/>
                  <w:sz w:val="18"/>
                  <w:szCs w:val="18"/>
                  <w:lang w:val="en-US"/>
                </w:rPr>
              </m:ctrlPr>
            </m:sSubPr>
            <m:e>
              <m:r>
                <w:rPr>
                  <w:rFonts w:ascii="Cambria Math" w:hAnsi="Cambria Math"/>
                  <w:sz w:val="18"/>
                  <w:szCs w:val="18"/>
                </w:rPr>
                <m:t>ECx</m:t>
              </m:r>
            </m:e>
            <m:sub>
              <m:r>
                <w:rPr>
                  <w:rFonts w:ascii="Cambria Math" w:hAnsi="Cambria Math"/>
                  <w:sz w:val="18"/>
                  <w:szCs w:val="18"/>
                </w:rPr>
                <m:t>CA</m:t>
              </m:r>
            </m:sub>
          </m:sSub>
          <m:r>
            <w:rPr>
              <w:rFonts w:ascii="Cambria Math" w:hAnsi="Cambria Math"/>
              <w:sz w:val="18"/>
              <w:szCs w:val="18"/>
            </w:rPr>
            <m:t>=</m:t>
          </m:r>
          <m:d>
            <m:dPr>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1</m:t>
                  </m:r>
                </m:num>
                <m:den>
                  <m:nary>
                    <m:naryPr>
                      <m:chr m:val="∑"/>
                      <m:limLoc m:val="undOvr"/>
                      <m:ctrlPr>
                        <w:rPr>
                          <w:rFonts w:ascii="Cambria Math" w:hAnsi="Cambria Math"/>
                          <w:i/>
                          <w:sz w:val="18"/>
                          <w:szCs w:val="18"/>
                          <w:lang w:val="en-US"/>
                        </w:rPr>
                      </m:ctrlPr>
                    </m:naryPr>
                    <m:sub>
                      <m:r>
                        <w:rPr>
                          <w:rFonts w:ascii="Cambria Math" w:hAnsi="Cambria Math"/>
                          <w:sz w:val="18"/>
                          <w:szCs w:val="18"/>
                        </w:rPr>
                        <m:t>i-1</m:t>
                      </m:r>
                    </m:sub>
                    <m:sup>
                      <m:r>
                        <w:rPr>
                          <w:rFonts w:ascii="Cambria Math" w:hAnsi="Cambria Math"/>
                          <w:sz w:val="18"/>
                          <w:szCs w:val="18"/>
                        </w:rPr>
                        <m:t>n</m:t>
                      </m:r>
                    </m:sup>
                    <m:e>
                      <m:f>
                        <m:fPr>
                          <m:ctrlPr>
                            <w:rPr>
                              <w:rFonts w:ascii="Cambria Math" w:hAnsi="Cambria Math"/>
                              <w:i/>
                              <w:sz w:val="18"/>
                              <w:szCs w:val="18"/>
                              <w:lang w:val="en-US"/>
                            </w:rPr>
                          </m:ctrlPr>
                        </m:fPr>
                        <m:num>
                          <m:sSub>
                            <m:sSubPr>
                              <m:ctrlPr>
                                <w:rPr>
                                  <w:rFonts w:ascii="Cambria Math" w:hAnsi="Cambria Math"/>
                                  <w:i/>
                                  <w:sz w:val="18"/>
                                  <w:szCs w:val="18"/>
                                  <w:lang w:val="en-US"/>
                                </w:rPr>
                              </m:ctrlPr>
                            </m:sSubPr>
                            <m:e>
                              <m:r>
                                <w:rPr>
                                  <w:rFonts w:ascii="Cambria Math" w:hAnsi="Cambria Math"/>
                                  <w:sz w:val="18"/>
                                  <w:szCs w:val="18"/>
                                </w:rPr>
                                <m:t>P</m:t>
                              </m:r>
                            </m:e>
                            <m:sub>
                              <m:r>
                                <w:rPr>
                                  <w:rFonts w:ascii="Cambria Math" w:hAnsi="Cambria Math"/>
                                  <w:sz w:val="18"/>
                                  <w:szCs w:val="18"/>
                                </w:rPr>
                                <m:t>i</m:t>
                              </m:r>
                            </m:sub>
                          </m:sSub>
                        </m:num>
                        <m:den>
                          <m:sSub>
                            <m:sSubPr>
                              <m:ctrlPr>
                                <w:rPr>
                                  <w:rFonts w:ascii="Cambria Math" w:hAnsi="Cambria Math"/>
                                  <w:i/>
                                  <w:sz w:val="18"/>
                                  <w:szCs w:val="18"/>
                                  <w:lang w:val="en-US"/>
                                </w:rPr>
                              </m:ctrlPr>
                            </m:sSubPr>
                            <m:e>
                              <m:r>
                                <w:rPr>
                                  <w:rFonts w:ascii="Cambria Math" w:hAnsi="Cambria Math"/>
                                  <w:sz w:val="18"/>
                                  <w:szCs w:val="18"/>
                                </w:rPr>
                                <m:t>ECx</m:t>
                              </m:r>
                            </m:e>
                            <m:sub>
                              <m:r>
                                <w:rPr>
                                  <w:rFonts w:ascii="Cambria Math" w:hAnsi="Cambria Math"/>
                                  <w:sz w:val="18"/>
                                  <w:szCs w:val="18"/>
                                </w:rPr>
                                <m:t>i</m:t>
                              </m:r>
                            </m:sub>
                          </m:sSub>
                        </m:den>
                      </m:f>
                    </m:e>
                  </m:nary>
                </m:den>
              </m:f>
            </m:e>
          </m:d>
        </m:oMath>
      </m:oMathPara>
    </w:p>
    <w:p w:rsidR="00445B4E" w:rsidRPr="00B31833" w:rsidRDefault="00445B4E" w:rsidP="00B72640">
      <w:pPr>
        <w:pStyle w:val="BodyText"/>
        <w:rPr>
          <w:b/>
          <w:bCs/>
          <w:sz w:val="18"/>
          <w:szCs w:val="18"/>
        </w:rPr>
      </w:pPr>
    </w:p>
    <w:p w:rsidR="00445B4E" w:rsidRPr="00B31833" w:rsidRDefault="00445B4E" w:rsidP="00B72640">
      <w:pPr>
        <w:pStyle w:val="BodyText"/>
        <w:rPr>
          <w:sz w:val="18"/>
          <w:szCs w:val="18"/>
        </w:rPr>
      </w:pPr>
      <w:r w:rsidRPr="00B31833">
        <w:rPr>
          <w:sz w:val="18"/>
          <w:szCs w:val="18"/>
        </w:rPr>
        <w:t>Where:</w:t>
      </w:r>
    </w:p>
    <w:p w:rsidR="00445B4E" w:rsidRPr="00B31833" w:rsidRDefault="00445B4E" w:rsidP="00B72640">
      <w:pPr>
        <w:pStyle w:val="BodyText"/>
        <w:rPr>
          <w:sz w:val="18"/>
          <w:szCs w:val="18"/>
        </w:rPr>
      </w:pPr>
      <w:r w:rsidRPr="00B31833">
        <w:rPr>
          <w:sz w:val="18"/>
          <w:szCs w:val="18"/>
        </w:rPr>
        <w:t>ECx</w:t>
      </w:r>
      <w:r w:rsidRPr="00B31833">
        <w:rPr>
          <w:sz w:val="18"/>
          <w:szCs w:val="18"/>
          <w:vertAlign w:val="subscript"/>
        </w:rPr>
        <w:t>CA</w:t>
      </w:r>
      <w:r w:rsidRPr="00B31833">
        <w:rPr>
          <w:sz w:val="18"/>
          <w:szCs w:val="18"/>
        </w:rPr>
        <w:t xml:space="preserve"> is the predicted additive toxic effect of the active constituent in combination</w:t>
      </w:r>
    </w:p>
    <w:p w:rsidR="00445B4E" w:rsidRPr="00B31833" w:rsidRDefault="00445B4E" w:rsidP="00B72640">
      <w:pPr>
        <w:pStyle w:val="BodyText"/>
        <w:rPr>
          <w:sz w:val="18"/>
          <w:szCs w:val="18"/>
        </w:rPr>
      </w:pPr>
      <w:r w:rsidRPr="00B31833">
        <w:rPr>
          <w:sz w:val="18"/>
          <w:szCs w:val="18"/>
        </w:rPr>
        <w:t>Pi = is the fraction of individual active constituent in the product</w:t>
      </w:r>
    </w:p>
    <w:p w:rsidR="00445B4E" w:rsidRPr="00B31833" w:rsidRDefault="00445B4E" w:rsidP="00B72640">
      <w:pPr>
        <w:pStyle w:val="FootnoteText"/>
        <w:widowControl w:val="0"/>
        <w:rPr>
          <w:sz w:val="18"/>
          <w:szCs w:val="18"/>
        </w:rPr>
      </w:pPr>
      <w:r w:rsidRPr="00B31833">
        <w:rPr>
          <w:sz w:val="18"/>
          <w:szCs w:val="18"/>
        </w:rPr>
        <w:t>EC</w:t>
      </w:r>
      <w:r w:rsidRPr="00B31833">
        <w:rPr>
          <w:sz w:val="18"/>
          <w:szCs w:val="18"/>
          <w:vertAlign w:val="subscript"/>
        </w:rPr>
        <w:t>xi</w:t>
      </w:r>
      <w:r w:rsidRPr="00B31833">
        <w:rPr>
          <w:sz w:val="18"/>
          <w:szCs w:val="18"/>
        </w:rPr>
        <w:t xml:space="preserve"> is the effect concentration of the individual active constituent</w:t>
      </w:r>
    </w:p>
    <w:p w:rsidR="00445B4E" w:rsidRPr="00B31833" w:rsidRDefault="00445B4E" w:rsidP="00B72640">
      <w:pPr>
        <w:pStyle w:val="FootnoteText"/>
        <w:widowControl w:val="0"/>
        <w:rPr>
          <w:sz w:val="18"/>
          <w:szCs w:val="18"/>
        </w:rPr>
      </w:pPr>
    </w:p>
  </w:footnote>
  <w:footnote w:id="5">
    <w:p w:rsidR="00445B4E" w:rsidRDefault="00445B4E" w:rsidP="00B72640">
      <w:pPr>
        <w:pStyle w:val="FootnoteText"/>
        <w:widowControl w:val="0"/>
        <w:tabs>
          <w:tab w:val="center" w:pos="4535"/>
        </w:tabs>
        <w:rPr>
          <w:sz w:val="18"/>
          <w:szCs w:val="18"/>
        </w:rPr>
      </w:pPr>
      <w:r w:rsidRPr="00B31833">
        <w:rPr>
          <w:rStyle w:val="FootnoteReference"/>
          <w:sz w:val="18"/>
          <w:szCs w:val="18"/>
        </w:rPr>
        <w:footnoteRef/>
      </w:r>
      <w:r w:rsidRPr="00B31833">
        <w:rPr>
          <w:sz w:val="18"/>
          <w:szCs w:val="18"/>
        </w:rPr>
        <w:t xml:space="preserve"> </w:t>
      </w:r>
      <m:oMath>
        <m:sSub>
          <m:sSubPr>
            <m:ctrlPr>
              <w:rPr>
                <w:rFonts w:ascii="Cambria Math" w:hAnsi="Cambria Math"/>
                <w:i/>
                <w:sz w:val="18"/>
                <w:szCs w:val="18"/>
              </w:rPr>
            </m:ctrlPr>
          </m:sSubPr>
          <m:e>
            <m:r>
              <w:rPr>
                <w:rFonts w:ascii="Cambria Math" w:hAnsi="Cambria Math"/>
                <w:sz w:val="18"/>
                <w:szCs w:val="18"/>
              </w:rPr>
              <m:t>%</m:t>
            </m:r>
          </m:e>
          <m:sub>
            <m:r>
              <w:rPr>
                <w:rFonts w:ascii="Cambria Math" w:hAnsi="Cambria Math"/>
                <w:sz w:val="18"/>
                <w:szCs w:val="18"/>
              </w:rPr>
              <m:t>relative_ecotoxicity_contribution</m:t>
            </m:r>
          </m:sub>
        </m:sSub>
        <m:r>
          <w:rPr>
            <w:rFonts w:ascii="Cambria Math" w:hAnsi="Cambria Math"/>
            <w:sz w:val="18"/>
            <w:szCs w:val="18"/>
          </w:rPr>
          <m:t>=</m:t>
        </m:r>
        <m:f>
          <m:fPr>
            <m:ctrlPr>
              <w:rPr>
                <w:rFonts w:ascii="Cambria Math" w:hAnsi="Cambria Math"/>
                <w:i/>
                <w:sz w:val="18"/>
                <w:szCs w:val="18"/>
              </w:rPr>
            </m:ctrlPr>
          </m:fPr>
          <m:num>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i</m:t>
                    </m:r>
                  </m:sub>
                </m:sSub>
              </m:num>
              <m:den>
                <m:sSub>
                  <m:sSubPr>
                    <m:ctrlPr>
                      <w:rPr>
                        <w:rFonts w:ascii="Cambria Math" w:hAnsi="Cambria Math"/>
                        <w:i/>
                        <w:sz w:val="18"/>
                        <w:szCs w:val="18"/>
                      </w:rPr>
                    </m:ctrlPr>
                  </m:sSubPr>
                  <m:e>
                    <m:r>
                      <w:rPr>
                        <w:rFonts w:ascii="Cambria Math" w:hAnsi="Cambria Math"/>
                        <w:sz w:val="18"/>
                        <w:szCs w:val="18"/>
                      </w:rPr>
                      <m:t>EC</m:t>
                    </m:r>
                  </m:e>
                  <m:sub>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i</m:t>
                        </m:r>
                      </m:sub>
                    </m:sSub>
                  </m:sub>
                </m:sSub>
              </m:den>
            </m:f>
          </m:num>
          <m:den>
            <m:nary>
              <m:naryPr>
                <m:chr m:val="∑"/>
                <m:limLoc m:val="undOvr"/>
                <m:ctrlPr>
                  <w:rPr>
                    <w:rFonts w:ascii="Cambria Math" w:hAnsi="Cambria Math"/>
                    <w:i/>
                    <w:sz w:val="18"/>
                    <w:szCs w:val="18"/>
                  </w:rPr>
                </m:ctrlPr>
              </m:naryPr>
              <m:sub>
                <m:r>
                  <w:rPr>
                    <w:rFonts w:ascii="Cambria Math" w:hAnsi="Cambria Math"/>
                    <w:sz w:val="18"/>
                    <w:szCs w:val="18"/>
                  </w:rPr>
                  <m:t>i=1</m:t>
                </m:r>
              </m:sub>
              <m:sup>
                <m:r>
                  <w:rPr>
                    <w:rFonts w:ascii="Cambria Math" w:hAnsi="Cambria Math"/>
                    <w:sz w:val="18"/>
                    <w:szCs w:val="18"/>
                  </w:rPr>
                  <m:t>n</m:t>
                </m:r>
              </m:sup>
              <m:e>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i</m:t>
                        </m:r>
                      </m:sub>
                    </m:sSub>
                  </m:num>
                  <m:den>
                    <m:sSub>
                      <m:sSubPr>
                        <m:ctrlPr>
                          <w:rPr>
                            <w:rFonts w:ascii="Cambria Math" w:hAnsi="Cambria Math"/>
                            <w:i/>
                            <w:sz w:val="18"/>
                            <w:szCs w:val="18"/>
                          </w:rPr>
                        </m:ctrlPr>
                      </m:sSubPr>
                      <m:e>
                        <m:r>
                          <w:rPr>
                            <w:rFonts w:ascii="Cambria Math" w:hAnsi="Cambria Math"/>
                            <w:sz w:val="18"/>
                            <w:szCs w:val="18"/>
                          </w:rPr>
                          <m:t>EC</m:t>
                        </m:r>
                      </m:e>
                      <m:sub>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i</m:t>
                            </m:r>
                          </m:sub>
                        </m:sSub>
                      </m:sub>
                    </m:sSub>
                  </m:den>
                </m:f>
              </m:e>
            </m:nary>
          </m:den>
        </m:f>
        <m:r>
          <w:rPr>
            <w:rFonts w:ascii="Cambria Math" w:hAnsi="Cambria Math"/>
            <w:sz w:val="18"/>
            <w:szCs w:val="18"/>
          </w:rPr>
          <m:t>×100</m:t>
        </m:r>
      </m:oMath>
    </w:p>
    <w:p w:rsidR="00445B4E" w:rsidRPr="00B31833" w:rsidRDefault="00445B4E" w:rsidP="00B72640">
      <w:pPr>
        <w:pStyle w:val="FootnoteText"/>
        <w:widowControl w:val="0"/>
        <w:tabs>
          <w:tab w:val="center" w:pos="4535"/>
        </w:tabs>
        <w:rPr>
          <w:sz w:val="18"/>
          <w:szCs w:val="18"/>
        </w:rPr>
      </w:pPr>
    </w:p>
  </w:footnote>
  <w:footnote w:id="6">
    <w:p w:rsidR="00445B4E" w:rsidRPr="00802A63" w:rsidRDefault="00445B4E" w:rsidP="00B72640">
      <w:pPr>
        <w:pStyle w:val="FootnoteText"/>
        <w:rPr>
          <w:lang w:val="en-US"/>
        </w:rPr>
      </w:pPr>
      <w:r w:rsidRPr="00802A63">
        <w:rPr>
          <w:rStyle w:val="FootnoteReference"/>
          <w:sz w:val="18"/>
        </w:rPr>
        <w:footnoteRef/>
      </w:r>
      <w:r w:rsidRPr="00802A63">
        <w:rPr>
          <w:sz w:val="18"/>
        </w:rPr>
        <w:t xml:space="preserve"> MDR = model deviation ratio (unitless) = measured LD</w:t>
      </w:r>
      <w:r w:rsidRPr="00802A63">
        <w:rPr>
          <w:sz w:val="18"/>
          <w:vertAlign w:val="subscript"/>
        </w:rPr>
        <w:t>50</w:t>
      </w:r>
      <w:r w:rsidRPr="00802A63">
        <w:rPr>
          <w:sz w:val="18"/>
        </w:rPr>
        <w:t xml:space="preserve"> / predicted LD</w:t>
      </w:r>
      <w:r w:rsidRPr="00802A63">
        <w:rPr>
          <w:sz w:val="18"/>
          <w:vertAlign w:val="subscript"/>
        </w:rPr>
        <w:t>50</w:t>
      </w:r>
    </w:p>
  </w:footnote>
  <w:footnote w:id="7">
    <w:p w:rsidR="00445B4E" w:rsidRPr="00244FC7" w:rsidRDefault="00445B4E" w:rsidP="00E44270">
      <w:pPr>
        <w:pStyle w:val="BodyText"/>
        <w:rPr>
          <w:sz w:val="18"/>
          <w:szCs w:val="18"/>
        </w:rPr>
      </w:pPr>
      <w:r w:rsidRPr="00244FC7">
        <w:rPr>
          <w:rStyle w:val="FootnoteReference"/>
          <w:sz w:val="18"/>
          <w:szCs w:val="18"/>
        </w:rPr>
        <w:footnoteRef/>
      </w:r>
      <w:r w:rsidRPr="00244FC7">
        <w:rPr>
          <w:sz w:val="18"/>
          <w:szCs w:val="18"/>
        </w:rPr>
        <w:t xml:space="preserve"> Predicted values calculated assuming additive toxicity of active constituents in a the specified ratio (p</w:t>
      </w:r>
      <w:r w:rsidRPr="00244FC7">
        <w:rPr>
          <w:sz w:val="18"/>
          <w:szCs w:val="18"/>
          <w:vertAlign w:val="subscript"/>
        </w:rPr>
        <w:t>1</w:t>
      </w:r>
      <w:r w:rsidRPr="00244FC7">
        <w:rPr>
          <w:sz w:val="18"/>
          <w:szCs w:val="18"/>
        </w:rPr>
        <w:t>:p</w:t>
      </w:r>
      <w:r w:rsidRPr="00244FC7">
        <w:rPr>
          <w:sz w:val="18"/>
          <w:szCs w:val="18"/>
          <w:vertAlign w:val="subscript"/>
        </w:rPr>
        <w:t>2</w:t>
      </w:r>
      <w:r w:rsidRPr="00244FC7">
        <w:rPr>
          <w:sz w:val="18"/>
          <w:szCs w:val="18"/>
        </w:rPr>
        <w:t>) using most sensitive endpoints reported for that organism group where:</w:t>
      </w:r>
    </w:p>
    <w:p w:rsidR="00445B4E" w:rsidRPr="00244FC7" w:rsidRDefault="00445B4E" w:rsidP="00E44270">
      <w:pPr>
        <w:pStyle w:val="BodyText"/>
        <w:rPr>
          <w:sz w:val="18"/>
          <w:szCs w:val="18"/>
        </w:rPr>
      </w:pPr>
    </w:p>
    <w:p w:rsidR="00445B4E" w:rsidRPr="003C4118" w:rsidRDefault="0086416E" w:rsidP="00E44270">
      <w:pPr>
        <w:widowControl w:val="0"/>
        <w:rPr>
          <w:sz w:val="18"/>
          <w:szCs w:val="18"/>
        </w:rPr>
      </w:pPr>
      <m:oMathPara>
        <m:oMath>
          <m:sSub>
            <m:sSubPr>
              <m:ctrlPr>
                <w:rPr>
                  <w:rFonts w:ascii="Cambria Math" w:hAnsi="Cambria Math"/>
                  <w:i/>
                  <w:sz w:val="18"/>
                  <w:szCs w:val="18"/>
                  <w:lang w:val="en-US"/>
                </w:rPr>
              </m:ctrlPr>
            </m:sSubPr>
            <m:e>
              <m:r>
                <w:rPr>
                  <w:rFonts w:ascii="Cambria Math" w:hAnsi="Cambria Math"/>
                  <w:sz w:val="18"/>
                  <w:szCs w:val="18"/>
                </w:rPr>
                <m:t>ECx</m:t>
              </m:r>
            </m:e>
            <m:sub>
              <m:r>
                <w:rPr>
                  <w:rFonts w:ascii="Cambria Math" w:hAnsi="Cambria Math"/>
                  <w:sz w:val="18"/>
                  <w:szCs w:val="18"/>
                </w:rPr>
                <m:t>CA</m:t>
              </m:r>
            </m:sub>
          </m:sSub>
          <m:r>
            <w:rPr>
              <w:rFonts w:ascii="Cambria Math" w:hAnsi="Cambria Math"/>
              <w:sz w:val="18"/>
              <w:szCs w:val="18"/>
            </w:rPr>
            <m:t>=</m:t>
          </m:r>
          <m:d>
            <m:dPr>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1</m:t>
                  </m:r>
                </m:num>
                <m:den>
                  <m:nary>
                    <m:naryPr>
                      <m:chr m:val="∑"/>
                      <m:limLoc m:val="undOvr"/>
                      <m:ctrlPr>
                        <w:rPr>
                          <w:rFonts w:ascii="Cambria Math" w:hAnsi="Cambria Math"/>
                          <w:i/>
                          <w:sz w:val="18"/>
                          <w:szCs w:val="18"/>
                          <w:lang w:val="en-US"/>
                        </w:rPr>
                      </m:ctrlPr>
                    </m:naryPr>
                    <m:sub>
                      <m:r>
                        <w:rPr>
                          <w:rFonts w:ascii="Cambria Math" w:hAnsi="Cambria Math"/>
                          <w:sz w:val="18"/>
                          <w:szCs w:val="18"/>
                        </w:rPr>
                        <m:t>i-1</m:t>
                      </m:r>
                    </m:sub>
                    <m:sup>
                      <m:r>
                        <w:rPr>
                          <w:rFonts w:ascii="Cambria Math" w:hAnsi="Cambria Math"/>
                          <w:sz w:val="18"/>
                          <w:szCs w:val="18"/>
                        </w:rPr>
                        <m:t>n</m:t>
                      </m:r>
                    </m:sup>
                    <m:e>
                      <m:f>
                        <m:fPr>
                          <m:ctrlPr>
                            <w:rPr>
                              <w:rFonts w:ascii="Cambria Math" w:hAnsi="Cambria Math"/>
                              <w:i/>
                              <w:sz w:val="18"/>
                              <w:szCs w:val="18"/>
                              <w:lang w:val="en-US"/>
                            </w:rPr>
                          </m:ctrlPr>
                        </m:fPr>
                        <m:num>
                          <m:sSub>
                            <m:sSubPr>
                              <m:ctrlPr>
                                <w:rPr>
                                  <w:rFonts w:ascii="Cambria Math" w:hAnsi="Cambria Math"/>
                                  <w:i/>
                                  <w:sz w:val="18"/>
                                  <w:szCs w:val="18"/>
                                  <w:lang w:val="en-US"/>
                                </w:rPr>
                              </m:ctrlPr>
                            </m:sSubPr>
                            <m:e>
                              <m:r>
                                <w:rPr>
                                  <w:rFonts w:ascii="Cambria Math" w:hAnsi="Cambria Math"/>
                                  <w:sz w:val="18"/>
                                  <w:szCs w:val="18"/>
                                </w:rPr>
                                <m:t>P</m:t>
                              </m:r>
                            </m:e>
                            <m:sub>
                              <m:r>
                                <w:rPr>
                                  <w:rFonts w:ascii="Cambria Math" w:hAnsi="Cambria Math"/>
                                  <w:sz w:val="18"/>
                                  <w:szCs w:val="18"/>
                                </w:rPr>
                                <m:t>i</m:t>
                              </m:r>
                            </m:sub>
                          </m:sSub>
                        </m:num>
                        <m:den>
                          <m:sSub>
                            <m:sSubPr>
                              <m:ctrlPr>
                                <w:rPr>
                                  <w:rFonts w:ascii="Cambria Math" w:hAnsi="Cambria Math"/>
                                  <w:i/>
                                  <w:sz w:val="18"/>
                                  <w:szCs w:val="18"/>
                                  <w:lang w:val="en-US"/>
                                </w:rPr>
                              </m:ctrlPr>
                            </m:sSubPr>
                            <m:e>
                              <m:r>
                                <w:rPr>
                                  <w:rFonts w:ascii="Cambria Math" w:hAnsi="Cambria Math"/>
                                  <w:sz w:val="18"/>
                                  <w:szCs w:val="18"/>
                                </w:rPr>
                                <m:t>ECx</m:t>
                              </m:r>
                            </m:e>
                            <m:sub>
                              <m:r>
                                <w:rPr>
                                  <w:rFonts w:ascii="Cambria Math" w:hAnsi="Cambria Math"/>
                                  <w:sz w:val="18"/>
                                  <w:szCs w:val="18"/>
                                </w:rPr>
                                <m:t>i</m:t>
                              </m:r>
                            </m:sub>
                          </m:sSub>
                        </m:den>
                      </m:f>
                    </m:e>
                  </m:nary>
                </m:den>
              </m:f>
            </m:e>
          </m:d>
        </m:oMath>
      </m:oMathPara>
    </w:p>
    <w:p w:rsidR="00445B4E" w:rsidRPr="00244FC7" w:rsidRDefault="00445B4E" w:rsidP="00E44270">
      <w:pPr>
        <w:pStyle w:val="BodyText"/>
        <w:rPr>
          <w:b/>
          <w:bCs/>
          <w:sz w:val="18"/>
          <w:szCs w:val="18"/>
        </w:rPr>
      </w:pPr>
    </w:p>
    <w:p w:rsidR="00445B4E" w:rsidRPr="00244FC7" w:rsidRDefault="00445B4E" w:rsidP="00E44270">
      <w:pPr>
        <w:pStyle w:val="BodyText"/>
        <w:rPr>
          <w:sz w:val="18"/>
          <w:szCs w:val="18"/>
        </w:rPr>
      </w:pPr>
      <w:r w:rsidRPr="00244FC7">
        <w:rPr>
          <w:sz w:val="18"/>
          <w:szCs w:val="18"/>
        </w:rPr>
        <w:t>Where:</w:t>
      </w:r>
    </w:p>
    <w:p w:rsidR="00445B4E" w:rsidRPr="00244FC7" w:rsidRDefault="00445B4E" w:rsidP="00E44270">
      <w:pPr>
        <w:pStyle w:val="BodyText"/>
        <w:rPr>
          <w:sz w:val="18"/>
          <w:szCs w:val="18"/>
        </w:rPr>
      </w:pPr>
      <w:r w:rsidRPr="00244FC7">
        <w:rPr>
          <w:sz w:val="18"/>
          <w:szCs w:val="18"/>
        </w:rPr>
        <w:t>ECx</w:t>
      </w:r>
      <w:r w:rsidRPr="00244FC7">
        <w:rPr>
          <w:sz w:val="18"/>
          <w:szCs w:val="18"/>
          <w:vertAlign w:val="subscript"/>
        </w:rPr>
        <w:t>CA</w:t>
      </w:r>
      <w:r w:rsidRPr="00244FC7">
        <w:rPr>
          <w:sz w:val="18"/>
          <w:szCs w:val="18"/>
        </w:rPr>
        <w:t xml:space="preserve"> is the predicted additive toxic effect of the active constituent in combination</w:t>
      </w:r>
    </w:p>
    <w:p w:rsidR="00445B4E" w:rsidRPr="00244FC7" w:rsidRDefault="00445B4E" w:rsidP="00E44270">
      <w:pPr>
        <w:pStyle w:val="BodyText"/>
        <w:rPr>
          <w:sz w:val="18"/>
          <w:szCs w:val="18"/>
        </w:rPr>
      </w:pPr>
      <w:r w:rsidRPr="00244FC7">
        <w:rPr>
          <w:sz w:val="18"/>
          <w:szCs w:val="18"/>
        </w:rPr>
        <w:t>Pi = is the fraction of individual active constituent in the product</w:t>
      </w:r>
    </w:p>
    <w:p w:rsidR="00445B4E" w:rsidRPr="00244FC7" w:rsidRDefault="00445B4E" w:rsidP="00E44270">
      <w:pPr>
        <w:pStyle w:val="FootnoteText"/>
        <w:widowControl w:val="0"/>
        <w:rPr>
          <w:sz w:val="18"/>
          <w:szCs w:val="18"/>
        </w:rPr>
      </w:pPr>
      <w:r w:rsidRPr="00244FC7">
        <w:rPr>
          <w:sz w:val="18"/>
          <w:szCs w:val="18"/>
        </w:rPr>
        <w:t>EC</w:t>
      </w:r>
      <w:r w:rsidRPr="00244FC7">
        <w:rPr>
          <w:sz w:val="18"/>
          <w:szCs w:val="18"/>
          <w:vertAlign w:val="subscript"/>
        </w:rPr>
        <w:t>xi</w:t>
      </w:r>
      <w:r w:rsidRPr="00244FC7">
        <w:rPr>
          <w:sz w:val="18"/>
          <w:szCs w:val="18"/>
        </w:rPr>
        <w:t xml:space="preserve"> is the effect concentration of the individual active constituent</w:t>
      </w:r>
    </w:p>
    <w:p w:rsidR="00445B4E" w:rsidRPr="00244FC7" w:rsidRDefault="00445B4E" w:rsidP="00E44270">
      <w:pPr>
        <w:pStyle w:val="FootnoteText"/>
        <w:widowControl w:val="0"/>
        <w:rPr>
          <w:sz w:val="18"/>
          <w:szCs w:val="18"/>
        </w:rPr>
      </w:pPr>
    </w:p>
  </w:footnote>
  <w:footnote w:id="8">
    <w:p w:rsidR="00445B4E" w:rsidRPr="00244FC7" w:rsidRDefault="00445B4E" w:rsidP="00E44270">
      <w:pPr>
        <w:pStyle w:val="FootnoteText"/>
        <w:widowControl w:val="0"/>
        <w:tabs>
          <w:tab w:val="center" w:pos="4535"/>
        </w:tabs>
        <w:rPr>
          <w:sz w:val="18"/>
          <w:szCs w:val="18"/>
        </w:rPr>
      </w:pPr>
      <w:r w:rsidRPr="00244FC7">
        <w:rPr>
          <w:rStyle w:val="FootnoteReference"/>
          <w:sz w:val="18"/>
          <w:szCs w:val="18"/>
        </w:rPr>
        <w:footnoteRef/>
      </w:r>
      <w:r w:rsidRPr="00244FC7">
        <w:rPr>
          <w:sz w:val="18"/>
          <w:szCs w:val="18"/>
        </w:rPr>
        <w:t xml:space="preserve"> </w:t>
      </w:r>
      <m:oMath>
        <m:sSub>
          <m:sSubPr>
            <m:ctrlPr>
              <w:rPr>
                <w:rFonts w:ascii="Cambria Math" w:hAnsi="Cambria Math"/>
                <w:i/>
                <w:sz w:val="18"/>
                <w:szCs w:val="18"/>
              </w:rPr>
            </m:ctrlPr>
          </m:sSubPr>
          <m:e>
            <m:r>
              <w:rPr>
                <w:rFonts w:ascii="Cambria Math" w:hAnsi="Cambria Math"/>
                <w:sz w:val="18"/>
                <w:szCs w:val="18"/>
              </w:rPr>
              <m:t>%</m:t>
            </m:r>
          </m:e>
          <m:sub>
            <m:r>
              <w:rPr>
                <w:rFonts w:ascii="Cambria Math" w:hAnsi="Cambria Math"/>
                <w:sz w:val="18"/>
                <w:szCs w:val="18"/>
              </w:rPr>
              <m:t>relative_ecotoxicity_contribution</m:t>
            </m:r>
          </m:sub>
        </m:sSub>
        <m:r>
          <w:rPr>
            <w:rFonts w:ascii="Cambria Math" w:hAnsi="Cambria Math"/>
            <w:sz w:val="18"/>
            <w:szCs w:val="18"/>
          </w:rPr>
          <m:t>=</m:t>
        </m:r>
        <m:f>
          <m:fPr>
            <m:ctrlPr>
              <w:rPr>
                <w:rFonts w:ascii="Cambria Math" w:hAnsi="Cambria Math"/>
                <w:i/>
                <w:sz w:val="18"/>
                <w:szCs w:val="18"/>
              </w:rPr>
            </m:ctrlPr>
          </m:fPr>
          <m:num>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i</m:t>
                    </m:r>
                  </m:sub>
                </m:sSub>
              </m:num>
              <m:den>
                <m:sSub>
                  <m:sSubPr>
                    <m:ctrlPr>
                      <w:rPr>
                        <w:rFonts w:ascii="Cambria Math" w:hAnsi="Cambria Math"/>
                        <w:i/>
                        <w:sz w:val="18"/>
                        <w:szCs w:val="18"/>
                      </w:rPr>
                    </m:ctrlPr>
                  </m:sSubPr>
                  <m:e>
                    <m:r>
                      <w:rPr>
                        <w:rFonts w:ascii="Cambria Math" w:hAnsi="Cambria Math"/>
                        <w:sz w:val="18"/>
                        <w:szCs w:val="18"/>
                      </w:rPr>
                      <m:t>EC</m:t>
                    </m:r>
                  </m:e>
                  <m:sub>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i</m:t>
                        </m:r>
                      </m:sub>
                    </m:sSub>
                  </m:sub>
                </m:sSub>
              </m:den>
            </m:f>
          </m:num>
          <m:den>
            <m:nary>
              <m:naryPr>
                <m:chr m:val="∑"/>
                <m:limLoc m:val="undOvr"/>
                <m:ctrlPr>
                  <w:rPr>
                    <w:rFonts w:ascii="Cambria Math" w:hAnsi="Cambria Math"/>
                    <w:i/>
                    <w:sz w:val="18"/>
                    <w:szCs w:val="18"/>
                  </w:rPr>
                </m:ctrlPr>
              </m:naryPr>
              <m:sub>
                <m:r>
                  <w:rPr>
                    <w:rFonts w:ascii="Cambria Math" w:hAnsi="Cambria Math"/>
                    <w:sz w:val="18"/>
                    <w:szCs w:val="18"/>
                  </w:rPr>
                  <m:t>i=1</m:t>
                </m:r>
              </m:sub>
              <m:sup>
                <m:r>
                  <w:rPr>
                    <w:rFonts w:ascii="Cambria Math" w:hAnsi="Cambria Math"/>
                    <w:sz w:val="18"/>
                    <w:szCs w:val="18"/>
                  </w:rPr>
                  <m:t>n</m:t>
                </m:r>
              </m:sup>
              <m:e>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i</m:t>
                        </m:r>
                      </m:sub>
                    </m:sSub>
                  </m:num>
                  <m:den>
                    <m:sSub>
                      <m:sSubPr>
                        <m:ctrlPr>
                          <w:rPr>
                            <w:rFonts w:ascii="Cambria Math" w:hAnsi="Cambria Math"/>
                            <w:i/>
                            <w:sz w:val="18"/>
                            <w:szCs w:val="18"/>
                          </w:rPr>
                        </m:ctrlPr>
                      </m:sSubPr>
                      <m:e>
                        <m:r>
                          <w:rPr>
                            <w:rFonts w:ascii="Cambria Math" w:hAnsi="Cambria Math"/>
                            <w:sz w:val="18"/>
                            <w:szCs w:val="18"/>
                          </w:rPr>
                          <m:t>EC</m:t>
                        </m:r>
                      </m:e>
                      <m:sub>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i</m:t>
                            </m:r>
                          </m:sub>
                        </m:sSub>
                      </m:sub>
                    </m:sSub>
                  </m:den>
                </m:f>
              </m:e>
            </m:nary>
          </m:den>
        </m:f>
        <m:r>
          <w:rPr>
            <w:rFonts w:ascii="Cambria Math" w:hAnsi="Cambria Math"/>
            <w:sz w:val="18"/>
            <w:szCs w:val="18"/>
          </w:rPr>
          <m:t>×100</m:t>
        </m:r>
      </m:oMath>
    </w:p>
    <w:p w:rsidR="00445B4E" w:rsidRPr="00244FC7" w:rsidRDefault="00445B4E" w:rsidP="00E44270">
      <w:pPr>
        <w:pStyle w:val="FootnoteText"/>
        <w:widowControl w:val="0"/>
        <w:tabs>
          <w:tab w:val="center" w:pos="4535"/>
        </w:tabs>
        <w:rPr>
          <w:sz w:val="18"/>
          <w:szCs w:val="18"/>
        </w:rPr>
      </w:pPr>
    </w:p>
  </w:footnote>
  <w:footnote w:id="9">
    <w:p w:rsidR="00445B4E" w:rsidRPr="00244FC7" w:rsidRDefault="00445B4E" w:rsidP="00E44270">
      <w:pPr>
        <w:pStyle w:val="FootnoteText"/>
        <w:rPr>
          <w:sz w:val="18"/>
          <w:szCs w:val="18"/>
          <w:lang w:val="en-US"/>
        </w:rPr>
      </w:pPr>
      <w:r w:rsidRPr="00244FC7">
        <w:rPr>
          <w:rStyle w:val="FootnoteReference"/>
          <w:sz w:val="18"/>
          <w:szCs w:val="18"/>
        </w:rPr>
        <w:footnoteRef/>
      </w:r>
      <w:r w:rsidRPr="00244FC7">
        <w:rPr>
          <w:sz w:val="18"/>
          <w:szCs w:val="18"/>
        </w:rPr>
        <w:t xml:space="preserve"> MDR = model deviation ratio (unitless) = measured L</w:t>
      </w:r>
      <w:r>
        <w:rPr>
          <w:sz w:val="18"/>
          <w:szCs w:val="18"/>
        </w:rPr>
        <w:t>R</w:t>
      </w:r>
      <w:r w:rsidRPr="00244FC7">
        <w:rPr>
          <w:sz w:val="18"/>
          <w:szCs w:val="18"/>
          <w:vertAlign w:val="subscript"/>
        </w:rPr>
        <w:t>50</w:t>
      </w:r>
      <w:r w:rsidRPr="00244FC7">
        <w:rPr>
          <w:sz w:val="18"/>
          <w:szCs w:val="18"/>
        </w:rPr>
        <w:t xml:space="preserve"> / predicted L</w:t>
      </w:r>
      <w:r>
        <w:rPr>
          <w:sz w:val="18"/>
          <w:szCs w:val="18"/>
        </w:rPr>
        <w:t>R</w:t>
      </w:r>
      <w:r w:rsidRPr="00244FC7">
        <w:rPr>
          <w:sz w:val="18"/>
          <w:szCs w:val="18"/>
          <w:vertAlign w:val="subscript"/>
        </w:rPr>
        <w:t>50</w:t>
      </w:r>
    </w:p>
  </w:footnote>
  <w:footnote w:id="10">
    <w:p w:rsidR="00445B4E" w:rsidRPr="00CC1A0F" w:rsidRDefault="00445B4E" w:rsidP="00E44270">
      <w:pPr>
        <w:pStyle w:val="FootnoteText"/>
        <w:rPr>
          <w:lang w:val="en-US"/>
        </w:rPr>
      </w:pPr>
      <w:r>
        <w:rPr>
          <w:rStyle w:val="FootnoteReference"/>
        </w:rPr>
        <w:footnoteRef/>
      </w:r>
      <w:r>
        <w:t xml:space="preserve"> </w:t>
      </w:r>
      <w:r>
        <w:rPr>
          <w:lang w:val="en-US"/>
        </w:rPr>
        <w:t>Not required when DT</w:t>
      </w:r>
      <w:r w:rsidRPr="00577E48">
        <w:rPr>
          <w:vertAlign w:val="subscript"/>
          <w:lang w:val="en-US"/>
        </w:rPr>
        <w:t>90f</w:t>
      </w:r>
      <w:r>
        <w:rPr>
          <w:lang w:val="en-US"/>
        </w:rPr>
        <w:t xml:space="preserve"> &lt;100d and &lt;3 applications</w:t>
      </w:r>
    </w:p>
  </w:footnote>
  <w:footnote w:id="11">
    <w:p w:rsidR="00445B4E" w:rsidRPr="00577E48" w:rsidRDefault="00445B4E" w:rsidP="00E44270">
      <w:pPr>
        <w:pStyle w:val="FootnoteText"/>
        <w:rPr>
          <w:lang w:val="en-US"/>
        </w:rPr>
      </w:pPr>
      <w:r>
        <w:rPr>
          <w:rStyle w:val="FootnoteReference"/>
        </w:rPr>
        <w:footnoteRef/>
      </w:r>
      <w:r>
        <w:t xml:space="preserve"> </w:t>
      </w:r>
      <w:r>
        <w:rPr>
          <w:lang w:val="en-US"/>
        </w:rPr>
        <w:t>Required when DT</w:t>
      </w:r>
      <w:r w:rsidRPr="00577E48">
        <w:rPr>
          <w:vertAlign w:val="subscript"/>
          <w:lang w:val="en-US"/>
        </w:rPr>
        <w:t>90f</w:t>
      </w:r>
      <w:r>
        <w:rPr>
          <w:lang w:val="en-US"/>
        </w:rPr>
        <w:t xml:space="preserve"> &gt;100 days and risks to other non-target arthropods (</w:t>
      </w:r>
      <w:r w:rsidRPr="00577E48">
        <w:rPr>
          <w:i/>
          <w:lang w:val="en-US"/>
        </w:rPr>
        <w:t>Typhlodromus pyri</w:t>
      </w:r>
      <w:r>
        <w:rPr>
          <w:lang w:val="en-US"/>
        </w:rPr>
        <w:t xml:space="preserve"> and </w:t>
      </w:r>
      <w:r w:rsidRPr="00577E48">
        <w:rPr>
          <w:i/>
          <w:lang w:val="en-US"/>
        </w:rPr>
        <w:t>Aphidius rhopalosiphi</w:t>
      </w:r>
      <w:r>
        <w:rPr>
          <w:lang w:val="en-US"/>
        </w:rPr>
        <w:t>) are not acceptable at the screening level</w:t>
      </w:r>
    </w:p>
  </w:footnote>
  <w:footnote w:id="12">
    <w:p w:rsidR="00445B4E" w:rsidRPr="00F662AC" w:rsidRDefault="00445B4E" w:rsidP="00E44270">
      <w:pPr>
        <w:pStyle w:val="FootnoteText"/>
        <w:rPr>
          <w:lang w:val="en-US"/>
        </w:rPr>
      </w:pPr>
      <w:r>
        <w:rPr>
          <w:rStyle w:val="FootnoteReference"/>
        </w:rPr>
        <w:footnoteRef/>
      </w:r>
      <w:r>
        <w:t xml:space="preserve"> </w:t>
      </w:r>
      <w:r>
        <w:rPr>
          <w:lang w:val="en-US"/>
        </w:rPr>
        <w:t>Refer to EC (2002) for when this test is required</w:t>
      </w:r>
    </w:p>
  </w:footnote>
  <w:footnote w:id="13">
    <w:p w:rsidR="00445B4E" w:rsidRPr="00B0715E" w:rsidRDefault="00445B4E" w:rsidP="00E44270">
      <w:pPr>
        <w:pStyle w:val="FootnoteText"/>
        <w:rPr>
          <w:lang w:val="en-US"/>
        </w:rPr>
      </w:pPr>
      <w:r>
        <w:rPr>
          <w:rStyle w:val="FootnoteReference"/>
        </w:rPr>
        <w:footnoteRef/>
      </w:r>
      <w:r>
        <w:t xml:space="preserve"> </w:t>
      </w:r>
      <w:r>
        <w:rPr>
          <w:lang w:val="en-US"/>
        </w:rPr>
        <w:t>Persistence substances are considered to be those with DT</w:t>
      </w:r>
      <w:r w:rsidRPr="00B0715E">
        <w:rPr>
          <w:vertAlign w:val="subscript"/>
          <w:lang w:val="en-US"/>
        </w:rPr>
        <w:t>50f</w:t>
      </w:r>
      <w:r>
        <w:rPr>
          <w:lang w:val="en-US"/>
        </w:rPr>
        <w:t xml:space="preserve"> &gt;90 days and DT</w:t>
      </w:r>
      <w:r w:rsidRPr="00B0715E">
        <w:rPr>
          <w:vertAlign w:val="subscript"/>
          <w:lang w:val="en-US"/>
        </w:rPr>
        <w:t>90f</w:t>
      </w:r>
      <w:r>
        <w:rPr>
          <w:lang w:val="en-US"/>
        </w:rPr>
        <w:t xml:space="preserve"> &gt;365 days.</w:t>
      </w:r>
    </w:p>
  </w:footnote>
  <w:footnote w:id="14">
    <w:p w:rsidR="00445B4E" w:rsidRPr="00244FC7" w:rsidRDefault="00445B4E" w:rsidP="00E44270">
      <w:pPr>
        <w:pStyle w:val="BodyText"/>
        <w:rPr>
          <w:sz w:val="18"/>
          <w:szCs w:val="18"/>
        </w:rPr>
      </w:pPr>
      <w:r w:rsidRPr="00244FC7">
        <w:rPr>
          <w:rStyle w:val="FootnoteReference"/>
          <w:sz w:val="18"/>
          <w:szCs w:val="18"/>
        </w:rPr>
        <w:footnoteRef/>
      </w:r>
      <w:r w:rsidRPr="00244FC7">
        <w:rPr>
          <w:sz w:val="18"/>
          <w:szCs w:val="18"/>
        </w:rPr>
        <w:t xml:space="preserve"> Predicted values calculated assuming additive toxicity of active constituents in a the specified ratio (p</w:t>
      </w:r>
      <w:r w:rsidRPr="00244FC7">
        <w:rPr>
          <w:sz w:val="18"/>
          <w:szCs w:val="18"/>
          <w:vertAlign w:val="subscript"/>
        </w:rPr>
        <w:t>1</w:t>
      </w:r>
      <w:r w:rsidRPr="00244FC7">
        <w:rPr>
          <w:sz w:val="18"/>
          <w:szCs w:val="18"/>
        </w:rPr>
        <w:t>:p</w:t>
      </w:r>
      <w:r w:rsidRPr="00244FC7">
        <w:rPr>
          <w:sz w:val="18"/>
          <w:szCs w:val="18"/>
          <w:vertAlign w:val="subscript"/>
        </w:rPr>
        <w:t>2</w:t>
      </w:r>
      <w:r w:rsidRPr="00244FC7">
        <w:rPr>
          <w:sz w:val="18"/>
          <w:szCs w:val="18"/>
        </w:rPr>
        <w:t>) using most sensitive endpoints reported for that organism group where:</w:t>
      </w:r>
    </w:p>
    <w:p w:rsidR="00445B4E" w:rsidRPr="00244FC7" w:rsidRDefault="00445B4E" w:rsidP="00E44270">
      <w:pPr>
        <w:pStyle w:val="BodyText"/>
        <w:rPr>
          <w:sz w:val="18"/>
          <w:szCs w:val="18"/>
        </w:rPr>
      </w:pPr>
    </w:p>
    <w:p w:rsidR="00445B4E" w:rsidRPr="00B72640" w:rsidRDefault="0086416E" w:rsidP="00E44270">
      <w:pPr>
        <w:widowControl w:val="0"/>
        <w:rPr>
          <w:sz w:val="18"/>
          <w:szCs w:val="18"/>
        </w:rPr>
      </w:pPr>
      <m:oMathPara>
        <m:oMath>
          <m:sSub>
            <m:sSubPr>
              <m:ctrlPr>
                <w:rPr>
                  <w:rFonts w:ascii="Cambria Math" w:hAnsi="Cambria Math"/>
                  <w:i/>
                  <w:sz w:val="18"/>
                  <w:szCs w:val="18"/>
                  <w:lang w:val="en-US"/>
                </w:rPr>
              </m:ctrlPr>
            </m:sSubPr>
            <m:e>
              <m:r>
                <w:rPr>
                  <w:rFonts w:ascii="Cambria Math" w:hAnsi="Cambria Math"/>
                  <w:sz w:val="18"/>
                  <w:szCs w:val="18"/>
                </w:rPr>
                <m:t>ECx</m:t>
              </m:r>
            </m:e>
            <m:sub>
              <m:r>
                <w:rPr>
                  <w:rFonts w:ascii="Cambria Math" w:hAnsi="Cambria Math"/>
                  <w:sz w:val="18"/>
                  <w:szCs w:val="18"/>
                </w:rPr>
                <m:t>CA</m:t>
              </m:r>
            </m:sub>
          </m:sSub>
          <m:r>
            <w:rPr>
              <w:rFonts w:ascii="Cambria Math" w:hAnsi="Cambria Math"/>
              <w:sz w:val="18"/>
              <w:szCs w:val="18"/>
            </w:rPr>
            <m:t>=</m:t>
          </m:r>
          <m:d>
            <m:dPr>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1</m:t>
                  </m:r>
                </m:num>
                <m:den>
                  <m:nary>
                    <m:naryPr>
                      <m:chr m:val="∑"/>
                      <m:limLoc m:val="undOvr"/>
                      <m:ctrlPr>
                        <w:rPr>
                          <w:rFonts w:ascii="Cambria Math" w:hAnsi="Cambria Math"/>
                          <w:i/>
                          <w:sz w:val="18"/>
                          <w:szCs w:val="18"/>
                          <w:lang w:val="en-US"/>
                        </w:rPr>
                      </m:ctrlPr>
                    </m:naryPr>
                    <m:sub>
                      <m:r>
                        <w:rPr>
                          <w:rFonts w:ascii="Cambria Math" w:hAnsi="Cambria Math"/>
                          <w:sz w:val="18"/>
                          <w:szCs w:val="18"/>
                        </w:rPr>
                        <m:t>i-1</m:t>
                      </m:r>
                    </m:sub>
                    <m:sup>
                      <m:r>
                        <w:rPr>
                          <w:rFonts w:ascii="Cambria Math" w:hAnsi="Cambria Math"/>
                          <w:sz w:val="18"/>
                          <w:szCs w:val="18"/>
                        </w:rPr>
                        <m:t>n</m:t>
                      </m:r>
                    </m:sup>
                    <m:e>
                      <m:f>
                        <m:fPr>
                          <m:ctrlPr>
                            <w:rPr>
                              <w:rFonts w:ascii="Cambria Math" w:hAnsi="Cambria Math"/>
                              <w:i/>
                              <w:sz w:val="18"/>
                              <w:szCs w:val="18"/>
                              <w:lang w:val="en-US"/>
                            </w:rPr>
                          </m:ctrlPr>
                        </m:fPr>
                        <m:num>
                          <m:sSub>
                            <m:sSubPr>
                              <m:ctrlPr>
                                <w:rPr>
                                  <w:rFonts w:ascii="Cambria Math" w:hAnsi="Cambria Math"/>
                                  <w:i/>
                                  <w:sz w:val="18"/>
                                  <w:szCs w:val="18"/>
                                  <w:lang w:val="en-US"/>
                                </w:rPr>
                              </m:ctrlPr>
                            </m:sSubPr>
                            <m:e>
                              <m:r>
                                <w:rPr>
                                  <w:rFonts w:ascii="Cambria Math" w:hAnsi="Cambria Math"/>
                                  <w:sz w:val="18"/>
                                  <w:szCs w:val="18"/>
                                </w:rPr>
                                <m:t>P</m:t>
                              </m:r>
                            </m:e>
                            <m:sub>
                              <m:r>
                                <w:rPr>
                                  <w:rFonts w:ascii="Cambria Math" w:hAnsi="Cambria Math"/>
                                  <w:sz w:val="18"/>
                                  <w:szCs w:val="18"/>
                                </w:rPr>
                                <m:t>i</m:t>
                              </m:r>
                            </m:sub>
                          </m:sSub>
                        </m:num>
                        <m:den>
                          <m:sSub>
                            <m:sSubPr>
                              <m:ctrlPr>
                                <w:rPr>
                                  <w:rFonts w:ascii="Cambria Math" w:hAnsi="Cambria Math"/>
                                  <w:i/>
                                  <w:sz w:val="18"/>
                                  <w:szCs w:val="18"/>
                                  <w:lang w:val="en-US"/>
                                </w:rPr>
                              </m:ctrlPr>
                            </m:sSubPr>
                            <m:e>
                              <m:r>
                                <w:rPr>
                                  <w:rFonts w:ascii="Cambria Math" w:hAnsi="Cambria Math"/>
                                  <w:sz w:val="18"/>
                                  <w:szCs w:val="18"/>
                                </w:rPr>
                                <m:t>ECx</m:t>
                              </m:r>
                            </m:e>
                            <m:sub>
                              <m:r>
                                <w:rPr>
                                  <w:rFonts w:ascii="Cambria Math" w:hAnsi="Cambria Math"/>
                                  <w:sz w:val="18"/>
                                  <w:szCs w:val="18"/>
                                </w:rPr>
                                <m:t>i</m:t>
                              </m:r>
                            </m:sub>
                          </m:sSub>
                        </m:den>
                      </m:f>
                    </m:e>
                  </m:nary>
                </m:den>
              </m:f>
            </m:e>
          </m:d>
        </m:oMath>
      </m:oMathPara>
    </w:p>
    <w:p w:rsidR="00445B4E" w:rsidRPr="00244FC7" w:rsidRDefault="00445B4E" w:rsidP="00E44270">
      <w:pPr>
        <w:pStyle w:val="BodyText"/>
        <w:rPr>
          <w:b/>
          <w:bCs/>
          <w:sz w:val="18"/>
          <w:szCs w:val="18"/>
        </w:rPr>
      </w:pPr>
    </w:p>
    <w:p w:rsidR="00445B4E" w:rsidRPr="00244FC7" w:rsidRDefault="00445B4E" w:rsidP="00E44270">
      <w:pPr>
        <w:pStyle w:val="BodyText"/>
        <w:rPr>
          <w:sz w:val="18"/>
          <w:szCs w:val="18"/>
        </w:rPr>
      </w:pPr>
      <w:r w:rsidRPr="00244FC7">
        <w:rPr>
          <w:sz w:val="18"/>
          <w:szCs w:val="18"/>
        </w:rPr>
        <w:t>Where:</w:t>
      </w:r>
    </w:p>
    <w:p w:rsidR="00445B4E" w:rsidRPr="00244FC7" w:rsidRDefault="00445B4E" w:rsidP="00E44270">
      <w:pPr>
        <w:pStyle w:val="BodyText"/>
        <w:rPr>
          <w:sz w:val="18"/>
          <w:szCs w:val="18"/>
        </w:rPr>
      </w:pPr>
      <w:r w:rsidRPr="00244FC7">
        <w:rPr>
          <w:sz w:val="18"/>
          <w:szCs w:val="18"/>
        </w:rPr>
        <w:t>ECx</w:t>
      </w:r>
      <w:r w:rsidRPr="00244FC7">
        <w:rPr>
          <w:sz w:val="18"/>
          <w:szCs w:val="18"/>
          <w:vertAlign w:val="subscript"/>
        </w:rPr>
        <w:t>CA</w:t>
      </w:r>
      <w:r w:rsidRPr="00244FC7">
        <w:rPr>
          <w:sz w:val="18"/>
          <w:szCs w:val="18"/>
        </w:rPr>
        <w:t xml:space="preserve"> is the predicted additive toxic effect of the active constituent in combination</w:t>
      </w:r>
    </w:p>
    <w:p w:rsidR="00445B4E" w:rsidRPr="00244FC7" w:rsidRDefault="00445B4E" w:rsidP="00E44270">
      <w:pPr>
        <w:pStyle w:val="BodyText"/>
        <w:rPr>
          <w:sz w:val="18"/>
          <w:szCs w:val="18"/>
        </w:rPr>
      </w:pPr>
      <w:r w:rsidRPr="00244FC7">
        <w:rPr>
          <w:sz w:val="18"/>
          <w:szCs w:val="18"/>
        </w:rPr>
        <w:t>Pi = is the fraction of individual active constituent in the product</w:t>
      </w:r>
    </w:p>
    <w:p w:rsidR="00445B4E" w:rsidRPr="00244FC7" w:rsidRDefault="00445B4E" w:rsidP="00E44270">
      <w:pPr>
        <w:pStyle w:val="FootnoteText"/>
        <w:widowControl w:val="0"/>
        <w:rPr>
          <w:sz w:val="18"/>
          <w:szCs w:val="18"/>
        </w:rPr>
      </w:pPr>
      <w:r w:rsidRPr="00244FC7">
        <w:rPr>
          <w:sz w:val="18"/>
          <w:szCs w:val="18"/>
        </w:rPr>
        <w:t>EC</w:t>
      </w:r>
      <w:r w:rsidRPr="00244FC7">
        <w:rPr>
          <w:sz w:val="18"/>
          <w:szCs w:val="18"/>
          <w:vertAlign w:val="subscript"/>
        </w:rPr>
        <w:t>xi</w:t>
      </w:r>
      <w:r w:rsidRPr="00244FC7">
        <w:rPr>
          <w:sz w:val="18"/>
          <w:szCs w:val="18"/>
        </w:rPr>
        <w:t xml:space="preserve"> is the effect concentration of the individual active constituent</w:t>
      </w:r>
    </w:p>
    <w:p w:rsidR="00445B4E" w:rsidRPr="00244FC7" w:rsidRDefault="00445B4E" w:rsidP="00E44270">
      <w:pPr>
        <w:pStyle w:val="FootnoteText"/>
        <w:widowControl w:val="0"/>
        <w:rPr>
          <w:sz w:val="18"/>
          <w:szCs w:val="18"/>
        </w:rPr>
      </w:pPr>
    </w:p>
  </w:footnote>
  <w:footnote w:id="15">
    <w:p w:rsidR="00445B4E" w:rsidRPr="00244FC7" w:rsidRDefault="00445B4E" w:rsidP="00E44270">
      <w:pPr>
        <w:pStyle w:val="FootnoteText"/>
        <w:widowControl w:val="0"/>
        <w:tabs>
          <w:tab w:val="center" w:pos="4535"/>
        </w:tabs>
        <w:rPr>
          <w:sz w:val="18"/>
          <w:szCs w:val="18"/>
        </w:rPr>
      </w:pPr>
      <w:r w:rsidRPr="00244FC7">
        <w:rPr>
          <w:rStyle w:val="FootnoteReference"/>
          <w:sz w:val="18"/>
          <w:szCs w:val="18"/>
        </w:rPr>
        <w:footnoteRef/>
      </w:r>
      <w:r w:rsidRPr="00244FC7">
        <w:rPr>
          <w:sz w:val="18"/>
          <w:szCs w:val="18"/>
        </w:rPr>
        <w:t xml:space="preserve"> </w:t>
      </w:r>
      <m:oMath>
        <m:sSub>
          <m:sSubPr>
            <m:ctrlPr>
              <w:rPr>
                <w:rFonts w:ascii="Cambria Math" w:hAnsi="Cambria Math"/>
                <w:i/>
                <w:sz w:val="18"/>
                <w:szCs w:val="18"/>
              </w:rPr>
            </m:ctrlPr>
          </m:sSubPr>
          <m:e>
            <m:r>
              <w:rPr>
                <w:rFonts w:ascii="Cambria Math" w:hAnsi="Cambria Math"/>
                <w:sz w:val="18"/>
                <w:szCs w:val="18"/>
              </w:rPr>
              <m:t>%</m:t>
            </m:r>
          </m:e>
          <m:sub>
            <m:r>
              <w:rPr>
                <w:rFonts w:ascii="Cambria Math" w:hAnsi="Cambria Math"/>
                <w:sz w:val="18"/>
                <w:szCs w:val="18"/>
              </w:rPr>
              <m:t>relative_ecotoxicity_contribution</m:t>
            </m:r>
          </m:sub>
        </m:sSub>
        <m:r>
          <w:rPr>
            <w:rFonts w:ascii="Cambria Math" w:hAnsi="Cambria Math"/>
            <w:sz w:val="18"/>
            <w:szCs w:val="18"/>
          </w:rPr>
          <m:t>=</m:t>
        </m:r>
        <m:f>
          <m:fPr>
            <m:ctrlPr>
              <w:rPr>
                <w:rFonts w:ascii="Cambria Math" w:hAnsi="Cambria Math"/>
                <w:i/>
                <w:sz w:val="18"/>
                <w:szCs w:val="18"/>
              </w:rPr>
            </m:ctrlPr>
          </m:fPr>
          <m:num>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i</m:t>
                    </m:r>
                  </m:sub>
                </m:sSub>
              </m:num>
              <m:den>
                <m:sSub>
                  <m:sSubPr>
                    <m:ctrlPr>
                      <w:rPr>
                        <w:rFonts w:ascii="Cambria Math" w:hAnsi="Cambria Math"/>
                        <w:i/>
                        <w:sz w:val="18"/>
                        <w:szCs w:val="18"/>
                      </w:rPr>
                    </m:ctrlPr>
                  </m:sSubPr>
                  <m:e>
                    <m:r>
                      <w:rPr>
                        <w:rFonts w:ascii="Cambria Math" w:hAnsi="Cambria Math"/>
                        <w:sz w:val="18"/>
                        <w:szCs w:val="18"/>
                      </w:rPr>
                      <m:t>EC</m:t>
                    </m:r>
                  </m:e>
                  <m:sub>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i</m:t>
                        </m:r>
                      </m:sub>
                    </m:sSub>
                  </m:sub>
                </m:sSub>
              </m:den>
            </m:f>
          </m:num>
          <m:den>
            <m:nary>
              <m:naryPr>
                <m:chr m:val="∑"/>
                <m:limLoc m:val="undOvr"/>
                <m:ctrlPr>
                  <w:rPr>
                    <w:rFonts w:ascii="Cambria Math" w:hAnsi="Cambria Math"/>
                    <w:i/>
                    <w:sz w:val="18"/>
                    <w:szCs w:val="18"/>
                  </w:rPr>
                </m:ctrlPr>
              </m:naryPr>
              <m:sub>
                <m:r>
                  <w:rPr>
                    <w:rFonts w:ascii="Cambria Math" w:hAnsi="Cambria Math"/>
                    <w:sz w:val="18"/>
                    <w:szCs w:val="18"/>
                  </w:rPr>
                  <m:t>i=1</m:t>
                </m:r>
              </m:sub>
              <m:sup>
                <m:r>
                  <w:rPr>
                    <w:rFonts w:ascii="Cambria Math" w:hAnsi="Cambria Math"/>
                    <w:sz w:val="18"/>
                    <w:szCs w:val="18"/>
                  </w:rPr>
                  <m:t>n</m:t>
                </m:r>
              </m:sup>
              <m:e>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i</m:t>
                        </m:r>
                      </m:sub>
                    </m:sSub>
                  </m:num>
                  <m:den>
                    <m:sSub>
                      <m:sSubPr>
                        <m:ctrlPr>
                          <w:rPr>
                            <w:rFonts w:ascii="Cambria Math" w:hAnsi="Cambria Math"/>
                            <w:i/>
                            <w:sz w:val="18"/>
                            <w:szCs w:val="18"/>
                          </w:rPr>
                        </m:ctrlPr>
                      </m:sSubPr>
                      <m:e>
                        <m:r>
                          <w:rPr>
                            <w:rFonts w:ascii="Cambria Math" w:hAnsi="Cambria Math"/>
                            <w:sz w:val="18"/>
                            <w:szCs w:val="18"/>
                          </w:rPr>
                          <m:t>EC</m:t>
                        </m:r>
                      </m:e>
                      <m:sub>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i</m:t>
                            </m:r>
                          </m:sub>
                        </m:sSub>
                      </m:sub>
                    </m:sSub>
                  </m:den>
                </m:f>
              </m:e>
            </m:nary>
          </m:den>
        </m:f>
        <m:r>
          <w:rPr>
            <w:rFonts w:ascii="Cambria Math" w:hAnsi="Cambria Math"/>
            <w:sz w:val="18"/>
            <w:szCs w:val="18"/>
          </w:rPr>
          <m:t>×100</m:t>
        </m:r>
      </m:oMath>
    </w:p>
    <w:p w:rsidR="00445B4E" w:rsidRPr="00244FC7" w:rsidRDefault="00445B4E" w:rsidP="00E44270">
      <w:pPr>
        <w:pStyle w:val="FootnoteText"/>
        <w:widowControl w:val="0"/>
        <w:tabs>
          <w:tab w:val="center" w:pos="4535"/>
        </w:tabs>
        <w:rPr>
          <w:sz w:val="18"/>
          <w:szCs w:val="18"/>
        </w:rPr>
      </w:pPr>
    </w:p>
  </w:footnote>
  <w:footnote w:id="16">
    <w:p w:rsidR="00445B4E" w:rsidRPr="00244FC7" w:rsidRDefault="00445B4E" w:rsidP="00E44270">
      <w:pPr>
        <w:pStyle w:val="FootnoteText"/>
        <w:rPr>
          <w:sz w:val="18"/>
          <w:szCs w:val="18"/>
          <w:lang w:val="en-US"/>
        </w:rPr>
      </w:pPr>
      <w:r w:rsidRPr="00244FC7">
        <w:rPr>
          <w:rStyle w:val="FootnoteReference"/>
          <w:sz w:val="18"/>
          <w:szCs w:val="18"/>
        </w:rPr>
        <w:footnoteRef/>
      </w:r>
      <w:r w:rsidRPr="00244FC7">
        <w:rPr>
          <w:sz w:val="18"/>
          <w:szCs w:val="18"/>
        </w:rPr>
        <w:t xml:space="preserve"> MDR = model deviation ratio (unitless) = measured LD</w:t>
      </w:r>
      <w:r w:rsidRPr="00244FC7">
        <w:rPr>
          <w:sz w:val="18"/>
          <w:szCs w:val="18"/>
          <w:vertAlign w:val="subscript"/>
        </w:rPr>
        <w:t>50</w:t>
      </w:r>
      <w:r w:rsidRPr="00244FC7">
        <w:rPr>
          <w:sz w:val="18"/>
          <w:szCs w:val="18"/>
        </w:rPr>
        <w:t xml:space="preserve"> / predicted LD</w:t>
      </w:r>
      <w:r w:rsidRPr="00244FC7">
        <w:rPr>
          <w:sz w:val="18"/>
          <w:szCs w:val="18"/>
          <w:vertAlign w:val="subscript"/>
        </w:rPr>
        <w:t>50</w:t>
      </w:r>
    </w:p>
  </w:footnote>
  <w:footnote w:id="17">
    <w:p w:rsidR="00445B4E" w:rsidRPr="00B31833" w:rsidRDefault="00445B4E" w:rsidP="00D92F37">
      <w:pPr>
        <w:pStyle w:val="BodyText"/>
        <w:rPr>
          <w:sz w:val="18"/>
          <w:szCs w:val="18"/>
        </w:rPr>
      </w:pPr>
      <w:r>
        <w:rPr>
          <w:rStyle w:val="FootnoteReference"/>
        </w:rPr>
        <w:footnoteRef/>
      </w:r>
      <w:r>
        <w:t xml:space="preserve"> </w:t>
      </w:r>
      <w:r w:rsidRPr="00B31833">
        <w:rPr>
          <w:sz w:val="18"/>
          <w:szCs w:val="18"/>
        </w:rPr>
        <w:t>Predicted values calculated assuming additive toxicity of active constituents in a the specified ratio (p</w:t>
      </w:r>
      <w:r w:rsidRPr="00B31833">
        <w:rPr>
          <w:sz w:val="18"/>
          <w:szCs w:val="18"/>
          <w:vertAlign w:val="subscript"/>
        </w:rPr>
        <w:t>1</w:t>
      </w:r>
      <w:r w:rsidRPr="00B31833">
        <w:rPr>
          <w:sz w:val="18"/>
          <w:szCs w:val="18"/>
        </w:rPr>
        <w:t>:p</w:t>
      </w:r>
      <w:r w:rsidRPr="00B31833">
        <w:rPr>
          <w:sz w:val="18"/>
          <w:szCs w:val="18"/>
          <w:vertAlign w:val="subscript"/>
        </w:rPr>
        <w:t>2</w:t>
      </w:r>
      <w:r w:rsidRPr="00B31833">
        <w:rPr>
          <w:sz w:val="18"/>
          <w:szCs w:val="18"/>
        </w:rPr>
        <w:t>) using most sensitive endpoints reported for that organism group where:</w:t>
      </w:r>
    </w:p>
    <w:p w:rsidR="00445B4E" w:rsidRPr="00B31833" w:rsidRDefault="00445B4E" w:rsidP="00D92F37">
      <w:pPr>
        <w:pStyle w:val="BodyText"/>
        <w:rPr>
          <w:sz w:val="18"/>
          <w:szCs w:val="18"/>
        </w:rPr>
      </w:pPr>
    </w:p>
    <w:p w:rsidR="00445B4E" w:rsidRPr="00D92F37" w:rsidRDefault="0086416E" w:rsidP="00D92F37">
      <w:pPr>
        <w:widowControl w:val="0"/>
        <w:rPr>
          <w:sz w:val="18"/>
          <w:szCs w:val="18"/>
        </w:rPr>
      </w:pPr>
      <m:oMathPara>
        <m:oMath>
          <m:sSub>
            <m:sSubPr>
              <m:ctrlPr>
                <w:rPr>
                  <w:rFonts w:ascii="Cambria Math" w:hAnsi="Cambria Math"/>
                  <w:i/>
                  <w:sz w:val="18"/>
                  <w:szCs w:val="18"/>
                  <w:lang w:val="en-US"/>
                </w:rPr>
              </m:ctrlPr>
            </m:sSubPr>
            <m:e>
              <m:r>
                <w:rPr>
                  <w:rFonts w:ascii="Cambria Math" w:hAnsi="Cambria Math"/>
                  <w:sz w:val="18"/>
                  <w:szCs w:val="18"/>
                </w:rPr>
                <m:t>ECx</m:t>
              </m:r>
            </m:e>
            <m:sub>
              <m:r>
                <w:rPr>
                  <w:rFonts w:ascii="Cambria Math" w:hAnsi="Cambria Math"/>
                  <w:sz w:val="18"/>
                  <w:szCs w:val="18"/>
                </w:rPr>
                <m:t>CA</m:t>
              </m:r>
            </m:sub>
          </m:sSub>
          <m:r>
            <w:rPr>
              <w:rFonts w:ascii="Cambria Math" w:hAnsi="Cambria Math"/>
              <w:sz w:val="18"/>
              <w:szCs w:val="18"/>
            </w:rPr>
            <m:t>=</m:t>
          </m:r>
          <m:d>
            <m:dPr>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1</m:t>
                  </m:r>
                </m:num>
                <m:den>
                  <m:nary>
                    <m:naryPr>
                      <m:chr m:val="∑"/>
                      <m:limLoc m:val="undOvr"/>
                      <m:ctrlPr>
                        <w:rPr>
                          <w:rFonts w:ascii="Cambria Math" w:hAnsi="Cambria Math"/>
                          <w:i/>
                          <w:sz w:val="18"/>
                          <w:szCs w:val="18"/>
                          <w:lang w:val="en-US"/>
                        </w:rPr>
                      </m:ctrlPr>
                    </m:naryPr>
                    <m:sub>
                      <m:r>
                        <w:rPr>
                          <w:rFonts w:ascii="Cambria Math" w:hAnsi="Cambria Math"/>
                          <w:sz w:val="18"/>
                          <w:szCs w:val="18"/>
                        </w:rPr>
                        <m:t>i-1</m:t>
                      </m:r>
                    </m:sub>
                    <m:sup>
                      <m:r>
                        <w:rPr>
                          <w:rFonts w:ascii="Cambria Math" w:hAnsi="Cambria Math"/>
                          <w:sz w:val="18"/>
                          <w:szCs w:val="18"/>
                        </w:rPr>
                        <m:t>n</m:t>
                      </m:r>
                    </m:sup>
                    <m:e>
                      <m:f>
                        <m:fPr>
                          <m:ctrlPr>
                            <w:rPr>
                              <w:rFonts w:ascii="Cambria Math" w:hAnsi="Cambria Math"/>
                              <w:i/>
                              <w:sz w:val="18"/>
                              <w:szCs w:val="18"/>
                              <w:lang w:val="en-US"/>
                            </w:rPr>
                          </m:ctrlPr>
                        </m:fPr>
                        <m:num>
                          <m:sSub>
                            <m:sSubPr>
                              <m:ctrlPr>
                                <w:rPr>
                                  <w:rFonts w:ascii="Cambria Math" w:hAnsi="Cambria Math"/>
                                  <w:i/>
                                  <w:sz w:val="18"/>
                                  <w:szCs w:val="18"/>
                                  <w:lang w:val="en-US"/>
                                </w:rPr>
                              </m:ctrlPr>
                            </m:sSubPr>
                            <m:e>
                              <m:r>
                                <w:rPr>
                                  <w:rFonts w:ascii="Cambria Math" w:hAnsi="Cambria Math"/>
                                  <w:sz w:val="18"/>
                                  <w:szCs w:val="18"/>
                                </w:rPr>
                                <m:t>P</m:t>
                              </m:r>
                            </m:e>
                            <m:sub>
                              <m:r>
                                <w:rPr>
                                  <w:rFonts w:ascii="Cambria Math" w:hAnsi="Cambria Math"/>
                                  <w:sz w:val="18"/>
                                  <w:szCs w:val="18"/>
                                </w:rPr>
                                <m:t>i</m:t>
                              </m:r>
                            </m:sub>
                          </m:sSub>
                        </m:num>
                        <m:den>
                          <m:sSub>
                            <m:sSubPr>
                              <m:ctrlPr>
                                <w:rPr>
                                  <w:rFonts w:ascii="Cambria Math" w:hAnsi="Cambria Math"/>
                                  <w:i/>
                                  <w:sz w:val="18"/>
                                  <w:szCs w:val="18"/>
                                  <w:lang w:val="en-US"/>
                                </w:rPr>
                              </m:ctrlPr>
                            </m:sSubPr>
                            <m:e>
                              <m:r>
                                <w:rPr>
                                  <w:rFonts w:ascii="Cambria Math" w:hAnsi="Cambria Math"/>
                                  <w:sz w:val="18"/>
                                  <w:szCs w:val="18"/>
                                </w:rPr>
                                <m:t>ECx</m:t>
                              </m:r>
                            </m:e>
                            <m:sub>
                              <m:r>
                                <w:rPr>
                                  <w:rFonts w:ascii="Cambria Math" w:hAnsi="Cambria Math"/>
                                  <w:sz w:val="18"/>
                                  <w:szCs w:val="18"/>
                                </w:rPr>
                                <m:t>i</m:t>
                              </m:r>
                            </m:sub>
                          </m:sSub>
                        </m:den>
                      </m:f>
                    </m:e>
                  </m:nary>
                </m:den>
              </m:f>
            </m:e>
          </m:d>
        </m:oMath>
      </m:oMathPara>
    </w:p>
    <w:p w:rsidR="00445B4E" w:rsidRPr="00B31833" w:rsidRDefault="00445B4E" w:rsidP="00D92F37">
      <w:pPr>
        <w:pStyle w:val="BodyText"/>
        <w:rPr>
          <w:b/>
          <w:bCs/>
          <w:sz w:val="18"/>
          <w:szCs w:val="18"/>
        </w:rPr>
      </w:pPr>
    </w:p>
    <w:p w:rsidR="00445B4E" w:rsidRPr="00B31833" w:rsidRDefault="00445B4E" w:rsidP="00D92F37">
      <w:pPr>
        <w:pStyle w:val="BodyText"/>
        <w:rPr>
          <w:sz w:val="18"/>
          <w:szCs w:val="18"/>
        </w:rPr>
      </w:pPr>
      <w:r w:rsidRPr="00B31833">
        <w:rPr>
          <w:sz w:val="18"/>
          <w:szCs w:val="18"/>
        </w:rPr>
        <w:t>Where:</w:t>
      </w:r>
    </w:p>
    <w:p w:rsidR="00445B4E" w:rsidRPr="00B31833" w:rsidRDefault="00445B4E" w:rsidP="00D92F37">
      <w:pPr>
        <w:pStyle w:val="BodyText"/>
        <w:rPr>
          <w:sz w:val="18"/>
          <w:szCs w:val="18"/>
        </w:rPr>
      </w:pPr>
      <w:r w:rsidRPr="00B31833">
        <w:rPr>
          <w:sz w:val="18"/>
          <w:szCs w:val="18"/>
        </w:rPr>
        <w:t>ECx</w:t>
      </w:r>
      <w:r w:rsidRPr="00B31833">
        <w:rPr>
          <w:sz w:val="18"/>
          <w:szCs w:val="18"/>
          <w:vertAlign w:val="subscript"/>
        </w:rPr>
        <w:t>CA</w:t>
      </w:r>
      <w:r w:rsidRPr="00B31833">
        <w:rPr>
          <w:sz w:val="18"/>
          <w:szCs w:val="18"/>
        </w:rPr>
        <w:t xml:space="preserve"> is the predicted additive toxic effect of the active constituent in combination</w:t>
      </w:r>
    </w:p>
    <w:p w:rsidR="00445B4E" w:rsidRPr="00B31833" w:rsidRDefault="00445B4E" w:rsidP="00D92F37">
      <w:pPr>
        <w:pStyle w:val="BodyText"/>
        <w:rPr>
          <w:sz w:val="18"/>
          <w:szCs w:val="18"/>
        </w:rPr>
      </w:pPr>
      <w:r w:rsidRPr="00B31833">
        <w:rPr>
          <w:sz w:val="18"/>
          <w:szCs w:val="18"/>
        </w:rPr>
        <w:t>Pi = is the fraction of individual active constituent in the product</w:t>
      </w:r>
    </w:p>
    <w:p w:rsidR="00445B4E" w:rsidRPr="00B31833" w:rsidRDefault="00445B4E" w:rsidP="00D92F37">
      <w:pPr>
        <w:pStyle w:val="FootnoteText"/>
        <w:widowControl w:val="0"/>
        <w:rPr>
          <w:sz w:val="18"/>
          <w:szCs w:val="18"/>
        </w:rPr>
      </w:pPr>
      <w:r w:rsidRPr="00B31833">
        <w:rPr>
          <w:sz w:val="18"/>
          <w:szCs w:val="18"/>
        </w:rPr>
        <w:t>EC</w:t>
      </w:r>
      <w:r w:rsidRPr="00B31833">
        <w:rPr>
          <w:sz w:val="18"/>
          <w:szCs w:val="18"/>
          <w:vertAlign w:val="subscript"/>
        </w:rPr>
        <w:t>xi</w:t>
      </w:r>
      <w:r w:rsidRPr="00B31833">
        <w:rPr>
          <w:sz w:val="18"/>
          <w:szCs w:val="18"/>
        </w:rPr>
        <w:t xml:space="preserve"> is the effect concentration of the individual active constituent</w:t>
      </w:r>
    </w:p>
    <w:p w:rsidR="00445B4E" w:rsidRPr="00B31833" w:rsidRDefault="00445B4E" w:rsidP="00D92F37">
      <w:pPr>
        <w:pStyle w:val="FootnoteText"/>
        <w:widowControl w:val="0"/>
        <w:rPr>
          <w:sz w:val="18"/>
          <w:szCs w:val="18"/>
        </w:rPr>
      </w:pPr>
    </w:p>
  </w:footnote>
  <w:footnote w:id="18">
    <w:p w:rsidR="00445B4E" w:rsidRDefault="00445B4E" w:rsidP="00D92F37">
      <w:pPr>
        <w:pStyle w:val="FootnoteText"/>
        <w:widowControl w:val="0"/>
        <w:tabs>
          <w:tab w:val="center" w:pos="4535"/>
        </w:tabs>
        <w:rPr>
          <w:sz w:val="18"/>
          <w:szCs w:val="18"/>
        </w:rPr>
      </w:pPr>
      <w:r w:rsidRPr="00B31833">
        <w:rPr>
          <w:rStyle w:val="FootnoteReference"/>
          <w:sz w:val="18"/>
          <w:szCs w:val="18"/>
        </w:rPr>
        <w:footnoteRef/>
      </w:r>
      <w:r w:rsidRPr="00B31833">
        <w:rPr>
          <w:sz w:val="18"/>
          <w:szCs w:val="18"/>
        </w:rPr>
        <w:t xml:space="preserve"> </w:t>
      </w:r>
      <m:oMath>
        <m:sSub>
          <m:sSubPr>
            <m:ctrlPr>
              <w:rPr>
                <w:rFonts w:ascii="Cambria Math" w:hAnsi="Cambria Math"/>
                <w:i/>
                <w:sz w:val="18"/>
                <w:szCs w:val="18"/>
              </w:rPr>
            </m:ctrlPr>
          </m:sSubPr>
          <m:e>
            <m:r>
              <w:rPr>
                <w:rFonts w:ascii="Cambria Math" w:hAnsi="Cambria Math"/>
                <w:sz w:val="18"/>
                <w:szCs w:val="18"/>
              </w:rPr>
              <m:t>%</m:t>
            </m:r>
          </m:e>
          <m:sub>
            <m:r>
              <w:rPr>
                <w:rFonts w:ascii="Cambria Math" w:hAnsi="Cambria Math"/>
                <w:sz w:val="18"/>
                <w:szCs w:val="18"/>
              </w:rPr>
              <m:t>relative_ecotoxicity_contribution</m:t>
            </m:r>
          </m:sub>
        </m:sSub>
        <m:r>
          <w:rPr>
            <w:rFonts w:ascii="Cambria Math" w:hAnsi="Cambria Math"/>
            <w:sz w:val="18"/>
            <w:szCs w:val="18"/>
          </w:rPr>
          <m:t>=</m:t>
        </m:r>
        <m:f>
          <m:fPr>
            <m:ctrlPr>
              <w:rPr>
                <w:rFonts w:ascii="Cambria Math" w:hAnsi="Cambria Math"/>
                <w:i/>
                <w:sz w:val="18"/>
                <w:szCs w:val="18"/>
              </w:rPr>
            </m:ctrlPr>
          </m:fPr>
          <m:num>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i</m:t>
                    </m:r>
                  </m:sub>
                </m:sSub>
              </m:num>
              <m:den>
                <m:sSub>
                  <m:sSubPr>
                    <m:ctrlPr>
                      <w:rPr>
                        <w:rFonts w:ascii="Cambria Math" w:hAnsi="Cambria Math"/>
                        <w:i/>
                        <w:sz w:val="18"/>
                        <w:szCs w:val="18"/>
                      </w:rPr>
                    </m:ctrlPr>
                  </m:sSubPr>
                  <m:e>
                    <m:r>
                      <w:rPr>
                        <w:rFonts w:ascii="Cambria Math" w:hAnsi="Cambria Math"/>
                        <w:sz w:val="18"/>
                        <w:szCs w:val="18"/>
                      </w:rPr>
                      <m:t>EC</m:t>
                    </m:r>
                  </m:e>
                  <m:sub>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i</m:t>
                        </m:r>
                      </m:sub>
                    </m:sSub>
                  </m:sub>
                </m:sSub>
              </m:den>
            </m:f>
          </m:num>
          <m:den>
            <m:nary>
              <m:naryPr>
                <m:chr m:val="∑"/>
                <m:limLoc m:val="undOvr"/>
                <m:ctrlPr>
                  <w:rPr>
                    <w:rFonts w:ascii="Cambria Math" w:hAnsi="Cambria Math"/>
                    <w:i/>
                    <w:sz w:val="18"/>
                    <w:szCs w:val="18"/>
                  </w:rPr>
                </m:ctrlPr>
              </m:naryPr>
              <m:sub>
                <m:r>
                  <w:rPr>
                    <w:rFonts w:ascii="Cambria Math" w:hAnsi="Cambria Math"/>
                    <w:sz w:val="18"/>
                    <w:szCs w:val="18"/>
                  </w:rPr>
                  <m:t>i=1</m:t>
                </m:r>
              </m:sub>
              <m:sup>
                <m:r>
                  <w:rPr>
                    <w:rFonts w:ascii="Cambria Math" w:hAnsi="Cambria Math"/>
                    <w:sz w:val="18"/>
                    <w:szCs w:val="18"/>
                  </w:rPr>
                  <m:t>n</m:t>
                </m:r>
              </m:sup>
              <m:e>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i</m:t>
                        </m:r>
                      </m:sub>
                    </m:sSub>
                  </m:num>
                  <m:den>
                    <m:sSub>
                      <m:sSubPr>
                        <m:ctrlPr>
                          <w:rPr>
                            <w:rFonts w:ascii="Cambria Math" w:hAnsi="Cambria Math"/>
                            <w:i/>
                            <w:sz w:val="18"/>
                            <w:szCs w:val="18"/>
                          </w:rPr>
                        </m:ctrlPr>
                      </m:sSubPr>
                      <m:e>
                        <m:r>
                          <w:rPr>
                            <w:rFonts w:ascii="Cambria Math" w:hAnsi="Cambria Math"/>
                            <w:sz w:val="18"/>
                            <w:szCs w:val="18"/>
                          </w:rPr>
                          <m:t>EC</m:t>
                        </m:r>
                      </m:e>
                      <m:sub>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i</m:t>
                            </m:r>
                          </m:sub>
                        </m:sSub>
                      </m:sub>
                    </m:sSub>
                  </m:den>
                </m:f>
              </m:e>
            </m:nary>
          </m:den>
        </m:f>
        <m:r>
          <w:rPr>
            <w:rFonts w:ascii="Cambria Math" w:hAnsi="Cambria Math"/>
            <w:sz w:val="18"/>
            <w:szCs w:val="18"/>
          </w:rPr>
          <m:t>×100</m:t>
        </m:r>
      </m:oMath>
    </w:p>
    <w:p w:rsidR="00445B4E" w:rsidRPr="00B31833" w:rsidRDefault="00445B4E" w:rsidP="00D92F37">
      <w:pPr>
        <w:pStyle w:val="FootnoteText"/>
        <w:widowControl w:val="0"/>
        <w:tabs>
          <w:tab w:val="center" w:pos="4535"/>
        </w:tabs>
        <w:rPr>
          <w:sz w:val="18"/>
          <w:szCs w:val="18"/>
        </w:rPr>
      </w:pPr>
    </w:p>
  </w:footnote>
  <w:footnote w:id="19">
    <w:p w:rsidR="00445B4E" w:rsidRPr="00802A63" w:rsidRDefault="00445B4E" w:rsidP="00D92F37">
      <w:pPr>
        <w:pStyle w:val="FootnoteText"/>
        <w:rPr>
          <w:lang w:val="en-US"/>
        </w:rPr>
      </w:pPr>
      <w:r w:rsidRPr="00802A63">
        <w:rPr>
          <w:rStyle w:val="FootnoteReference"/>
          <w:sz w:val="18"/>
        </w:rPr>
        <w:footnoteRef/>
      </w:r>
      <w:r w:rsidRPr="00802A63">
        <w:rPr>
          <w:sz w:val="18"/>
        </w:rPr>
        <w:t xml:space="preserve"> MDR = model deviation ratio (unitless) = measured LD</w:t>
      </w:r>
      <w:r w:rsidRPr="00802A63">
        <w:rPr>
          <w:sz w:val="18"/>
          <w:vertAlign w:val="subscript"/>
        </w:rPr>
        <w:t>50</w:t>
      </w:r>
      <w:r w:rsidRPr="00802A63">
        <w:rPr>
          <w:sz w:val="18"/>
        </w:rPr>
        <w:t xml:space="preserve"> / predicted LD</w:t>
      </w:r>
      <w:r w:rsidRPr="00802A63">
        <w:rPr>
          <w:sz w:val="18"/>
          <w:vertAlign w:val="subscript"/>
        </w:rPr>
        <w:t>50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B4E" w:rsidRDefault="00445B4E" w:rsidP="00BF397C">
    <w:pPr>
      <w:pStyle w:val="APVMAOddHeade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B4E" w:rsidRDefault="0086416E" w:rsidP="00BF397C">
    <w:pPr>
      <w:pStyle w:val="APVMAOddHeader"/>
    </w:pPr>
    <w:sdt>
      <w:sdtPr>
        <w:id w:val="-1862505952"/>
        <w:docPartObj>
          <w:docPartGallery w:val="Watermarks"/>
          <w:docPartUnique/>
        </w:docPartObj>
      </w:sdtPr>
      <w:sdtEndPr/>
      <w:sdtContent>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4"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45B4E">
      <w:tab/>
    </w:r>
    <w:r w:rsidR="00445B4E">
      <w:rPr>
        <w:noProof/>
      </w:rPr>
      <w:fldChar w:fldCharType="begin"/>
    </w:r>
    <w:r w:rsidR="00445B4E">
      <w:rPr>
        <w:noProof/>
      </w:rPr>
      <w:instrText xml:space="preserve"> STYLEREF  "Heading 1,APVMA_H1" </w:instrText>
    </w:r>
    <w:r w:rsidR="00445B4E">
      <w:rPr>
        <w:noProof/>
      </w:rPr>
      <w:fldChar w:fldCharType="separate"/>
    </w:r>
    <w:r>
      <w:rPr>
        <w:noProof/>
      </w:rPr>
      <w:t>Environmental Risk Assessment</w:t>
    </w:r>
    <w:r w:rsidR="00445B4E">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B4E" w:rsidRDefault="00445B4E" w:rsidP="00BF397C">
    <w:pPr>
      <w:pStyle w:val="APVMAOddHeader"/>
    </w:pPr>
    <w:r>
      <w:tab/>
    </w:r>
    <w:r>
      <w:rPr>
        <w:noProof/>
      </w:rPr>
      <w:fldChar w:fldCharType="begin"/>
    </w:r>
    <w:r>
      <w:rPr>
        <w:noProof/>
      </w:rPr>
      <w:instrText xml:space="preserve"> STYLEREF  "Heading 1,APVMA_H1" </w:instrText>
    </w:r>
    <w:r>
      <w:rPr>
        <w:noProof/>
      </w:rPr>
      <w:fldChar w:fldCharType="separate"/>
    </w:r>
    <w:r w:rsidR="0086416E">
      <w:rPr>
        <w:noProof/>
      </w:rPr>
      <w:t>APpendix C – SOil Organisms</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B4E" w:rsidRDefault="00445B4E" w:rsidP="00BF397C">
    <w:pPr>
      <w:pStyle w:val="APVMAOddHeader"/>
    </w:pPr>
    <w:r>
      <w:tab/>
    </w:r>
    <w:r>
      <w:rPr>
        <w:noProof/>
      </w:rPr>
      <w:fldChar w:fldCharType="begin"/>
    </w:r>
    <w:r>
      <w:rPr>
        <w:noProof/>
      </w:rPr>
      <w:instrText xml:space="preserve"> STYLEREF  "Heading 1,APVMA_H1" </w:instrText>
    </w:r>
    <w:r>
      <w:rPr>
        <w:noProof/>
      </w:rPr>
      <w:fldChar w:fldCharType="separate"/>
    </w:r>
    <w:r w:rsidR="0086416E">
      <w:rPr>
        <w:noProof/>
      </w:rPr>
      <w:t>APpendix D – Non-Target Terrestrial Plants</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A041F2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63634C8"/>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68982DC2"/>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843442CA"/>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AAFAE24C"/>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6D12D088"/>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D438D8"/>
    <w:multiLevelType w:val="multilevel"/>
    <w:tmpl w:val="B3DEEF8E"/>
    <w:lvl w:ilvl="0">
      <w:start w:val="1"/>
      <w:numFmt w:val="decimal"/>
      <w:pStyle w:val="APVMAListNumbered"/>
      <w:lvlText w:val="%1."/>
      <w:lvlJc w:val="left"/>
      <w:pPr>
        <w:tabs>
          <w:tab w:val="num" w:pos="340"/>
        </w:tabs>
        <w:ind w:left="340" w:hanging="340"/>
      </w:pPr>
      <w:rPr>
        <w:rFonts w:hint="default"/>
        <w:b w:val="0"/>
        <w:i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C991AF7"/>
    <w:multiLevelType w:val="multilevel"/>
    <w:tmpl w:val="C03E849A"/>
    <w:lvl w:ilvl="0">
      <w:start w:val="1"/>
      <w:numFmt w:val="decimal"/>
      <w:pStyle w:val="NumberedHeading1"/>
      <w:lvlText w:val="%1"/>
      <w:lvlJc w:val="left"/>
      <w:pPr>
        <w:tabs>
          <w:tab w:val="num" w:pos="432"/>
        </w:tabs>
        <w:ind w:left="432" w:hanging="432"/>
      </w:pPr>
      <w:rPr>
        <w:rFonts w:hint="default"/>
      </w:rPr>
    </w:lvl>
    <w:lvl w:ilvl="1">
      <w:start w:val="1"/>
      <w:numFmt w:val="decimal"/>
      <w:pStyle w:val="NumberedHeading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A93846"/>
    <w:multiLevelType w:val="hybridMultilevel"/>
    <w:tmpl w:val="7A4C3A76"/>
    <w:lvl w:ilvl="0" w:tplc="0B90E58C">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F22731"/>
    <w:multiLevelType w:val="multilevel"/>
    <w:tmpl w:val="7714BEC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327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43CD51B3"/>
    <w:multiLevelType w:val="hybridMultilevel"/>
    <w:tmpl w:val="FB6CEE4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E2032F5"/>
    <w:multiLevelType w:val="hybridMultilevel"/>
    <w:tmpl w:val="5FEE8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6"/>
  </w:num>
  <w:num w:numId="4">
    <w:abstractNumId w:val="8"/>
  </w:num>
  <w:num w:numId="5">
    <w:abstractNumId w:val="12"/>
  </w:num>
  <w:num w:numId="6">
    <w:abstractNumId w:val="11"/>
  </w:num>
  <w:num w:numId="7">
    <w:abstractNumId w:val="13"/>
  </w:num>
  <w:num w:numId="8">
    <w:abstractNumId w:val="9"/>
  </w:num>
  <w:num w:numId="9">
    <w:abstractNumId w:val="5"/>
  </w:num>
  <w:num w:numId="10">
    <w:abstractNumId w:val="3"/>
  </w:num>
  <w:num w:numId="11">
    <w:abstractNumId w:val="2"/>
  </w:num>
  <w:num w:numId="12">
    <w:abstractNumId w:val="4"/>
  </w:num>
  <w:num w:numId="13">
    <w:abstractNumId w:val="1"/>
  </w:num>
  <w:num w:numId="14">
    <w:abstractNumId w:val="0"/>
  </w:num>
  <w:num w:numId="15">
    <w:abstractNumId w:val="14"/>
  </w:num>
  <w:num w:numId="16">
    <w:abstractNumId w:val="15"/>
  </w:num>
  <w:num w:numId="17">
    <w:abstractNumId w:val="11"/>
  </w:num>
  <w:num w:numId="18">
    <w:abstractNumId w:val="11"/>
  </w:num>
  <w:num w:numId="19">
    <w:abstractNumId w:val="1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5"/>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D0B"/>
    <w:rsid w:val="00010F0F"/>
    <w:rsid w:val="00014867"/>
    <w:rsid w:val="000178C7"/>
    <w:rsid w:val="0002139F"/>
    <w:rsid w:val="00036C76"/>
    <w:rsid w:val="00041EB5"/>
    <w:rsid w:val="0004384A"/>
    <w:rsid w:val="000440F9"/>
    <w:rsid w:val="0005039D"/>
    <w:rsid w:val="00053EE9"/>
    <w:rsid w:val="000653DB"/>
    <w:rsid w:val="00070AA8"/>
    <w:rsid w:val="00075639"/>
    <w:rsid w:val="00081C71"/>
    <w:rsid w:val="0008380C"/>
    <w:rsid w:val="00083EB4"/>
    <w:rsid w:val="000861A1"/>
    <w:rsid w:val="00094682"/>
    <w:rsid w:val="000947E9"/>
    <w:rsid w:val="0009778C"/>
    <w:rsid w:val="000B6F3D"/>
    <w:rsid w:val="000B7018"/>
    <w:rsid w:val="000C680D"/>
    <w:rsid w:val="000D0F99"/>
    <w:rsid w:val="000D3005"/>
    <w:rsid w:val="000E0493"/>
    <w:rsid w:val="000E0693"/>
    <w:rsid w:val="000E361F"/>
    <w:rsid w:val="000E3974"/>
    <w:rsid w:val="000E6D13"/>
    <w:rsid w:val="000F41B5"/>
    <w:rsid w:val="000F5DC9"/>
    <w:rsid w:val="000F76CC"/>
    <w:rsid w:val="00115FC7"/>
    <w:rsid w:val="001235D1"/>
    <w:rsid w:val="00124400"/>
    <w:rsid w:val="00127C22"/>
    <w:rsid w:val="001305DB"/>
    <w:rsid w:val="001323FC"/>
    <w:rsid w:val="00146A54"/>
    <w:rsid w:val="00147306"/>
    <w:rsid w:val="00153306"/>
    <w:rsid w:val="001547B8"/>
    <w:rsid w:val="00160E77"/>
    <w:rsid w:val="001624E1"/>
    <w:rsid w:val="00164917"/>
    <w:rsid w:val="00165BA1"/>
    <w:rsid w:val="00167D69"/>
    <w:rsid w:val="001700B8"/>
    <w:rsid w:val="001719FA"/>
    <w:rsid w:val="00176CB3"/>
    <w:rsid w:val="00181963"/>
    <w:rsid w:val="0019062A"/>
    <w:rsid w:val="0019136C"/>
    <w:rsid w:val="001A19FE"/>
    <w:rsid w:val="001A28CF"/>
    <w:rsid w:val="001B4715"/>
    <w:rsid w:val="001B6257"/>
    <w:rsid w:val="001C15F0"/>
    <w:rsid w:val="001C4567"/>
    <w:rsid w:val="001C526C"/>
    <w:rsid w:val="001C53CD"/>
    <w:rsid w:val="001C6C19"/>
    <w:rsid w:val="001C7C83"/>
    <w:rsid w:val="001D48BD"/>
    <w:rsid w:val="001D4F2D"/>
    <w:rsid w:val="001D72A9"/>
    <w:rsid w:val="001E2633"/>
    <w:rsid w:val="001E3F8B"/>
    <w:rsid w:val="001F14E8"/>
    <w:rsid w:val="001F1EB2"/>
    <w:rsid w:val="001F5750"/>
    <w:rsid w:val="0020207C"/>
    <w:rsid w:val="0020225E"/>
    <w:rsid w:val="002073D6"/>
    <w:rsid w:val="00207AA6"/>
    <w:rsid w:val="00207C34"/>
    <w:rsid w:val="00207EB7"/>
    <w:rsid w:val="00211815"/>
    <w:rsid w:val="00222E25"/>
    <w:rsid w:val="0022331B"/>
    <w:rsid w:val="00223BDE"/>
    <w:rsid w:val="00225D67"/>
    <w:rsid w:val="0022630D"/>
    <w:rsid w:val="00227410"/>
    <w:rsid w:val="00233146"/>
    <w:rsid w:val="002349D3"/>
    <w:rsid w:val="0023614D"/>
    <w:rsid w:val="00240481"/>
    <w:rsid w:val="002410E3"/>
    <w:rsid w:val="002426D0"/>
    <w:rsid w:val="002433A6"/>
    <w:rsid w:val="00244F6D"/>
    <w:rsid w:val="002469A4"/>
    <w:rsid w:val="00250E03"/>
    <w:rsid w:val="00251FE3"/>
    <w:rsid w:val="00255328"/>
    <w:rsid w:val="00262CC1"/>
    <w:rsid w:val="00267BFD"/>
    <w:rsid w:val="00270BAD"/>
    <w:rsid w:val="00271FAF"/>
    <w:rsid w:val="002720E6"/>
    <w:rsid w:val="00273381"/>
    <w:rsid w:val="00274EA4"/>
    <w:rsid w:val="00283DAD"/>
    <w:rsid w:val="0029032D"/>
    <w:rsid w:val="00291545"/>
    <w:rsid w:val="002A2AA6"/>
    <w:rsid w:val="002B7C6A"/>
    <w:rsid w:val="002C0619"/>
    <w:rsid w:val="002C2867"/>
    <w:rsid w:val="002D248C"/>
    <w:rsid w:val="002D3637"/>
    <w:rsid w:val="002D3BEA"/>
    <w:rsid w:val="002D4A96"/>
    <w:rsid w:val="002E20D4"/>
    <w:rsid w:val="002E2273"/>
    <w:rsid w:val="002E6C69"/>
    <w:rsid w:val="002F3F1B"/>
    <w:rsid w:val="002F5168"/>
    <w:rsid w:val="00306307"/>
    <w:rsid w:val="00315807"/>
    <w:rsid w:val="00320985"/>
    <w:rsid w:val="00325EE6"/>
    <w:rsid w:val="003316CD"/>
    <w:rsid w:val="003364E5"/>
    <w:rsid w:val="00337BC2"/>
    <w:rsid w:val="00360093"/>
    <w:rsid w:val="0036238C"/>
    <w:rsid w:val="00362B4E"/>
    <w:rsid w:val="00363769"/>
    <w:rsid w:val="003711EA"/>
    <w:rsid w:val="00372AB6"/>
    <w:rsid w:val="00372ACE"/>
    <w:rsid w:val="00374E81"/>
    <w:rsid w:val="0038300D"/>
    <w:rsid w:val="00393E25"/>
    <w:rsid w:val="00394776"/>
    <w:rsid w:val="003977CF"/>
    <w:rsid w:val="003A7674"/>
    <w:rsid w:val="003C4118"/>
    <w:rsid w:val="003C57B0"/>
    <w:rsid w:val="003C6A5E"/>
    <w:rsid w:val="003E0435"/>
    <w:rsid w:val="003E14E0"/>
    <w:rsid w:val="003E189E"/>
    <w:rsid w:val="003E724C"/>
    <w:rsid w:val="003E78FF"/>
    <w:rsid w:val="003F1AB3"/>
    <w:rsid w:val="003F2580"/>
    <w:rsid w:val="003F4EF5"/>
    <w:rsid w:val="003F531D"/>
    <w:rsid w:val="003F5DD2"/>
    <w:rsid w:val="00400161"/>
    <w:rsid w:val="0040025F"/>
    <w:rsid w:val="00402000"/>
    <w:rsid w:val="00403D94"/>
    <w:rsid w:val="00405565"/>
    <w:rsid w:val="0040653C"/>
    <w:rsid w:val="00406E91"/>
    <w:rsid w:val="00422480"/>
    <w:rsid w:val="00423B1B"/>
    <w:rsid w:val="0042652A"/>
    <w:rsid w:val="00431020"/>
    <w:rsid w:val="00431568"/>
    <w:rsid w:val="004323CA"/>
    <w:rsid w:val="0043369F"/>
    <w:rsid w:val="004341F3"/>
    <w:rsid w:val="004362FF"/>
    <w:rsid w:val="00442080"/>
    <w:rsid w:val="00442E84"/>
    <w:rsid w:val="00445B4E"/>
    <w:rsid w:val="0045397E"/>
    <w:rsid w:val="0045430E"/>
    <w:rsid w:val="00461DC6"/>
    <w:rsid w:val="00475C05"/>
    <w:rsid w:val="00483841"/>
    <w:rsid w:val="004868E0"/>
    <w:rsid w:val="00492E78"/>
    <w:rsid w:val="004A0B3D"/>
    <w:rsid w:val="004A0BFD"/>
    <w:rsid w:val="004A6F90"/>
    <w:rsid w:val="004B03B4"/>
    <w:rsid w:val="004B118E"/>
    <w:rsid w:val="004B3D44"/>
    <w:rsid w:val="004B6FFC"/>
    <w:rsid w:val="004C2883"/>
    <w:rsid w:val="004C2FB1"/>
    <w:rsid w:val="004C4099"/>
    <w:rsid w:val="004C688B"/>
    <w:rsid w:val="004D3501"/>
    <w:rsid w:val="004E222D"/>
    <w:rsid w:val="004E460C"/>
    <w:rsid w:val="004F04DD"/>
    <w:rsid w:val="004F2EA6"/>
    <w:rsid w:val="004F3CAC"/>
    <w:rsid w:val="004F49BD"/>
    <w:rsid w:val="00505F03"/>
    <w:rsid w:val="0051624F"/>
    <w:rsid w:val="00516845"/>
    <w:rsid w:val="0052068E"/>
    <w:rsid w:val="00520FEC"/>
    <w:rsid w:val="005211E0"/>
    <w:rsid w:val="00524D17"/>
    <w:rsid w:val="00525550"/>
    <w:rsid w:val="00527CF5"/>
    <w:rsid w:val="00531D0B"/>
    <w:rsid w:val="00533A61"/>
    <w:rsid w:val="00534232"/>
    <w:rsid w:val="0054066A"/>
    <w:rsid w:val="00542BF9"/>
    <w:rsid w:val="00551701"/>
    <w:rsid w:val="00557A45"/>
    <w:rsid w:val="0056695B"/>
    <w:rsid w:val="005737EB"/>
    <w:rsid w:val="00583D64"/>
    <w:rsid w:val="00584D74"/>
    <w:rsid w:val="00592515"/>
    <w:rsid w:val="00594CAE"/>
    <w:rsid w:val="00595DC3"/>
    <w:rsid w:val="00595E80"/>
    <w:rsid w:val="005976E1"/>
    <w:rsid w:val="005A5AB7"/>
    <w:rsid w:val="005A7468"/>
    <w:rsid w:val="005A7F3D"/>
    <w:rsid w:val="005B2937"/>
    <w:rsid w:val="005C41CD"/>
    <w:rsid w:val="005D1AFC"/>
    <w:rsid w:val="005D259E"/>
    <w:rsid w:val="005D5CFE"/>
    <w:rsid w:val="005E0DE0"/>
    <w:rsid w:val="005E79AC"/>
    <w:rsid w:val="005F3875"/>
    <w:rsid w:val="005F5737"/>
    <w:rsid w:val="005F693C"/>
    <w:rsid w:val="00600AF1"/>
    <w:rsid w:val="006010F5"/>
    <w:rsid w:val="00601187"/>
    <w:rsid w:val="006077CF"/>
    <w:rsid w:val="00613D6A"/>
    <w:rsid w:val="0061542F"/>
    <w:rsid w:val="00617D5E"/>
    <w:rsid w:val="0062051D"/>
    <w:rsid w:val="006232E2"/>
    <w:rsid w:val="0062556A"/>
    <w:rsid w:val="00626D5D"/>
    <w:rsid w:val="00627C66"/>
    <w:rsid w:val="00636497"/>
    <w:rsid w:val="00640C07"/>
    <w:rsid w:val="0064627F"/>
    <w:rsid w:val="0064669D"/>
    <w:rsid w:val="0065386E"/>
    <w:rsid w:val="00654802"/>
    <w:rsid w:val="0066126C"/>
    <w:rsid w:val="00671539"/>
    <w:rsid w:val="00673000"/>
    <w:rsid w:val="00675AEF"/>
    <w:rsid w:val="00687767"/>
    <w:rsid w:val="006931D6"/>
    <w:rsid w:val="006942B7"/>
    <w:rsid w:val="00694B89"/>
    <w:rsid w:val="006950FA"/>
    <w:rsid w:val="006A1207"/>
    <w:rsid w:val="006A774C"/>
    <w:rsid w:val="006B0DD4"/>
    <w:rsid w:val="006C1D82"/>
    <w:rsid w:val="006C20E3"/>
    <w:rsid w:val="006C2711"/>
    <w:rsid w:val="006C3F14"/>
    <w:rsid w:val="006C5859"/>
    <w:rsid w:val="006E0291"/>
    <w:rsid w:val="006E3CD4"/>
    <w:rsid w:val="006E4D62"/>
    <w:rsid w:val="006E5E9D"/>
    <w:rsid w:val="006F29E9"/>
    <w:rsid w:val="006F2ED0"/>
    <w:rsid w:val="0070569F"/>
    <w:rsid w:val="00705A88"/>
    <w:rsid w:val="00705AB6"/>
    <w:rsid w:val="00713E47"/>
    <w:rsid w:val="007315F3"/>
    <w:rsid w:val="00734E5E"/>
    <w:rsid w:val="00744E2F"/>
    <w:rsid w:val="00745666"/>
    <w:rsid w:val="00750857"/>
    <w:rsid w:val="00763008"/>
    <w:rsid w:val="00767242"/>
    <w:rsid w:val="00770B91"/>
    <w:rsid w:val="00770CCB"/>
    <w:rsid w:val="00772340"/>
    <w:rsid w:val="007736D1"/>
    <w:rsid w:val="007815BC"/>
    <w:rsid w:val="00783849"/>
    <w:rsid w:val="00783D3E"/>
    <w:rsid w:val="00784B97"/>
    <w:rsid w:val="0079558F"/>
    <w:rsid w:val="00796081"/>
    <w:rsid w:val="007A1857"/>
    <w:rsid w:val="007A3A45"/>
    <w:rsid w:val="007A4F21"/>
    <w:rsid w:val="007B0714"/>
    <w:rsid w:val="007B1E55"/>
    <w:rsid w:val="007B2AB9"/>
    <w:rsid w:val="007B5B7C"/>
    <w:rsid w:val="007B5D06"/>
    <w:rsid w:val="007B60CE"/>
    <w:rsid w:val="007C3578"/>
    <w:rsid w:val="007C49AA"/>
    <w:rsid w:val="007C7091"/>
    <w:rsid w:val="007D0815"/>
    <w:rsid w:val="007D53A5"/>
    <w:rsid w:val="007D6694"/>
    <w:rsid w:val="007E5F4F"/>
    <w:rsid w:val="007E5F71"/>
    <w:rsid w:val="007E758E"/>
    <w:rsid w:val="007F3083"/>
    <w:rsid w:val="00800383"/>
    <w:rsid w:val="00803069"/>
    <w:rsid w:val="00812FD3"/>
    <w:rsid w:val="00815B38"/>
    <w:rsid w:val="00816FA1"/>
    <w:rsid w:val="0082065E"/>
    <w:rsid w:val="008340BE"/>
    <w:rsid w:val="00834A85"/>
    <w:rsid w:val="00834E30"/>
    <w:rsid w:val="00841A47"/>
    <w:rsid w:val="0084310C"/>
    <w:rsid w:val="00844E6B"/>
    <w:rsid w:val="00847851"/>
    <w:rsid w:val="0085106E"/>
    <w:rsid w:val="00852791"/>
    <w:rsid w:val="0085360B"/>
    <w:rsid w:val="008604EB"/>
    <w:rsid w:val="0086416E"/>
    <w:rsid w:val="008673A3"/>
    <w:rsid w:val="00875CB3"/>
    <w:rsid w:val="00876090"/>
    <w:rsid w:val="008772FE"/>
    <w:rsid w:val="00877C51"/>
    <w:rsid w:val="00881EBC"/>
    <w:rsid w:val="00882CD7"/>
    <w:rsid w:val="00894983"/>
    <w:rsid w:val="008A07C1"/>
    <w:rsid w:val="008A27B0"/>
    <w:rsid w:val="008A3E2E"/>
    <w:rsid w:val="008A71CD"/>
    <w:rsid w:val="008A74CE"/>
    <w:rsid w:val="008B4AC2"/>
    <w:rsid w:val="008B6212"/>
    <w:rsid w:val="008B68EB"/>
    <w:rsid w:val="008B6CFE"/>
    <w:rsid w:val="008C4844"/>
    <w:rsid w:val="008C512E"/>
    <w:rsid w:val="008D2BB4"/>
    <w:rsid w:val="008D3BC9"/>
    <w:rsid w:val="008D63CD"/>
    <w:rsid w:val="008E0214"/>
    <w:rsid w:val="008E4CA1"/>
    <w:rsid w:val="0090310E"/>
    <w:rsid w:val="0090328F"/>
    <w:rsid w:val="00913F7A"/>
    <w:rsid w:val="0091620B"/>
    <w:rsid w:val="00916C67"/>
    <w:rsid w:val="0091787E"/>
    <w:rsid w:val="0092000B"/>
    <w:rsid w:val="00924EEB"/>
    <w:rsid w:val="00927985"/>
    <w:rsid w:val="00930190"/>
    <w:rsid w:val="009328B5"/>
    <w:rsid w:val="00933ABE"/>
    <w:rsid w:val="00934409"/>
    <w:rsid w:val="00936A08"/>
    <w:rsid w:val="0094229C"/>
    <w:rsid w:val="009436C3"/>
    <w:rsid w:val="00944511"/>
    <w:rsid w:val="00945895"/>
    <w:rsid w:val="009465AF"/>
    <w:rsid w:val="009506AD"/>
    <w:rsid w:val="009510C9"/>
    <w:rsid w:val="00960B52"/>
    <w:rsid w:val="0096629A"/>
    <w:rsid w:val="00966ED5"/>
    <w:rsid w:val="0096731C"/>
    <w:rsid w:val="00971C56"/>
    <w:rsid w:val="009750AE"/>
    <w:rsid w:val="0097556A"/>
    <w:rsid w:val="00992B99"/>
    <w:rsid w:val="00995945"/>
    <w:rsid w:val="00996BD1"/>
    <w:rsid w:val="009A49EF"/>
    <w:rsid w:val="009B1219"/>
    <w:rsid w:val="009B1983"/>
    <w:rsid w:val="009B5DD5"/>
    <w:rsid w:val="009B7E26"/>
    <w:rsid w:val="009C1535"/>
    <w:rsid w:val="009C6DF2"/>
    <w:rsid w:val="009D739D"/>
    <w:rsid w:val="009D795E"/>
    <w:rsid w:val="009E0165"/>
    <w:rsid w:val="009E03E3"/>
    <w:rsid w:val="009E576A"/>
    <w:rsid w:val="009F01F9"/>
    <w:rsid w:val="009F13E2"/>
    <w:rsid w:val="009F547E"/>
    <w:rsid w:val="00A06549"/>
    <w:rsid w:val="00A070EA"/>
    <w:rsid w:val="00A078C0"/>
    <w:rsid w:val="00A16A1A"/>
    <w:rsid w:val="00A179A7"/>
    <w:rsid w:val="00A22387"/>
    <w:rsid w:val="00A25D8B"/>
    <w:rsid w:val="00A32158"/>
    <w:rsid w:val="00A42C6B"/>
    <w:rsid w:val="00A45AAF"/>
    <w:rsid w:val="00A54903"/>
    <w:rsid w:val="00A61E15"/>
    <w:rsid w:val="00A665A1"/>
    <w:rsid w:val="00A67F75"/>
    <w:rsid w:val="00A71CFF"/>
    <w:rsid w:val="00A72C1E"/>
    <w:rsid w:val="00A73CAE"/>
    <w:rsid w:val="00A772D4"/>
    <w:rsid w:val="00A82434"/>
    <w:rsid w:val="00A8423E"/>
    <w:rsid w:val="00A90A50"/>
    <w:rsid w:val="00A92002"/>
    <w:rsid w:val="00A9464C"/>
    <w:rsid w:val="00A951C7"/>
    <w:rsid w:val="00A95F26"/>
    <w:rsid w:val="00AB3E47"/>
    <w:rsid w:val="00AC430E"/>
    <w:rsid w:val="00AD22A2"/>
    <w:rsid w:val="00AD3654"/>
    <w:rsid w:val="00AD7C40"/>
    <w:rsid w:val="00AE0CDA"/>
    <w:rsid w:val="00AE37AD"/>
    <w:rsid w:val="00AE4FE8"/>
    <w:rsid w:val="00AF16C6"/>
    <w:rsid w:val="00AF2038"/>
    <w:rsid w:val="00B018C9"/>
    <w:rsid w:val="00B0243B"/>
    <w:rsid w:val="00B04134"/>
    <w:rsid w:val="00B06AAB"/>
    <w:rsid w:val="00B118DF"/>
    <w:rsid w:val="00B119B9"/>
    <w:rsid w:val="00B17D00"/>
    <w:rsid w:val="00B213AC"/>
    <w:rsid w:val="00B30133"/>
    <w:rsid w:val="00B3199A"/>
    <w:rsid w:val="00B32B9D"/>
    <w:rsid w:val="00B33A51"/>
    <w:rsid w:val="00B36239"/>
    <w:rsid w:val="00B3627F"/>
    <w:rsid w:val="00B37578"/>
    <w:rsid w:val="00B4215B"/>
    <w:rsid w:val="00B46E0C"/>
    <w:rsid w:val="00B54F81"/>
    <w:rsid w:val="00B6253C"/>
    <w:rsid w:val="00B71BF5"/>
    <w:rsid w:val="00B72640"/>
    <w:rsid w:val="00B73A7A"/>
    <w:rsid w:val="00B759BF"/>
    <w:rsid w:val="00B76694"/>
    <w:rsid w:val="00B77677"/>
    <w:rsid w:val="00B81EDE"/>
    <w:rsid w:val="00B82D75"/>
    <w:rsid w:val="00B929F3"/>
    <w:rsid w:val="00B94D0A"/>
    <w:rsid w:val="00B9701C"/>
    <w:rsid w:val="00BB0F73"/>
    <w:rsid w:val="00BC144C"/>
    <w:rsid w:val="00BD0FBF"/>
    <w:rsid w:val="00BD29A7"/>
    <w:rsid w:val="00BD2B4A"/>
    <w:rsid w:val="00BE2401"/>
    <w:rsid w:val="00BF0784"/>
    <w:rsid w:val="00BF397C"/>
    <w:rsid w:val="00BF4E01"/>
    <w:rsid w:val="00C02AB6"/>
    <w:rsid w:val="00C04BC1"/>
    <w:rsid w:val="00C11AA2"/>
    <w:rsid w:val="00C15D1D"/>
    <w:rsid w:val="00C216D1"/>
    <w:rsid w:val="00C275EC"/>
    <w:rsid w:val="00C31162"/>
    <w:rsid w:val="00C3227A"/>
    <w:rsid w:val="00C32E6A"/>
    <w:rsid w:val="00C34B16"/>
    <w:rsid w:val="00C36349"/>
    <w:rsid w:val="00C50085"/>
    <w:rsid w:val="00C51999"/>
    <w:rsid w:val="00C54342"/>
    <w:rsid w:val="00C5596B"/>
    <w:rsid w:val="00C60419"/>
    <w:rsid w:val="00C66318"/>
    <w:rsid w:val="00C677DF"/>
    <w:rsid w:val="00C75875"/>
    <w:rsid w:val="00C76A4F"/>
    <w:rsid w:val="00C82491"/>
    <w:rsid w:val="00C8368D"/>
    <w:rsid w:val="00C84DA0"/>
    <w:rsid w:val="00C9415C"/>
    <w:rsid w:val="00CA444C"/>
    <w:rsid w:val="00CA60A7"/>
    <w:rsid w:val="00CA61AC"/>
    <w:rsid w:val="00CC0036"/>
    <w:rsid w:val="00CC0A80"/>
    <w:rsid w:val="00CC2C9F"/>
    <w:rsid w:val="00CC3019"/>
    <w:rsid w:val="00CC4BF1"/>
    <w:rsid w:val="00CD67D0"/>
    <w:rsid w:val="00CD7DB5"/>
    <w:rsid w:val="00CE351B"/>
    <w:rsid w:val="00D04820"/>
    <w:rsid w:val="00D04A41"/>
    <w:rsid w:val="00D11D88"/>
    <w:rsid w:val="00D12898"/>
    <w:rsid w:val="00D13F03"/>
    <w:rsid w:val="00D14B10"/>
    <w:rsid w:val="00D14C94"/>
    <w:rsid w:val="00D21E0A"/>
    <w:rsid w:val="00D25CA0"/>
    <w:rsid w:val="00D32EAD"/>
    <w:rsid w:val="00D32EB5"/>
    <w:rsid w:val="00D3334A"/>
    <w:rsid w:val="00D53B27"/>
    <w:rsid w:val="00D61B62"/>
    <w:rsid w:val="00D62F07"/>
    <w:rsid w:val="00D6399A"/>
    <w:rsid w:val="00D66C7E"/>
    <w:rsid w:val="00D70C02"/>
    <w:rsid w:val="00D74A8C"/>
    <w:rsid w:val="00D75F04"/>
    <w:rsid w:val="00D80B7D"/>
    <w:rsid w:val="00D84D86"/>
    <w:rsid w:val="00D85C7A"/>
    <w:rsid w:val="00D92F37"/>
    <w:rsid w:val="00D97764"/>
    <w:rsid w:val="00DA0D79"/>
    <w:rsid w:val="00DA6974"/>
    <w:rsid w:val="00DB1BFE"/>
    <w:rsid w:val="00DC7C01"/>
    <w:rsid w:val="00DD0A43"/>
    <w:rsid w:val="00DD2882"/>
    <w:rsid w:val="00DE0F11"/>
    <w:rsid w:val="00DE79DA"/>
    <w:rsid w:val="00DF115D"/>
    <w:rsid w:val="00DF6416"/>
    <w:rsid w:val="00E00206"/>
    <w:rsid w:val="00E057DF"/>
    <w:rsid w:val="00E12373"/>
    <w:rsid w:val="00E14579"/>
    <w:rsid w:val="00E1457F"/>
    <w:rsid w:val="00E203F4"/>
    <w:rsid w:val="00E2584D"/>
    <w:rsid w:val="00E42E30"/>
    <w:rsid w:val="00E44270"/>
    <w:rsid w:val="00E52F53"/>
    <w:rsid w:val="00E611BD"/>
    <w:rsid w:val="00E6237D"/>
    <w:rsid w:val="00E644D2"/>
    <w:rsid w:val="00E65937"/>
    <w:rsid w:val="00E6739C"/>
    <w:rsid w:val="00E6742A"/>
    <w:rsid w:val="00E75169"/>
    <w:rsid w:val="00E76A1B"/>
    <w:rsid w:val="00E8059E"/>
    <w:rsid w:val="00E81BC5"/>
    <w:rsid w:val="00E927D0"/>
    <w:rsid w:val="00EA08EB"/>
    <w:rsid w:val="00EA5AAD"/>
    <w:rsid w:val="00EB5897"/>
    <w:rsid w:val="00EB676F"/>
    <w:rsid w:val="00EB6B80"/>
    <w:rsid w:val="00EB7D32"/>
    <w:rsid w:val="00EC73CC"/>
    <w:rsid w:val="00ED61DC"/>
    <w:rsid w:val="00ED7B24"/>
    <w:rsid w:val="00EE18E8"/>
    <w:rsid w:val="00EE1D18"/>
    <w:rsid w:val="00EE1F64"/>
    <w:rsid w:val="00EE717D"/>
    <w:rsid w:val="00EF1E10"/>
    <w:rsid w:val="00EF45FD"/>
    <w:rsid w:val="00EF7C21"/>
    <w:rsid w:val="00EF7E62"/>
    <w:rsid w:val="00F021F0"/>
    <w:rsid w:val="00F0716A"/>
    <w:rsid w:val="00F1794F"/>
    <w:rsid w:val="00F25E18"/>
    <w:rsid w:val="00F26D80"/>
    <w:rsid w:val="00F26D8C"/>
    <w:rsid w:val="00F27792"/>
    <w:rsid w:val="00F33565"/>
    <w:rsid w:val="00F34875"/>
    <w:rsid w:val="00F357B3"/>
    <w:rsid w:val="00F35FEF"/>
    <w:rsid w:val="00F400A7"/>
    <w:rsid w:val="00F44946"/>
    <w:rsid w:val="00F503DA"/>
    <w:rsid w:val="00F55461"/>
    <w:rsid w:val="00F57E01"/>
    <w:rsid w:val="00F623DE"/>
    <w:rsid w:val="00F62C7E"/>
    <w:rsid w:val="00F639EB"/>
    <w:rsid w:val="00F6422D"/>
    <w:rsid w:val="00F64992"/>
    <w:rsid w:val="00F70054"/>
    <w:rsid w:val="00F720B6"/>
    <w:rsid w:val="00F74AB5"/>
    <w:rsid w:val="00F75E1E"/>
    <w:rsid w:val="00F83A0B"/>
    <w:rsid w:val="00F84412"/>
    <w:rsid w:val="00F87E60"/>
    <w:rsid w:val="00F91159"/>
    <w:rsid w:val="00F95055"/>
    <w:rsid w:val="00FA0B32"/>
    <w:rsid w:val="00FA11CC"/>
    <w:rsid w:val="00FA2705"/>
    <w:rsid w:val="00FB11B9"/>
    <w:rsid w:val="00FB1333"/>
    <w:rsid w:val="00FB2F6F"/>
    <w:rsid w:val="00FB32A1"/>
    <w:rsid w:val="00FB34FC"/>
    <w:rsid w:val="00FC44FC"/>
    <w:rsid w:val="00FC47AA"/>
    <w:rsid w:val="00FC5CFD"/>
    <w:rsid w:val="00FC7424"/>
    <w:rsid w:val="00FC7431"/>
    <w:rsid w:val="00FC7D59"/>
    <w:rsid w:val="00FC7F80"/>
    <w:rsid w:val="00FD00CE"/>
    <w:rsid w:val="00FD0D07"/>
    <w:rsid w:val="00FD1139"/>
    <w:rsid w:val="00FD1FFE"/>
    <w:rsid w:val="00FD6163"/>
    <w:rsid w:val="00FE0F18"/>
    <w:rsid w:val="00FF384F"/>
    <w:rsid w:val="00FF4199"/>
    <w:rsid w:val="00FF52E2"/>
    <w:rsid w:val="00FF5D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15:docId w15:val="{E98B1879-C5B3-40A0-9C14-C5395322F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4"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4"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rsid w:val="007315F3"/>
    <w:pPr>
      <w:spacing w:after="0" w:line="240" w:lineRule="atLeast"/>
    </w:pPr>
    <w:rPr>
      <w:rFonts w:ascii="Arial" w:eastAsia="Times New Roman" w:hAnsi="Arial" w:cs="Times New Roman"/>
      <w:sz w:val="20"/>
      <w:szCs w:val="24"/>
    </w:rPr>
  </w:style>
  <w:style w:type="paragraph" w:styleId="Heading1">
    <w:name w:val="heading 1"/>
    <w:aliases w:val="APVMA_H1"/>
    <w:basedOn w:val="NormalText"/>
    <w:next w:val="NormalText"/>
    <w:link w:val="Heading1Char"/>
    <w:qFormat/>
    <w:rsid w:val="00CE351B"/>
    <w:pPr>
      <w:keepNext/>
      <w:keepLines/>
      <w:pageBreakBefore/>
      <w:numPr>
        <w:numId w:val="7"/>
      </w:numPr>
      <w:spacing w:before="0" w:line="240" w:lineRule="auto"/>
      <w:outlineLvl w:val="0"/>
    </w:pPr>
    <w:rPr>
      <w:rFonts w:ascii="Franklin Gothic Medium" w:hAnsi="Franklin Gothic Medium"/>
      <w:caps/>
      <w:color w:val="53284F"/>
      <w:sz w:val="36"/>
      <w:szCs w:val="32"/>
    </w:rPr>
  </w:style>
  <w:style w:type="paragraph" w:styleId="Heading2">
    <w:name w:val="heading 2"/>
    <w:basedOn w:val="Heading1"/>
    <w:next w:val="NormalText"/>
    <w:link w:val="Heading2Char"/>
    <w:qFormat/>
    <w:rsid w:val="00233146"/>
    <w:pPr>
      <w:pageBreakBefore w:val="0"/>
      <w:numPr>
        <w:ilvl w:val="1"/>
      </w:numPr>
      <w:spacing w:before="240" w:line="320" w:lineRule="exact"/>
      <w:outlineLvl w:val="1"/>
    </w:pPr>
    <w:rPr>
      <w:caps w:val="0"/>
      <w:sz w:val="28"/>
      <w:szCs w:val="28"/>
    </w:rPr>
  </w:style>
  <w:style w:type="paragraph" w:styleId="Heading3">
    <w:name w:val="heading 3"/>
    <w:basedOn w:val="Heading2"/>
    <w:next w:val="NormalText"/>
    <w:link w:val="Heading3Char"/>
    <w:qFormat/>
    <w:rsid w:val="001A19FE"/>
    <w:pPr>
      <w:numPr>
        <w:ilvl w:val="2"/>
      </w:numPr>
      <w:spacing w:line="280" w:lineRule="exact"/>
      <w:outlineLvl w:val="2"/>
    </w:pPr>
    <w:rPr>
      <w:sz w:val="24"/>
      <w:szCs w:val="26"/>
    </w:rPr>
  </w:style>
  <w:style w:type="paragraph" w:styleId="Heading4">
    <w:name w:val="heading 4"/>
    <w:aliases w:val="APVMA_H4"/>
    <w:basedOn w:val="Heading3"/>
    <w:next w:val="NormalText"/>
    <w:link w:val="Heading4Char"/>
    <w:qFormat/>
    <w:rsid w:val="00D32EB5"/>
    <w:pPr>
      <w:numPr>
        <w:ilvl w:val="3"/>
      </w:numPr>
      <w:spacing w:before="280" w:line="260" w:lineRule="exact"/>
      <w:outlineLvl w:val="3"/>
    </w:pPr>
    <w:rPr>
      <w:i/>
      <w:color w:val="auto"/>
      <w:sz w:val="22"/>
      <w:szCs w:val="28"/>
    </w:rPr>
  </w:style>
  <w:style w:type="paragraph" w:styleId="Heading5">
    <w:name w:val="heading 5"/>
    <w:aliases w:val="APVMA_H5"/>
    <w:basedOn w:val="Heading4"/>
    <w:next w:val="NormalText"/>
    <w:link w:val="Heading5Char"/>
    <w:uiPriority w:val="9"/>
    <w:qFormat/>
    <w:rsid w:val="00531D0B"/>
    <w:pPr>
      <w:numPr>
        <w:ilvl w:val="4"/>
      </w:numPr>
      <w:spacing w:before="260"/>
      <w:outlineLvl w:val="4"/>
    </w:pPr>
    <w:rPr>
      <w:i w:val="0"/>
      <w:caps/>
      <w:sz w:val="21"/>
      <w:szCs w:val="26"/>
    </w:rPr>
  </w:style>
  <w:style w:type="paragraph" w:styleId="Heading6">
    <w:name w:val="heading 6"/>
    <w:basedOn w:val="Normal"/>
    <w:next w:val="Normal"/>
    <w:link w:val="Heading6Char"/>
    <w:uiPriority w:val="9"/>
    <w:semiHidden/>
    <w:unhideWhenUsed/>
    <w:qFormat/>
    <w:rsid w:val="0085360B"/>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44E2F"/>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5360B"/>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0F99"/>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BF397C"/>
    <w:pPr>
      <w:suppressAutoHyphens/>
      <w:spacing w:before="240" w:after="240" w:line="264" w:lineRule="auto"/>
    </w:pPr>
    <w:rPr>
      <w:rFonts w:asciiTheme="minorHAnsi" w:hAnsiTheme="minorHAnsi" w:cs="Arial"/>
      <w:kern w:val="20"/>
      <w:sz w:val="22"/>
      <w:u w:color="000000"/>
    </w:rPr>
  </w:style>
  <w:style w:type="character" w:customStyle="1" w:styleId="Heading1Char">
    <w:name w:val="Heading 1 Char"/>
    <w:aliases w:val="APVMA_H1 Char"/>
    <w:basedOn w:val="DefaultParagraphFont"/>
    <w:link w:val="Heading1"/>
    <w:rsid w:val="00CE351B"/>
    <w:rPr>
      <w:rFonts w:ascii="Franklin Gothic Medium" w:eastAsia="Times New Roman" w:hAnsi="Franklin Gothic Medium" w:cs="Arial"/>
      <w:caps/>
      <w:color w:val="53284F"/>
      <w:kern w:val="20"/>
      <w:sz w:val="36"/>
      <w:szCs w:val="32"/>
      <w:u w:color="000000"/>
    </w:rPr>
  </w:style>
  <w:style w:type="character" w:customStyle="1" w:styleId="Heading2Char">
    <w:name w:val="Heading 2 Char"/>
    <w:basedOn w:val="DefaultParagraphFont"/>
    <w:link w:val="Heading2"/>
    <w:rsid w:val="00233146"/>
    <w:rPr>
      <w:rFonts w:ascii="Franklin Gothic Medium" w:eastAsia="Times New Roman" w:hAnsi="Franklin Gothic Medium" w:cs="Arial"/>
      <w:color w:val="53284F"/>
      <w:kern w:val="20"/>
      <w:sz w:val="28"/>
      <w:szCs w:val="28"/>
      <w:u w:color="000000"/>
    </w:rPr>
  </w:style>
  <w:style w:type="character" w:customStyle="1" w:styleId="Heading3Char">
    <w:name w:val="Heading 3 Char"/>
    <w:basedOn w:val="DefaultParagraphFont"/>
    <w:link w:val="Heading3"/>
    <w:rsid w:val="001A19FE"/>
    <w:rPr>
      <w:rFonts w:ascii="Franklin Gothic Medium" w:eastAsia="Times New Roman" w:hAnsi="Franklin Gothic Medium" w:cs="Arial"/>
      <w:color w:val="53284F"/>
      <w:kern w:val="20"/>
      <w:sz w:val="24"/>
      <w:szCs w:val="26"/>
      <w:u w:color="000000"/>
    </w:rPr>
  </w:style>
  <w:style w:type="character" w:customStyle="1" w:styleId="Heading4Char">
    <w:name w:val="Heading 4 Char"/>
    <w:aliases w:val="APVMA_H4 Char"/>
    <w:basedOn w:val="DefaultParagraphFont"/>
    <w:link w:val="Heading4"/>
    <w:rsid w:val="00D32EB5"/>
    <w:rPr>
      <w:rFonts w:ascii="Franklin Gothic Medium" w:eastAsia="Times New Roman" w:hAnsi="Franklin Gothic Medium" w:cs="Arial"/>
      <w:i/>
      <w:kern w:val="20"/>
      <w:szCs w:val="28"/>
      <w:u w:color="000000"/>
    </w:rPr>
  </w:style>
  <w:style w:type="character" w:customStyle="1" w:styleId="Heading5Char">
    <w:name w:val="Heading 5 Char"/>
    <w:aliases w:val="APVMA_H5 Char"/>
    <w:basedOn w:val="DefaultParagraphFont"/>
    <w:link w:val="Heading5"/>
    <w:uiPriority w:val="9"/>
    <w:rsid w:val="00531D0B"/>
    <w:rPr>
      <w:rFonts w:ascii="Franklin Gothic Medium" w:eastAsia="Times New Roman" w:hAnsi="Franklin Gothic Medium" w:cs="Arial"/>
      <w:caps/>
      <w:kern w:val="20"/>
      <w:sz w:val="21"/>
      <w:szCs w:val="26"/>
      <w:u w:color="000000"/>
    </w:rPr>
  </w:style>
  <w:style w:type="character" w:customStyle="1" w:styleId="Heading6Char">
    <w:name w:val="Heading 6 Char"/>
    <w:basedOn w:val="DefaultParagraphFont"/>
    <w:link w:val="Heading6"/>
    <w:uiPriority w:val="9"/>
    <w:semiHidden/>
    <w:rsid w:val="0085360B"/>
    <w:rPr>
      <w:rFonts w:asciiTheme="majorHAnsi" w:eastAsiaTheme="majorEastAsia" w:hAnsiTheme="majorHAnsi" w:cstheme="majorBidi"/>
      <w:color w:val="1F4D78" w:themeColor="accent1" w:themeShade="7F"/>
      <w:sz w:val="20"/>
      <w:szCs w:val="24"/>
    </w:rPr>
  </w:style>
  <w:style w:type="character" w:customStyle="1" w:styleId="Heading7Char">
    <w:name w:val="Heading 7 Char"/>
    <w:basedOn w:val="DefaultParagraphFont"/>
    <w:link w:val="Heading7"/>
    <w:uiPriority w:val="9"/>
    <w:semiHidden/>
    <w:rsid w:val="00744E2F"/>
    <w:rPr>
      <w:rFonts w:asciiTheme="majorHAnsi" w:eastAsiaTheme="majorEastAsia" w:hAnsiTheme="majorHAnsi" w:cstheme="majorBidi"/>
      <w:i/>
      <w:iCs/>
      <w:color w:val="1F4D78" w:themeColor="accent1" w:themeShade="7F"/>
      <w:sz w:val="20"/>
      <w:szCs w:val="24"/>
    </w:rPr>
  </w:style>
  <w:style w:type="character" w:customStyle="1" w:styleId="Heading8Char">
    <w:name w:val="Heading 8 Char"/>
    <w:basedOn w:val="DefaultParagraphFont"/>
    <w:link w:val="Heading8"/>
    <w:uiPriority w:val="9"/>
    <w:semiHidden/>
    <w:rsid w:val="0085360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0F99"/>
    <w:rPr>
      <w:rFonts w:asciiTheme="majorHAnsi" w:eastAsiaTheme="majorEastAsia" w:hAnsiTheme="majorHAnsi" w:cstheme="majorBidi"/>
      <w:i/>
      <w:iCs/>
      <w:color w:val="272727" w:themeColor="text1" w:themeTint="D8"/>
      <w:sz w:val="21"/>
      <w:szCs w:val="21"/>
    </w:rPr>
  </w:style>
  <w:style w:type="paragraph" w:styleId="TOC1">
    <w:name w:val="toc 1"/>
    <w:aliases w:val="APVMA_TOC 1"/>
    <w:basedOn w:val="NormalText"/>
    <w:next w:val="TOC2"/>
    <w:uiPriority w:val="39"/>
    <w:rsid w:val="00531D0B"/>
    <w:pPr>
      <w:pBdr>
        <w:top w:val="single" w:sz="4" w:space="1" w:color="auto"/>
      </w:pBdr>
      <w:tabs>
        <w:tab w:val="right" w:pos="9639"/>
      </w:tabs>
      <w:spacing w:before="180" w:after="60"/>
      <w:ind w:left="454" w:hanging="454"/>
    </w:pPr>
    <w:rPr>
      <w:rFonts w:ascii="Trebuchet MS" w:hAnsi="Trebuchet MS"/>
      <w:b/>
      <w:bCs/>
      <w:caps/>
      <w:noProof/>
      <w:color w:val="53284F"/>
      <w:szCs w:val="30"/>
    </w:rPr>
  </w:style>
  <w:style w:type="paragraph" w:styleId="TOC2">
    <w:name w:val="toc 2"/>
    <w:aliases w:val="APVMA_TOC 2"/>
    <w:basedOn w:val="Normal"/>
    <w:uiPriority w:val="39"/>
    <w:rsid w:val="00531D0B"/>
    <w:pPr>
      <w:tabs>
        <w:tab w:val="right" w:pos="9639"/>
      </w:tabs>
      <w:spacing w:before="60" w:line="280" w:lineRule="exact"/>
      <w:ind w:left="454" w:hanging="454"/>
    </w:pPr>
    <w:rPr>
      <w:b/>
      <w:noProof/>
      <w:color w:val="000000"/>
      <w:sz w:val="18"/>
    </w:rPr>
  </w:style>
  <w:style w:type="paragraph" w:styleId="FootnoteText">
    <w:name w:val="footnote text"/>
    <w:aliases w:val="APVMA_Footnote"/>
    <w:basedOn w:val="NormalText"/>
    <w:link w:val="FootnoteTextChar"/>
    <w:uiPriority w:val="99"/>
    <w:qFormat/>
    <w:rsid w:val="00945895"/>
    <w:pPr>
      <w:spacing w:before="0" w:after="20" w:line="240" w:lineRule="auto"/>
      <w:ind w:left="227" w:hanging="227"/>
    </w:pPr>
    <w:rPr>
      <w:spacing w:val="6"/>
      <w:sz w:val="20"/>
      <w:szCs w:val="20"/>
    </w:rPr>
  </w:style>
  <w:style w:type="character" w:customStyle="1" w:styleId="FootnoteTextChar">
    <w:name w:val="Footnote Text Char"/>
    <w:aliases w:val="APVMA_Footnote Char"/>
    <w:basedOn w:val="DefaultParagraphFont"/>
    <w:link w:val="FootnoteText"/>
    <w:uiPriority w:val="99"/>
    <w:rsid w:val="00945895"/>
    <w:rPr>
      <w:rFonts w:eastAsia="Times New Roman" w:cs="Arial"/>
      <w:spacing w:val="6"/>
      <w:kern w:val="20"/>
      <w:sz w:val="20"/>
      <w:szCs w:val="20"/>
      <w:u w:color="000000"/>
    </w:rPr>
  </w:style>
  <w:style w:type="paragraph" w:styleId="TOC3">
    <w:name w:val="toc 3"/>
    <w:aliases w:val="APVMA_TOC 3"/>
    <w:basedOn w:val="Normal"/>
    <w:uiPriority w:val="39"/>
    <w:rsid w:val="00531D0B"/>
    <w:pPr>
      <w:tabs>
        <w:tab w:val="right" w:pos="9639"/>
      </w:tabs>
      <w:spacing w:before="40" w:line="240" w:lineRule="exact"/>
      <w:ind w:left="454"/>
    </w:pPr>
    <w:rPr>
      <w:noProof/>
      <w:sz w:val="18"/>
    </w:rPr>
  </w:style>
  <w:style w:type="character" w:styleId="Hyperlink">
    <w:name w:val="Hyperlink"/>
    <w:uiPriority w:val="99"/>
    <w:rsid w:val="00531D0B"/>
    <w:rPr>
      <w:color w:val="0000FF"/>
      <w:u w:val="single"/>
    </w:rPr>
  </w:style>
  <w:style w:type="paragraph" w:customStyle="1" w:styleId="APVMATableBullet">
    <w:name w:val="APVMA_TableBullet"/>
    <w:basedOn w:val="APVMATableText"/>
    <w:uiPriority w:val="4"/>
    <w:rsid w:val="00531D0B"/>
    <w:pPr>
      <w:numPr>
        <w:numId w:val="5"/>
      </w:numPr>
      <w:spacing w:after="60"/>
    </w:pPr>
    <w:rPr>
      <w:color w:val="000000" w:themeColor="text1"/>
    </w:rPr>
  </w:style>
  <w:style w:type="paragraph" w:customStyle="1" w:styleId="APVMATableText">
    <w:name w:val="APVMA_TableText"/>
    <w:basedOn w:val="NormalText"/>
    <w:qFormat/>
    <w:rsid w:val="00325EE6"/>
    <w:pPr>
      <w:spacing w:before="60" w:after="120" w:line="240" w:lineRule="auto"/>
    </w:pPr>
    <w:rPr>
      <w:rFonts w:ascii="Franklin Gothic Book" w:hAnsi="Franklin Gothic Book"/>
      <w:spacing w:val="6"/>
    </w:rPr>
  </w:style>
  <w:style w:type="paragraph" w:customStyle="1" w:styleId="APVMATableHead">
    <w:name w:val="APVMA_TableHead"/>
    <w:basedOn w:val="APVMATableText"/>
    <w:uiPriority w:val="4"/>
    <w:qFormat/>
    <w:rsid w:val="00EE18E8"/>
  </w:style>
  <w:style w:type="paragraph" w:customStyle="1" w:styleId="APVMAListNumbered">
    <w:name w:val="APVMA_List_Numbered"/>
    <w:basedOn w:val="NormalText"/>
    <w:uiPriority w:val="4"/>
    <w:qFormat/>
    <w:rsid w:val="00531D0B"/>
    <w:pPr>
      <w:numPr>
        <w:numId w:val="4"/>
      </w:numPr>
    </w:pPr>
  </w:style>
  <w:style w:type="paragraph" w:styleId="Footer">
    <w:name w:val="footer"/>
    <w:basedOn w:val="Normal"/>
    <w:link w:val="FooterChar"/>
    <w:uiPriority w:val="99"/>
    <w:rsid w:val="00531D0B"/>
    <w:pPr>
      <w:tabs>
        <w:tab w:val="center" w:pos="4153"/>
        <w:tab w:val="right" w:pos="8306"/>
      </w:tabs>
    </w:pPr>
  </w:style>
  <w:style w:type="character" w:customStyle="1" w:styleId="FooterChar">
    <w:name w:val="Footer Char"/>
    <w:basedOn w:val="DefaultParagraphFont"/>
    <w:link w:val="Footer"/>
    <w:uiPriority w:val="99"/>
    <w:rsid w:val="00531D0B"/>
    <w:rPr>
      <w:rFonts w:ascii="Arial" w:eastAsia="Times New Roman" w:hAnsi="Arial" w:cs="Times New Roman"/>
      <w:sz w:val="20"/>
      <w:szCs w:val="24"/>
    </w:rPr>
  </w:style>
  <w:style w:type="character" w:styleId="PageNumber">
    <w:name w:val="page number"/>
    <w:aliases w:val="APVMA Page Number"/>
    <w:semiHidden/>
    <w:rsid w:val="00531D0B"/>
    <w:rPr>
      <w:rFonts w:ascii="Arial" w:hAnsi="Arial"/>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rsid w:val="00531D0B"/>
    <w:pPr>
      <w:spacing w:before="0" w:after="0" w:line="280" w:lineRule="atLeast"/>
    </w:pPr>
    <w:rPr>
      <w:i/>
      <w:spacing w:val="6"/>
      <w:sz w:val="16"/>
    </w:rPr>
  </w:style>
  <w:style w:type="paragraph" w:customStyle="1" w:styleId="APVMAEvenHeader">
    <w:name w:val="APVMA_Even_Header"/>
    <w:basedOn w:val="APVMAOddHeader"/>
    <w:uiPriority w:val="4"/>
    <w:rsid w:val="00531D0B"/>
    <w:pPr>
      <w:tabs>
        <w:tab w:val="clear" w:pos="9072"/>
        <w:tab w:val="left" w:pos="567"/>
      </w:tabs>
      <w:ind w:left="567" w:hanging="567"/>
    </w:pPr>
  </w:style>
  <w:style w:type="paragraph" w:customStyle="1" w:styleId="APVMAOddHeader">
    <w:name w:val="APVMA_Odd_Header"/>
    <w:basedOn w:val="NormalText"/>
    <w:uiPriority w:val="4"/>
    <w:rsid w:val="00B3627F"/>
    <w:pPr>
      <w:pBdr>
        <w:bottom w:val="single" w:sz="4" w:space="1" w:color="auto"/>
      </w:pBdr>
      <w:tabs>
        <w:tab w:val="right" w:pos="9072"/>
        <w:tab w:val="right" w:pos="9638"/>
      </w:tabs>
      <w:spacing w:before="0" w:after="0" w:line="200" w:lineRule="exact"/>
      <w:jc w:val="right"/>
    </w:pPr>
    <w:rPr>
      <w:b/>
      <w:bCs/>
      <w:caps/>
      <w:color w:val="53284F"/>
      <w:szCs w:val="18"/>
    </w:rPr>
  </w:style>
  <w:style w:type="paragraph" w:customStyle="1" w:styleId="Bullet1">
    <w:name w:val="Bullet1"/>
    <w:basedOn w:val="NormalText"/>
    <w:uiPriority w:val="4"/>
    <w:qFormat/>
    <w:rsid w:val="00BF397C"/>
    <w:pPr>
      <w:numPr>
        <w:numId w:val="6"/>
      </w:numPr>
      <w:spacing w:before="120" w:after="120"/>
    </w:pPr>
  </w:style>
  <w:style w:type="paragraph" w:customStyle="1" w:styleId="APVMATableHeadRight">
    <w:name w:val="APVMA_TableHead_Right"/>
    <w:basedOn w:val="APVMATableHead"/>
    <w:uiPriority w:val="4"/>
    <w:rsid w:val="00531D0B"/>
    <w:pPr>
      <w:jc w:val="right"/>
    </w:pPr>
  </w:style>
  <w:style w:type="paragraph" w:customStyle="1" w:styleId="Bullet2">
    <w:name w:val="Bullet2"/>
    <w:basedOn w:val="Bullet1"/>
    <w:uiPriority w:val="4"/>
    <w:qFormat/>
    <w:rsid w:val="00531D0B"/>
    <w:pPr>
      <w:numPr>
        <w:numId w:val="1"/>
      </w:numPr>
      <w:spacing w:before="60"/>
    </w:pPr>
  </w:style>
  <w:style w:type="character" w:styleId="FootnoteReference">
    <w:name w:val="footnote reference"/>
    <w:uiPriority w:val="99"/>
    <w:qFormat/>
    <w:rsid w:val="00945895"/>
    <w:rPr>
      <w:rFonts w:ascii="Calibri" w:hAnsi="Calibri"/>
      <w:caps w:val="0"/>
      <w:smallCaps w:val="0"/>
      <w:strike w:val="0"/>
      <w:dstrike w:val="0"/>
      <w:vanish w:val="0"/>
      <w:sz w:val="20"/>
      <w:vertAlign w:val="superscript"/>
    </w:rPr>
  </w:style>
  <w:style w:type="paragraph" w:customStyle="1" w:styleId="APVMAQuote">
    <w:name w:val="APVMA_Quote"/>
    <w:basedOn w:val="NormalText"/>
    <w:uiPriority w:val="4"/>
    <w:rsid w:val="00531D0B"/>
    <w:pPr>
      <w:ind w:left="567" w:right="567"/>
    </w:pPr>
  </w:style>
  <w:style w:type="paragraph" w:customStyle="1" w:styleId="APVMATableTextRight">
    <w:name w:val="APVMA_TableText_Right"/>
    <w:basedOn w:val="APVMATableText"/>
    <w:uiPriority w:val="4"/>
    <w:rsid w:val="00531D0B"/>
    <w:pPr>
      <w:jc w:val="right"/>
    </w:pPr>
  </w:style>
  <w:style w:type="paragraph" w:styleId="Caption">
    <w:name w:val="caption"/>
    <w:aliases w:val="APVMA_Caption,o,1,Beschriftung Appendix,Légende Car Car Car,Beschriftung Appendix Car Car Car,Légende Car Car Car Car,Légende Car1 Car Car,Beschriftung Appendix Car Car Car Car,Beschriftung Appendix Car1 Car Car,Légende Car1,Légende Car Car1"/>
    <w:basedOn w:val="Normal"/>
    <w:next w:val="NormalText"/>
    <w:link w:val="CaptionChar"/>
    <w:qFormat/>
    <w:rsid w:val="00EE18E8"/>
    <w:pPr>
      <w:keepNext/>
      <w:keepLines/>
      <w:tabs>
        <w:tab w:val="left" w:pos="907"/>
      </w:tabs>
      <w:spacing w:before="240" w:after="120" w:line="280" w:lineRule="exact"/>
    </w:pPr>
    <w:rPr>
      <w:rFonts w:ascii="Franklin Gothic Medium" w:hAnsi="Franklin Gothic Medium"/>
      <w:i/>
      <w:color w:val="53284F"/>
    </w:rPr>
  </w:style>
  <w:style w:type="character" w:customStyle="1" w:styleId="CaptionChar">
    <w:name w:val="Caption Char"/>
    <w:aliases w:val="APVMA_Caption Char,o Char,1 Char,Beschriftung Appendix Char,Légende Car Car Car Char,Beschriftung Appendix Car Car Car Char,Légende Car Car Car Car Char,Légende Car1 Car Car Char,Beschriftung Appendix Car Car Car Car Char,Légende Car1 Char"/>
    <w:link w:val="Caption"/>
    <w:locked/>
    <w:rsid w:val="003E14E0"/>
    <w:rPr>
      <w:rFonts w:ascii="Franklin Gothic Medium" w:eastAsia="Times New Roman" w:hAnsi="Franklin Gothic Medium" w:cs="Times New Roman"/>
      <w:i/>
      <w:color w:val="53284F"/>
      <w:sz w:val="20"/>
      <w:szCs w:val="24"/>
    </w:rPr>
  </w:style>
  <w:style w:type="paragraph" w:styleId="TOAHeading">
    <w:name w:val="toa heading"/>
    <w:aliases w:val="APVMA_TOC heading"/>
    <w:basedOn w:val="Heading1"/>
    <w:next w:val="TOC1"/>
    <w:uiPriority w:val="4"/>
    <w:semiHidden/>
    <w:rsid w:val="00531D0B"/>
    <w:pPr>
      <w:pageBreakBefore w:val="0"/>
      <w:numPr>
        <w:numId w:val="0"/>
      </w:numPr>
      <w:outlineLvl w:val="9"/>
    </w:pPr>
    <w:rPr>
      <w:bCs/>
      <w:szCs w:val="20"/>
    </w:rPr>
  </w:style>
  <w:style w:type="paragraph" w:customStyle="1" w:styleId="APVMATableSubHead">
    <w:name w:val="APVMA_Table_SubHead"/>
    <w:basedOn w:val="APVMATableHead"/>
    <w:uiPriority w:val="4"/>
    <w:rsid w:val="00531D0B"/>
    <w:rPr>
      <w:color w:val="53284F"/>
    </w:rPr>
  </w:style>
  <w:style w:type="paragraph" w:styleId="TableofFigures">
    <w:name w:val="table of figures"/>
    <w:aliases w:val="APVMA_ToF"/>
    <w:basedOn w:val="TOC3"/>
    <w:uiPriority w:val="99"/>
    <w:rsid w:val="00531D0B"/>
    <w:pPr>
      <w:ind w:left="851" w:hanging="851"/>
    </w:pPr>
  </w:style>
  <w:style w:type="paragraph" w:customStyle="1" w:styleId="APVMACoverTitle">
    <w:name w:val="APVMA_Cover_Title"/>
    <w:basedOn w:val="Normal"/>
    <w:uiPriority w:val="4"/>
    <w:qFormat/>
    <w:rsid w:val="00531D0B"/>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531D0B"/>
    <w:pPr>
      <w:spacing w:before="120" w:line="340" w:lineRule="exact"/>
      <w:jc w:val="right"/>
    </w:pPr>
    <w:rPr>
      <w:rFonts w:ascii="Franklin Gothic Book" w:hAnsi="Franklin Gothic Book"/>
      <w:color w:val="000000" w:themeColor="text1"/>
      <w:sz w:val="28"/>
    </w:rPr>
  </w:style>
  <w:style w:type="paragraph" w:customStyle="1" w:styleId="APVMAImprintText">
    <w:name w:val="APVMA_Imprint_Text"/>
    <w:basedOn w:val="Normal"/>
    <w:rsid w:val="00531D0B"/>
    <w:pPr>
      <w:spacing w:before="120" w:after="120" w:line="240" w:lineRule="exact"/>
    </w:pPr>
    <w:rPr>
      <w:spacing w:val="6"/>
      <w:sz w:val="16"/>
    </w:rPr>
  </w:style>
  <w:style w:type="paragraph" w:customStyle="1" w:styleId="APVMAAppendixH1">
    <w:name w:val="APVMA_Appendix_H1"/>
    <w:basedOn w:val="APVMAPreliminariesH1"/>
    <w:next w:val="NormalText"/>
    <w:uiPriority w:val="4"/>
    <w:rsid w:val="00531D0B"/>
    <w:pPr>
      <w:tabs>
        <w:tab w:val="left" w:pos="2058"/>
      </w:tabs>
      <w:ind w:left="2044" w:hanging="2044"/>
    </w:pPr>
  </w:style>
  <w:style w:type="paragraph" w:customStyle="1" w:styleId="APVMAPreliminariesH1">
    <w:name w:val="APVMA_Preliminaries_H1"/>
    <w:basedOn w:val="Heading1"/>
    <w:next w:val="NormalText"/>
    <w:uiPriority w:val="4"/>
    <w:rsid w:val="00531D0B"/>
    <w:pPr>
      <w:numPr>
        <w:numId w:val="0"/>
      </w:numPr>
    </w:pPr>
    <w:rPr>
      <w:bCs/>
      <w:szCs w:val="30"/>
    </w:rPr>
  </w:style>
  <w:style w:type="paragraph" w:customStyle="1" w:styleId="APVMAPreliminariesH2">
    <w:name w:val="APVMA_Preliminaries_H2"/>
    <w:basedOn w:val="Heading2"/>
    <w:next w:val="NormalText"/>
    <w:uiPriority w:val="4"/>
    <w:rsid w:val="00531D0B"/>
    <w:pPr>
      <w:numPr>
        <w:ilvl w:val="0"/>
        <w:numId w:val="0"/>
      </w:numPr>
    </w:pPr>
  </w:style>
  <w:style w:type="paragraph" w:customStyle="1" w:styleId="APVMAPreliminariesH3">
    <w:name w:val="APVMA_Preliminaries_H3"/>
    <w:basedOn w:val="Heading3"/>
    <w:uiPriority w:val="4"/>
    <w:rsid w:val="00531D0B"/>
  </w:style>
  <w:style w:type="paragraph" w:customStyle="1" w:styleId="APVMAGlossaryRefH1">
    <w:name w:val="APVMA_Glossary/Ref_H1"/>
    <w:basedOn w:val="APVMAPreliminariesH1"/>
    <w:uiPriority w:val="4"/>
    <w:rsid w:val="00531D0B"/>
  </w:style>
  <w:style w:type="paragraph" w:customStyle="1" w:styleId="APVMAListAlpha">
    <w:name w:val="APVMA_List_Alpha"/>
    <w:basedOn w:val="NormalText"/>
    <w:uiPriority w:val="4"/>
    <w:qFormat/>
    <w:rsid w:val="00531D0B"/>
    <w:pPr>
      <w:numPr>
        <w:numId w:val="3"/>
      </w:numPr>
    </w:pPr>
  </w:style>
  <w:style w:type="paragraph" w:customStyle="1" w:styleId="APVMAAppendixH2">
    <w:name w:val="APVMA_Appendix_H2"/>
    <w:basedOn w:val="APVMAPreliminariesH2"/>
    <w:next w:val="NormalText"/>
    <w:uiPriority w:val="4"/>
    <w:rsid w:val="00531D0B"/>
    <w:rPr>
      <w:bCs/>
    </w:rPr>
  </w:style>
  <w:style w:type="paragraph" w:customStyle="1" w:styleId="APVMAAppendixH3">
    <w:name w:val="APVMA_Appendix_H3"/>
    <w:basedOn w:val="APVMAPreliminariesH3"/>
    <w:next w:val="NormalText"/>
    <w:uiPriority w:val="4"/>
    <w:rsid w:val="00531D0B"/>
  </w:style>
  <w:style w:type="paragraph" w:customStyle="1" w:styleId="APVMABullet3">
    <w:name w:val="APVMA_Bullet3"/>
    <w:basedOn w:val="Bullet2"/>
    <w:uiPriority w:val="4"/>
    <w:rsid w:val="00531D0B"/>
    <w:pPr>
      <w:numPr>
        <w:numId w:val="2"/>
      </w:numPr>
      <w:spacing w:before="120"/>
      <w:ind w:left="1020" w:hanging="340"/>
    </w:pPr>
  </w:style>
  <w:style w:type="paragraph" w:styleId="ListParagraph">
    <w:name w:val="List Paragraph"/>
    <w:basedOn w:val="Normal"/>
    <w:uiPriority w:val="34"/>
    <w:qFormat/>
    <w:rsid w:val="00734E5E"/>
    <w:pPr>
      <w:widowControl w:val="0"/>
      <w:spacing w:line="240" w:lineRule="auto"/>
    </w:pPr>
    <w:rPr>
      <w:rFonts w:asciiTheme="minorHAnsi" w:eastAsiaTheme="minorHAnsi" w:hAnsiTheme="minorHAnsi" w:cstheme="minorBidi"/>
      <w:sz w:val="22"/>
      <w:szCs w:val="22"/>
      <w:lang w:val="en-US"/>
    </w:rPr>
  </w:style>
  <w:style w:type="paragraph" w:styleId="BodyText">
    <w:name w:val="Body Text"/>
    <w:aliases w:val="style5,bt"/>
    <w:basedOn w:val="Normal"/>
    <w:link w:val="BodyTextChar"/>
    <w:qFormat/>
    <w:rsid w:val="00524D17"/>
    <w:pPr>
      <w:widowControl w:val="0"/>
      <w:spacing w:line="240" w:lineRule="auto"/>
    </w:pPr>
    <w:rPr>
      <w:rFonts w:ascii="Trebuchet MS" w:eastAsia="Trebuchet MS" w:hAnsi="Trebuchet MS" w:cstheme="minorBidi"/>
      <w:sz w:val="19"/>
      <w:szCs w:val="19"/>
      <w:lang w:val="en-US"/>
    </w:rPr>
  </w:style>
  <w:style w:type="character" w:customStyle="1" w:styleId="BodyTextChar">
    <w:name w:val="Body Text Char"/>
    <w:aliases w:val="style5 Char,bt Char"/>
    <w:basedOn w:val="DefaultParagraphFont"/>
    <w:link w:val="BodyText"/>
    <w:rsid w:val="00524D17"/>
    <w:rPr>
      <w:rFonts w:ascii="Trebuchet MS" w:eastAsia="Trebuchet MS" w:hAnsi="Trebuchet MS"/>
      <w:sz w:val="19"/>
      <w:szCs w:val="19"/>
      <w:lang w:val="en-US"/>
    </w:rPr>
  </w:style>
  <w:style w:type="paragraph" w:styleId="Header">
    <w:name w:val="header"/>
    <w:basedOn w:val="Normal"/>
    <w:link w:val="HeaderChar"/>
    <w:unhideWhenUsed/>
    <w:rsid w:val="00251FE3"/>
    <w:pPr>
      <w:tabs>
        <w:tab w:val="center" w:pos="4513"/>
        <w:tab w:val="right" w:pos="9026"/>
      </w:tabs>
      <w:spacing w:line="240" w:lineRule="auto"/>
    </w:pPr>
  </w:style>
  <w:style w:type="character" w:customStyle="1" w:styleId="HeaderChar">
    <w:name w:val="Header Char"/>
    <w:basedOn w:val="DefaultParagraphFont"/>
    <w:link w:val="Header"/>
    <w:uiPriority w:val="99"/>
    <w:rsid w:val="00251FE3"/>
    <w:rPr>
      <w:rFonts w:ascii="Arial" w:eastAsia="Times New Roman" w:hAnsi="Arial" w:cs="Times New Roman"/>
      <w:sz w:val="20"/>
      <w:szCs w:val="24"/>
    </w:rPr>
  </w:style>
  <w:style w:type="paragraph" w:styleId="TOCHeading">
    <w:name w:val="TOC Heading"/>
    <w:basedOn w:val="Heading1"/>
    <w:next w:val="Normal"/>
    <w:uiPriority w:val="39"/>
    <w:unhideWhenUsed/>
    <w:qFormat/>
    <w:rsid w:val="004F3CAC"/>
    <w:pPr>
      <w:pageBreakBefore w:val="0"/>
      <w:numPr>
        <w:numId w:val="0"/>
      </w:numPr>
      <w:suppressAutoHyphens w:val="0"/>
      <w:spacing w:before="240" w:after="0" w:line="259" w:lineRule="auto"/>
      <w:outlineLvl w:val="9"/>
    </w:pPr>
    <w:rPr>
      <w:rFonts w:asciiTheme="majorHAnsi" w:eastAsiaTheme="majorEastAsia" w:hAnsiTheme="majorHAnsi" w:cstheme="majorBidi"/>
      <w:caps w:val="0"/>
      <w:color w:val="2E74B5" w:themeColor="accent1" w:themeShade="BF"/>
      <w:kern w:val="0"/>
      <w:lang w:val="en-US"/>
    </w:rPr>
  </w:style>
  <w:style w:type="paragraph" w:customStyle="1" w:styleId="TableParagraph">
    <w:name w:val="Table Paragraph"/>
    <w:basedOn w:val="Normal"/>
    <w:uiPriority w:val="1"/>
    <w:qFormat/>
    <w:rsid w:val="00C31162"/>
    <w:pPr>
      <w:widowControl w:val="0"/>
      <w:spacing w:line="240" w:lineRule="auto"/>
    </w:pPr>
    <w:rPr>
      <w:rFonts w:asciiTheme="minorHAnsi" w:eastAsiaTheme="minorHAnsi" w:hAnsiTheme="minorHAnsi" w:cstheme="minorBidi"/>
      <w:sz w:val="22"/>
      <w:szCs w:val="22"/>
      <w:lang w:val="en-US"/>
    </w:rPr>
  </w:style>
  <w:style w:type="paragraph" w:styleId="BalloonText">
    <w:name w:val="Balloon Text"/>
    <w:basedOn w:val="Normal"/>
    <w:link w:val="BalloonTextChar"/>
    <w:uiPriority w:val="99"/>
    <w:semiHidden/>
    <w:unhideWhenUsed/>
    <w:rsid w:val="004B03B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3B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34E30"/>
    <w:rPr>
      <w:sz w:val="16"/>
      <w:szCs w:val="16"/>
    </w:rPr>
  </w:style>
  <w:style w:type="paragraph" w:styleId="CommentText">
    <w:name w:val="annotation text"/>
    <w:basedOn w:val="Normal"/>
    <w:link w:val="CommentTextChar"/>
    <w:uiPriority w:val="99"/>
    <w:unhideWhenUsed/>
    <w:rsid w:val="00834E30"/>
    <w:pPr>
      <w:spacing w:line="240" w:lineRule="auto"/>
    </w:pPr>
    <w:rPr>
      <w:szCs w:val="20"/>
    </w:rPr>
  </w:style>
  <w:style w:type="character" w:customStyle="1" w:styleId="CommentTextChar">
    <w:name w:val="Comment Text Char"/>
    <w:basedOn w:val="DefaultParagraphFont"/>
    <w:link w:val="CommentText"/>
    <w:uiPriority w:val="99"/>
    <w:rsid w:val="00834E3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34E30"/>
    <w:rPr>
      <w:b/>
      <w:bCs/>
    </w:rPr>
  </w:style>
  <w:style w:type="character" w:customStyle="1" w:styleId="CommentSubjectChar">
    <w:name w:val="Comment Subject Char"/>
    <w:basedOn w:val="CommentTextChar"/>
    <w:link w:val="CommentSubject"/>
    <w:uiPriority w:val="99"/>
    <w:semiHidden/>
    <w:rsid w:val="00834E30"/>
    <w:rPr>
      <w:rFonts w:ascii="Arial" w:eastAsia="Times New Roman" w:hAnsi="Arial" w:cs="Times New Roman"/>
      <w:b/>
      <w:bCs/>
      <w:sz w:val="20"/>
      <w:szCs w:val="20"/>
    </w:rPr>
  </w:style>
  <w:style w:type="table" w:styleId="TableGrid">
    <w:name w:val="Table Grid"/>
    <w:basedOn w:val="TableNormal"/>
    <w:uiPriority w:val="59"/>
    <w:rsid w:val="00C94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4867"/>
    <w:pPr>
      <w:spacing w:after="0" w:line="240" w:lineRule="auto"/>
    </w:pPr>
    <w:rPr>
      <w:rFonts w:ascii="Arial" w:eastAsia="Times New Roman" w:hAnsi="Arial" w:cs="Times New Roman"/>
      <w:sz w:val="20"/>
      <w:szCs w:val="24"/>
    </w:rPr>
  </w:style>
  <w:style w:type="paragraph" w:customStyle="1" w:styleId="paragraph">
    <w:name w:val="paragraph"/>
    <w:aliases w:val="a"/>
    <w:basedOn w:val="Normal"/>
    <w:link w:val="paragraphChar"/>
    <w:rsid w:val="006E4D62"/>
    <w:pPr>
      <w:tabs>
        <w:tab w:val="right" w:pos="1531"/>
      </w:tabs>
      <w:spacing w:before="40" w:line="240" w:lineRule="auto"/>
      <w:ind w:left="1644" w:hanging="1644"/>
    </w:pPr>
    <w:rPr>
      <w:rFonts w:ascii="Times New Roman" w:hAnsi="Times New Roman"/>
      <w:sz w:val="22"/>
      <w:szCs w:val="20"/>
      <w:lang w:eastAsia="en-AU"/>
    </w:rPr>
  </w:style>
  <w:style w:type="character" w:customStyle="1" w:styleId="paragraphChar">
    <w:name w:val="paragraph Char"/>
    <w:aliases w:val="a Char"/>
    <w:link w:val="paragraph"/>
    <w:rsid w:val="006E4D62"/>
    <w:rPr>
      <w:rFonts w:ascii="Times New Roman" w:eastAsia="Times New Roman" w:hAnsi="Times New Roman" w:cs="Times New Roman"/>
      <w:szCs w:val="20"/>
      <w:lang w:eastAsia="en-AU"/>
    </w:rPr>
  </w:style>
  <w:style w:type="paragraph" w:customStyle="1" w:styleId="ActHead4">
    <w:name w:val="ActHead 4"/>
    <w:aliases w:val="sd"/>
    <w:basedOn w:val="Normal"/>
    <w:next w:val="Normal"/>
    <w:link w:val="ActHead4Char"/>
    <w:rsid w:val="006E4D62"/>
    <w:pPr>
      <w:keepNext/>
      <w:keepLines/>
      <w:spacing w:before="220" w:line="240" w:lineRule="auto"/>
      <w:ind w:left="1134" w:hanging="1134"/>
      <w:outlineLvl w:val="3"/>
    </w:pPr>
    <w:rPr>
      <w:rFonts w:ascii="Times New Roman" w:hAnsi="Times New Roman"/>
      <w:b/>
      <w:kern w:val="28"/>
      <w:sz w:val="26"/>
      <w:szCs w:val="20"/>
      <w:lang w:eastAsia="en-AU"/>
    </w:rPr>
  </w:style>
  <w:style w:type="character" w:customStyle="1" w:styleId="ActHead4Char">
    <w:name w:val="ActHead 4 Char"/>
    <w:aliases w:val="sd Char"/>
    <w:basedOn w:val="DefaultParagraphFont"/>
    <w:link w:val="ActHead4"/>
    <w:rsid w:val="006E4D62"/>
    <w:rPr>
      <w:rFonts w:ascii="Times New Roman" w:eastAsia="Times New Roman" w:hAnsi="Times New Roman" w:cs="Times New Roman"/>
      <w:b/>
      <w:kern w:val="28"/>
      <w:sz w:val="26"/>
      <w:szCs w:val="20"/>
      <w:lang w:eastAsia="en-AU"/>
    </w:rPr>
  </w:style>
  <w:style w:type="paragraph" w:customStyle="1" w:styleId="CTA4a">
    <w:name w:val="CTA 4(a)"/>
    <w:basedOn w:val="Normal"/>
    <w:rsid w:val="006E4D62"/>
    <w:pPr>
      <w:tabs>
        <w:tab w:val="right" w:pos="624"/>
      </w:tabs>
      <w:spacing w:before="40"/>
      <w:ind w:left="873" w:hanging="873"/>
    </w:pPr>
    <w:rPr>
      <w:rFonts w:ascii="Times New Roman" w:hAnsi="Times New Roman"/>
      <w:szCs w:val="20"/>
      <w:lang w:eastAsia="en-AU"/>
    </w:rPr>
  </w:style>
  <w:style w:type="paragraph" w:customStyle="1" w:styleId="ActHead5">
    <w:name w:val="ActHead 5"/>
    <w:aliases w:val="s"/>
    <w:basedOn w:val="Normal"/>
    <w:next w:val="subsection"/>
    <w:link w:val="ActHead5Char"/>
    <w:rsid w:val="00AF2038"/>
    <w:pPr>
      <w:keepNext/>
      <w:keepLines/>
      <w:spacing w:before="280" w:line="240" w:lineRule="auto"/>
      <w:ind w:left="1134" w:hanging="1134"/>
      <w:outlineLvl w:val="4"/>
    </w:pPr>
    <w:rPr>
      <w:rFonts w:ascii="Times New Roman" w:hAnsi="Times New Roman"/>
      <w:b/>
      <w:kern w:val="28"/>
      <w:sz w:val="24"/>
      <w:szCs w:val="20"/>
      <w:lang w:eastAsia="en-AU"/>
    </w:rPr>
  </w:style>
  <w:style w:type="paragraph" w:customStyle="1" w:styleId="subsection">
    <w:name w:val="subsection"/>
    <w:aliases w:val="ss"/>
    <w:basedOn w:val="Normal"/>
    <w:link w:val="subsectionChar"/>
    <w:rsid w:val="00AF2038"/>
    <w:pPr>
      <w:tabs>
        <w:tab w:val="right" w:pos="1021"/>
      </w:tabs>
      <w:spacing w:before="180" w:line="240" w:lineRule="auto"/>
      <w:ind w:left="1134" w:hanging="1134"/>
    </w:pPr>
    <w:rPr>
      <w:rFonts w:ascii="Times New Roman" w:hAnsi="Times New Roman"/>
      <w:sz w:val="22"/>
      <w:szCs w:val="20"/>
      <w:lang w:eastAsia="en-AU"/>
    </w:rPr>
  </w:style>
  <w:style w:type="character" w:customStyle="1" w:styleId="subsectionChar">
    <w:name w:val="subsection Char"/>
    <w:aliases w:val="ss Char"/>
    <w:link w:val="subsection"/>
    <w:rsid w:val="00AF2038"/>
    <w:rPr>
      <w:rFonts w:ascii="Times New Roman" w:eastAsia="Times New Roman" w:hAnsi="Times New Roman" w:cs="Times New Roman"/>
      <w:szCs w:val="20"/>
      <w:lang w:eastAsia="en-AU"/>
    </w:rPr>
  </w:style>
  <w:style w:type="character" w:customStyle="1" w:styleId="ActHead5Char">
    <w:name w:val="ActHead 5 Char"/>
    <w:aliases w:val="s Char"/>
    <w:link w:val="ActHead5"/>
    <w:rsid w:val="00AF2038"/>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AF2038"/>
  </w:style>
  <w:style w:type="paragraph" w:customStyle="1" w:styleId="subsection2">
    <w:name w:val="subsection2"/>
    <w:aliases w:val="ss2"/>
    <w:basedOn w:val="Normal"/>
    <w:next w:val="subsection"/>
    <w:rsid w:val="00AF2038"/>
    <w:pPr>
      <w:spacing w:before="40" w:line="240" w:lineRule="auto"/>
      <w:ind w:left="1134"/>
    </w:pPr>
    <w:rPr>
      <w:rFonts w:ascii="Times New Roman" w:hAnsi="Times New Roman"/>
      <w:sz w:val="22"/>
      <w:szCs w:val="20"/>
      <w:lang w:eastAsia="en-AU"/>
    </w:rPr>
  </w:style>
  <w:style w:type="paragraph" w:customStyle="1" w:styleId="paragraphsub">
    <w:name w:val="paragraph(sub)"/>
    <w:aliases w:val="aa"/>
    <w:basedOn w:val="Normal"/>
    <w:rsid w:val="00AF2038"/>
    <w:pPr>
      <w:tabs>
        <w:tab w:val="right" w:pos="1985"/>
      </w:tabs>
      <w:spacing w:before="40" w:line="240" w:lineRule="auto"/>
      <w:ind w:left="2098" w:hanging="2098"/>
    </w:pPr>
    <w:rPr>
      <w:rFonts w:ascii="Times New Roman" w:hAnsi="Times New Roman"/>
      <w:sz w:val="22"/>
      <w:szCs w:val="20"/>
      <w:lang w:eastAsia="en-AU"/>
    </w:rPr>
  </w:style>
  <w:style w:type="character" w:styleId="BookTitle">
    <w:name w:val="Book Title"/>
    <w:basedOn w:val="DefaultParagraphFont"/>
    <w:uiPriority w:val="33"/>
    <w:qFormat/>
    <w:rsid w:val="00B9701C"/>
    <w:rPr>
      <w:b/>
      <w:bCs/>
      <w:i/>
      <w:iCs/>
      <w:spacing w:val="5"/>
    </w:rPr>
  </w:style>
  <w:style w:type="character" w:customStyle="1" w:styleId="UnresolvedMention1">
    <w:name w:val="Unresolved Mention1"/>
    <w:basedOn w:val="DefaultParagraphFont"/>
    <w:uiPriority w:val="99"/>
    <w:semiHidden/>
    <w:unhideWhenUsed/>
    <w:rsid w:val="00E611BD"/>
    <w:rPr>
      <w:color w:val="808080"/>
      <w:shd w:val="clear" w:color="auto" w:fill="E6E6E6"/>
    </w:rPr>
  </w:style>
  <w:style w:type="character" w:styleId="FollowedHyperlink">
    <w:name w:val="FollowedHyperlink"/>
    <w:basedOn w:val="DefaultParagraphFont"/>
    <w:uiPriority w:val="99"/>
    <w:semiHidden/>
    <w:unhideWhenUsed/>
    <w:rsid w:val="00EE1D18"/>
    <w:rPr>
      <w:color w:val="954F72" w:themeColor="followedHyperlink"/>
      <w:u w:val="single"/>
    </w:rPr>
  </w:style>
  <w:style w:type="paragraph" w:styleId="EndnoteText">
    <w:name w:val="endnote text"/>
    <w:basedOn w:val="Normal"/>
    <w:link w:val="EndnoteTextChar"/>
    <w:uiPriority w:val="99"/>
    <w:semiHidden/>
    <w:unhideWhenUsed/>
    <w:rsid w:val="00881EBC"/>
    <w:pPr>
      <w:spacing w:line="240" w:lineRule="auto"/>
    </w:pPr>
    <w:rPr>
      <w:szCs w:val="20"/>
    </w:rPr>
  </w:style>
  <w:style w:type="character" w:customStyle="1" w:styleId="EndnoteTextChar">
    <w:name w:val="Endnote Text Char"/>
    <w:basedOn w:val="DefaultParagraphFont"/>
    <w:link w:val="EndnoteText"/>
    <w:uiPriority w:val="99"/>
    <w:semiHidden/>
    <w:rsid w:val="00881EBC"/>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81EBC"/>
    <w:rPr>
      <w:vertAlign w:val="superscript"/>
    </w:rPr>
  </w:style>
  <w:style w:type="paragraph" w:styleId="Bibliography">
    <w:name w:val="Bibliography"/>
    <w:basedOn w:val="Normal"/>
    <w:next w:val="Normal"/>
    <w:uiPriority w:val="37"/>
    <w:unhideWhenUsed/>
    <w:rsid w:val="00A22387"/>
  </w:style>
  <w:style w:type="character" w:customStyle="1" w:styleId="UnresolvedMention2">
    <w:name w:val="Unresolved Mention2"/>
    <w:basedOn w:val="DefaultParagraphFont"/>
    <w:uiPriority w:val="99"/>
    <w:semiHidden/>
    <w:unhideWhenUsed/>
    <w:rsid w:val="00EE1F64"/>
    <w:rPr>
      <w:color w:val="808080"/>
      <w:shd w:val="clear" w:color="auto" w:fill="E6E6E6"/>
    </w:rPr>
  </w:style>
  <w:style w:type="character" w:styleId="Emphasis">
    <w:name w:val="Emphasis"/>
    <w:basedOn w:val="DefaultParagraphFont"/>
    <w:uiPriority w:val="20"/>
    <w:qFormat/>
    <w:rsid w:val="00783D3E"/>
    <w:rPr>
      <w:b/>
      <w:bCs/>
      <w:i w:val="0"/>
      <w:iCs w:val="0"/>
    </w:rPr>
  </w:style>
  <w:style w:type="character" w:customStyle="1" w:styleId="st1">
    <w:name w:val="st1"/>
    <w:basedOn w:val="DefaultParagraphFont"/>
    <w:rsid w:val="00783D3E"/>
  </w:style>
  <w:style w:type="paragraph" w:styleId="NormalWeb">
    <w:name w:val="Normal (Web)"/>
    <w:basedOn w:val="Normal"/>
    <w:uiPriority w:val="99"/>
    <w:semiHidden/>
    <w:unhideWhenUsed/>
    <w:rsid w:val="008A27B0"/>
    <w:pPr>
      <w:spacing w:after="240" w:line="240" w:lineRule="auto"/>
    </w:pPr>
    <w:rPr>
      <w:rFonts w:ascii="inherit" w:hAnsi="inherit"/>
      <w:sz w:val="24"/>
      <w:lang w:eastAsia="en-AU"/>
    </w:rPr>
  </w:style>
  <w:style w:type="paragraph" w:customStyle="1" w:styleId="notetext">
    <w:name w:val="note(text)"/>
    <w:aliases w:val="n"/>
    <w:basedOn w:val="Normal"/>
    <w:link w:val="notetextChar"/>
    <w:rsid w:val="00C8368D"/>
    <w:pPr>
      <w:spacing w:before="122" w:line="240" w:lineRule="auto"/>
      <w:ind w:left="1985" w:hanging="851"/>
    </w:pPr>
    <w:rPr>
      <w:rFonts w:ascii="Times New Roman" w:hAnsi="Times New Roman"/>
      <w:sz w:val="18"/>
      <w:szCs w:val="20"/>
      <w:lang w:eastAsia="en-AU"/>
    </w:rPr>
  </w:style>
  <w:style w:type="character" w:customStyle="1" w:styleId="notetextChar">
    <w:name w:val="note(text) Char"/>
    <w:aliases w:val="n Char"/>
    <w:link w:val="notetext"/>
    <w:rsid w:val="00C8368D"/>
    <w:rPr>
      <w:rFonts w:ascii="Times New Roman" w:eastAsia="Times New Roman" w:hAnsi="Times New Roman" w:cs="Times New Roman"/>
      <w:sz w:val="18"/>
      <w:szCs w:val="20"/>
      <w:lang w:eastAsia="en-AU"/>
    </w:rPr>
  </w:style>
  <w:style w:type="character" w:customStyle="1" w:styleId="UnresolvedMention3">
    <w:name w:val="Unresolved Mention3"/>
    <w:basedOn w:val="DefaultParagraphFont"/>
    <w:uiPriority w:val="99"/>
    <w:semiHidden/>
    <w:unhideWhenUsed/>
    <w:rsid w:val="009F13E2"/>
    <w:rPr>
      <w:color w:val="605E5C"/>
      <w:shd w:val="clear" w:color="auto" w:fill="E1DFDD"/>
    </w:rPr>
  </w:style>
  <w:style w:type="character" w:customStyle="1" w:styleId="current-selection">
    <w:name w:val="current-selection"/>
    <w:basedOn w:val="DefaultParagraphFont"/>
    <w:rsid w:val="00FC44FC"/>
  </w:style>
  <w:style w:type="character" w:customStyle="1" w:styleId="UnresolvedMention4">
    <w:name w:val="Unresolved Mention4"/>
    <w:basedOn w:val="DefaultParagraphFont"/>
    <w:uiPriority w:val="99"/>
    <w:semiHidden/>
    <w:unhideWhenUsed/>
    <w:rsid w:val="00BE2401"/>
    <w:rPr>
      <w:color w:val="605E5C"/>
      <w:shd w:val="clear" w:color="auto" w:fill="E1DFDD"/>
    </w:rPr>
  </w:style>
  <w:style w:type="character" w:customStyle="1" w:styleId="UnresolvedMention">
    <w:name w:val="Unresolved Mention"/>
    <w:basedOn w:val="DefaultParagraphFont"/>
    <w:uiPriority w:val="99"/>
    <w:semiHidden/>
    <w:unhideWhenUsed/>
    <w:rsid w:val="008D3BC9"/>
    <w:rPr>
      <w:color w:val="605E5C"/>
      <w:shd w:val="clear" w:color="auto" w:fill="E1DFDD"/>
    </w:rPr>
  </w:style>
  <w:style w:type="paragraph" w:customStyle="1" w:styleId="Boxstyle">
    <w:name w:val="Box style"/>
    <w:basedOn w:val="BodyText"/>
    <w:uiPriority w:val="4"/>
    <w:rsid w:val="00EE18E8"/>
    <w:pPr>
      <w:spacing w:line="276" w:lineRule="auto"/>
    </w:pPr>
    <w:rPr>
      <w:rFonts w:ascii="Franklin Gothic Book" w:hAnsi="Franklin Gothic Book" w:cs="Browallia New"/>
      <w:color w:val="FFFFFF" w:themeColor="background1"/>
      <w:sz w:val="22"/>
      <w:szCs w:val="30"/>
    </w:rPr>
  </w:style>
  <w:style w:type="paragraph" w:customStyle="1" w:styleId="NumberedHeading1">
    <w:name w:val="Numbered Heading 1"/>
    <w:basedOn w:val="Heading1"/>
    <w:next w:val="Normal"/>
    <w:qFormat/>
    <w:rsid w:val="003E14E0"/>
    <w:pPr>
      <w:keepLines w:val="0"/>
      <w:pageBreakBefore w:val="0"/>
      <w:numPr>
        <w:numId w:val="8"/>
      </w:numPr>
      <w:tabs>
        <w:tab w:val="left" w:pos="851"/>
      </w:tabs>
      <w:suppressAutoHyphens w:val="0"/>
      <w:spacing w:before="240" w:after="360"/>
    </w:pPr>
    <w:rPr>
      <w:rFonts w:ascii="Times New Roman" w:hAnsi="Times New Roman" w:cs="Times New Roman"/>
      <w:b/>
      <w:caps w:val="0"/>
      <w:color w:val="000080"/>
      <w:kern w:val="0"/>
      <w:sz w:val="24"/>
      <w:szCs w:val="24"/>
      <w:lang w:eastAsia="en-AU"/>
    </w:rPr>
  </w:style>
  <w:style w:type="paragraph" w:customStyle="1" w:styleId="NumberedHeading2">
    <w:name w:val="Numbered Heading 2"/>
    <w:basedOn w:val="Heading2"/>
    <w:next w:val="Normal"/>
    <w:qFormat/>
    <w:rsid w:val="003E14E0"/>
    <w:pPr>
      <w:keepLines w:val="0"/>
      <w:numPr>
        <w:ilvl w:val="0"/>
        <w:numId w:val="0"/>
      </w:numPr>
      <w:tabs>
        <w:tab w:val="num" w:pos="576"/>
        <w:tab w:val="left" w:pos="851"/>
      </w:tabs>
      <w:suppressAutoHyphens w:val="0"/>
      <w:spacing w:after="120" w:line="240" w:lineRule="auto"/>
      <w:ind w:left="576" w:hanging="576"/>
    </w:pPr>
    <w:rPr>
      <w:rFonts w:ascii="Times New Roman" w:hAnsi="Times New Roman"/>
      <w:b/>
      <w:bCs/>
      <w:iCs/>
      <w:color w:val="000080"/>
      <w:kern w:val="0"/>
      <w:sz w:val="24"/>
      <w:lang w:eastAsia="en-AU"/>
    </w:rPr>
  </w:style>
  <w:style w:type="paragraph" w:customStyle="1" w:styleId="NumberedHeading3">
    <w:name w:val="Numbered Heading 3"/>
    <w:basedOn w:val="Heading3"/>
    <w:next w:val="Normal"/>
    <w:rsid w:val="003E14E0"/>
    <w:pPr>
      <w:keepLines w:val="0"/>
      <w:numPr>
        <w:ilvl w:val="0"/>
        <w:numId w:val="0"/>
      </w:numPr>
      <w:tabs>
        <w:tab w:val="num" w:pos="720"/>
      </w:tabs>
      <w:suppressAutoHyphens w:val="0"/>
      <w:spacing w:after="60" w:line="240" w:lineRule="auto"/>
      <w:ind w:left="720" w:hanging="720"/>
    </w:pPr>
    <w:rPr>
      <w:rFonts w:ascii="Times New Roman" w:hAnsi="Times New Roman"/>
      <w:b/>
      <w:bCs/>
      <w:color w:val="000080"/>
      <w:kern w:val="0"/>
      <w:sz w:val="22"/>
      <w:lang w:eastAsia="en-AU"/>
    </w:rPr>
  </w:style>
  <w:style w:type="paragraph" w:customStyle="1" w:styleId="NumberedHeading4">
    <w:name w:val="Numbered Heading 4"/>
    <w:basedOn w:val="Heading4"/>
    <w:next w:val="Normal"/>
    <w:qFormat/>
    <w:rsid w:val="003E14E0"/>
    <w:pPr>
      <w:keepLines w:val="0"/>
      <w:numPr>
        <w:ilvl w:val="0"/>
        <w:numId w:val="0"/>
      </w:numPr>
      <w:tabs>
        <w:tab w:val="num" w:pos="360"/>
        <w:tab w:val="left" w:pos="1080"/>
      </w:tabs>
      <w:suppressAutoHyphens w:val="0"/>
      <w:spacing w:before="240" w:after="60" w:line="240" w:lineRule="auto"/>
    </w:pPr>
    <w:rPr>
      <w:rFonts w:ascii="Times New Roman" w:hAnsi="Times New Roman" w:cs="Times New Roman"/>
      <w:b/>
      <w:bCs/>
      <w:i w:val="0"/>
      <w:color w:val="000080"/>
      <w:kern w:val="0"/>
      <w:sz w:val="24"/>
      <w:lang w:eastAsia="en-AU"/>
    </w:rPr>
  </w:style>
  <w:style w:type="paragraph" w:customStyle="1" w:styleId="NumberedHeading5">
    <w:name w:val="Numbered Heading 5"/>
    <w:basedOn w:val="Heading5"/>
    <w:next w:val="Normal"/>
    <w:qFormat/>
    <w:rsid w:val="003E14E0"/>
    <w:pPr>
      <w:keepNext w:val="0"/>
      <w:keepLines w:val="0"/>
      <w:numPr>
        <w:ilvl w:val="0"/>
        <w:numId w:val="0"/>
      </w:numPr>
      <w:tabs>
        <w:tab w:val="num" w:pos="360"/>
      </w:tabs>
      <w:suppressAutoHyphens w:val="0"/>
      <w:spacing w:before="240" w:after="60" w:line="240" w:lineRule="auto"/>
    </w:pPr>
    <w:rPr>
      <w:rFonts w:ascii="Times New Roman" w:hAnsi="Times New Roman" w:cs="Times New Roman"/>
      <w:b/>
      <w:bCs/>
      <w:i/>
      <w:iCs/>
      <w:caps w:val="0"/>
      <w:kern w:val="0"/>
      <w:sz w:val="26"/>
      <w:lang w:eastAsia="en-AU"/>
    </w:rPr>
  </w:style>
  <w:style w:type="paragraph" w:customStyle="1" w:styleId="NumberedHeading6">
    <w:name w:val="Numbered Heading 6"/>
    <w:basedOn w:val="Heading6"/>
    <w:next w:val="Normal"/>
    <w:rsid w:val="003E14E0"/>
    <w:pPr>
      <w:keepNext w:val="0"/>
      <w:keepLines w:val="0"/>
      <w:numPr>
        <w:ilvl w:val="0"/>
        <w:numId w:val="0"/>
      </w:numPr>
      <w:tabs>
        <w:tab w:val="num" w:pos="360"/>
      </w:tabs>
      <w:spacing w:before="240" w:after="60" w:line="240" w:lineRule="auto"/>
    </w:pPr>
    <w:rPr>
      <w:rFonts w:ascii="Times New Roman" w:eastAsia="Times New Roman" w:hAnsi="Times New Roman" w:cs="Times New Roman"/>
      <w:b/>
      <w:bCs/>
      <w:color w:val="auto"/>
      <w:sz w:val="22"/>
      <w:lang w:eastAsia="en-AU"/>
    </w:rPr>
  </w:style>
  <w:style w:type="paragraph" w:customStyle="1" w:styleId="NumberedHeading7">
    <w:name w:val="Numbered Heading 7"/>
    <w:basedOn w:val="Heading7"/>
    <w:next w:val="Normal"/>
    <w:rsid w:val="003E14E0"/>
    <w:pPr>
      <w:keepNext w:val="0"/>
      <w:keepLines w:val="0"/>
      <w:numPr>
        <w:ilvl w:val="0"/>
        <w:numId w:val="0"/>
      </w:numPr>
      <w:tabs>
        <w:tab w:val="num" w:pos="360"/>
      </w:tabs>
      <w:spacing w:before="240" w:after="60" w:line="240" w:lineRule="auto"/>
    </w:pPr>
    <w:rPr>
      <w:rFonts w:ascii="Times New Roman" w:eastAsia="Times New Roman" w:hAnsi="Times New Roman" w:cs="Times New Roman"/>
      <w:i w:val="0"/>
      <w:iCs w:val="0"/>
      <w:color w:val="auto"/>
      <w:sz w:val="22"/>
      <w:lang w:eastAsia="en-AU"/>
    </w:rPr>
  </w:style>
  <w:style w:type="paragraph" w:customStyle="1" w:styleId="NumberedHeading8">
    <w:name w:val="Numbered Heading 8"/>
    <w:basedOn w:val="Heading8"/>
    <w:next w:val="Normal"/>
    <w:rsid w:val="003E14E0"/>
    <w:pPr>
      <w:keepNext w:val="0"/>
      <w:keepLines w:val="0"/>
      <w:numPr>
        <w:ilvl w:val="0"/>
        <w:numId w:val="0"/>
      </w:numPr>
      <w:tabs>
        <w:tab w:val="num" w:pos="360"/>
      </w:tabs>
      <w:spacing w:before="240" w:after="60" w:line="240" w:lineRule="auto"/>
    </w:pPr>
    <w:rPr>
      <w:rFonts w:ascii="Times New Roman" w:eastAsia="Times New Roman" w:hAnsi="Times New Roman" w:cs="Times New Roman"/>
      <w:i/>
      <w:iCs/>
      <w:color w:val="auto"/>
      <w:sz w:val="22"/>
      <w:szCs w:val="24"/>
      <w:lang w:eastAsia="en-AU"/>
    </w:rPr>
  </w:style>
  <w:style w:type="paragraph" w:customStyle="1" w:styleId="NumberedHeading9">
    <w:name w:val="Numbered Heading 9"/>
    <w:basedOn w:val="Heading9"/>
    <w:next w:val="Normal"/>
    <w:rsid w:val="003E14E0"/>
    <w:pPr>
      <w:keepNext w:val="0"/>
      <w:keepLines w:val="0"/>
      <w:numPr>
        <w:ilvl w:val="0"/>
        <w:numId w:val="0"/>
      </w:numPr>
      <w:tabs>
        <w:tab w:val="num" w:pos="360"/>
      </w:tabs>
      <w:spacing w:before="240" w:after="60" w:line="240" w:lineRule="auto"/>
    </w:pPr>
    <w:rPr>
      <w:rFonts w:ascii="Times New Roman" w:eastAsia="Times New Roman" w:hAnsi="Times New Roman" w:cs="Arial"/>
      <w:i w:val="0"/>
      <w:iCs w:val="0"/>
      <w:color w:val="auto"/>
      <w:sz w:val="22"/>
      <w:szCs w:val="22"/>
      <w:lang w:eastAsia="en-AU"/>
    </w:rPr>
  </w:style>
  <w:style w:type="paragraph" w:customStyle="1" w:styleId="AT">
    <w:name w:val="A_T"/>
    <w:link w:val="ATChar"/>
    <w:rsid w:val="003E14E0"/>
    <w:pPr>
      <w:spacing w:after="0" w:line="240" w:lineRule="auto"/>
    </w:pPr>
    <w:rPr>
      <w:rFonts w:ascii="Times New Roman" w:eastAsia="Times New Roman" w:hAnsi="Times New Roman" w:cs="Times New Roman"/>
      <w:szCs w:val="24"/>
      <w:lang w:eastAsia="en-AU"/>
    </w:rPr>
  </w:style>
  <w:style w:type="character" w:customStyle="1" w:styleId="ATChar">
    <w:name w:val="A_T Char"/>
    <w:link w:val="AT"/>
    <w:rsid w:val="003E14E0"/>
    <w:rPr>
      <w:rFonts w:ascii="Times New Roman" w:eastAsia="Times New Roman" w:hAnsi="Times New Roman" w:cs="Times New Roman"/>
      <w:szCs w:val="24"/>
      <w:lang w:eastAsia="en-AU"/>
    </w:rPr>
  </w:style>
  <w:style w:type="paragraph" w:customStyle="1" w:styleId="Default">
    <w:name w:val="Default"/>
    <w:rsid w:val="003E14E0"/>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BodyText2">
    <w:name w:val="Body Text 2"/>
    <w:basedOn w:val="Normal"/>
    <w:link w:val="BodyText2Char"/>
    <w:uiPriority w:val="99"/>
    <w:semiHidden/>
    <w:unhideWhenUsed/>
    <w:rsid w:val="003E14E0"/>
    <w:pPr>
      <w:spacing w:after="120" w:line="480" w:lineRule="auto"/>
    </w:pPr>
    <w:rPr>
      <w:rFonts w:ascii="Times New Roman" w:hAnsi="Times New Roman"/>
      <w:sz w:val="22"/>
    </w:rPr>
  </w:style>
  <w:style w:type="character" w:customStyle="1" w:styleId="BodyText2Char">
    <w:name w:val="Body Text 2 Char"/>
    <w:basedOn w:val="DefaultParagraphFont"/>
    <w:link w:val="BodyText2"/>
    <w:uiPriority w:val="99"/>
    <w:semiHidden/>
    <w:rsid w:val="003E14E0"/>
    <w:rPr>
      <w:rFonts w:ascii="Times New Roman" w:eastAsia="Times New Roman" w:hAnsi="Times New Roman" w:cs="Times New Roman"/>
      <w:szCs w:val="24"/>
    </w:rPr>
  </w:style>
  <w:style w:type="paragraph" w:customStyle="1" w:styleId="tabhead">
    <w:name w:val="tabhead"/>
    <w:basedOn w:val="Normal"/>
    <w:rsid w:val="003E14E0"/>
    <w:pPr>
      <w:keepNext/>
      <w:spacing w:before="40" w:after="40" w:line="240" w:lineRule="auto"/>
    </w:pPr>
    <w:rPr>
      <w:rFonts w:ascii="Palatino" w:hAnsi="Palatino"/>
      <w:b/>
      <w:i/>
      <w:szCs w:val="20"/>
    </w:rPr>
  </w:style>
  <w:style w:type="paragraph" w:customStyle="1" w:styleId="Reference">
    <w:name w:val="Reference"/>
    <w:basedOn w:val="BodyText"/>
    <w:qFormat/>
    <w:rsid w:val="003E14E0"/>
    <w:pPr>
      <w:widowControl/>
      <w:spacing w:before="120" w:after="120"/>
      <w:ind w:left="720" w:hanging="720"/>
    </w:pPr>
    <w:rPr>
      <w:rFonts w:ascii="Times New Roman" w:eastAsia="Times New Roman" w:hAnsi="Times New Roman" w:cs="Times New Roman"/>
      <w:bCs/>
      <w:sz w:val="22"/>
      <w:szCs w:val="22"/>
      <w:lang w:val="en-AU"/>
    </w:rPr>
  </w:style>
  <w:style w:type="paragraph" w:customStyle="1" w:styleId="TableHs">
    <w:name w:val="TableHs"/>
    <w:basedOn w:val="Normal"/>
    <w:rsid w:val="003E14E0"/>
    <w:pPr>
      <w:keepNext/>
      <w:keepLines/>
      <w:spacing w:line="240" w:lineRule="auto"/>
      <w:jc w:val="center"/>
    </w:pPr>
    <w:rPr>
      <w:rFonts w:ascii="Times New Roman" w:hAnsi="Times New Roman"/>
      <w:szCs w:val="20"/>
    </w:rPr>
  </w:style>
  <w:style w:type="paragraph" w:styleId="ListBullet">
    <w:name w:val="List Bullet"/>
    <w:basedOn w:val="Normal"/>
    <w:uiPriority w:val="99"/>
    <w:unhideWhenUsed/>
    <w:rsid w:val="003E14E0"/>
    <w:pPr>
      <w:numPr>
        <w:numId w:val="9"/>
      </w:numPr>
      <w:spacing w:line="240" w:lineRule="auto"/>
      <w:contextualSpacing/>
    </w:pPr>
    <w:rPr>
      <w:rFonts w:ascii="Times New Roman" w:hAnsi="Times New Roman"/>
      <w:sz w:val="22"/>
    </w:rPr>
  </w:style>
  <w:style w:type="paragraph" w:styleId="ListBullet2">
    <w:name w:val="List Bullet 2"/>
    <w:basedOn w:val="Normal"/>
    <w:uiPriority w:val="99"/>
    <w:unhideWhenUsed/>
    <w:rsid w:val="003E14E0"/>
    <w:pPr>
      <w:numPr>
        <w:numId w:val="10"/>
      </w:numPr>
      <w:spacing w:line="240" w:lineRule="auto"/>
      <w:contextualSpacing/>
    </w:pPr>
    <w:rPr>
      <w:rFonts w:ascii="Times New Roman" w:hAnsi="Times New Roman"/>
      <w:sz w:val="22"/>
    </w:rPr>
  </w:style>
  <w:style w:type="paragraph" w:styleId="ListBullet3">
    <w:name w:val="List Bullet 3"/>
    <w:basedOn w:val="Normal"/>
    <w:uiPriority w:val="99"/>
    <w:unhideWhenUsed/>
    <w:rsid w:val="003E14E0"/>
    <w:pPr>
      <w:numPr>
        <w:numId w:val="11"/>
      </w:numPr>
      <w:spacing w:line="240" w:lineRule="auto"/>
      <w:contextualSpacing/>
    </w:pPr>
    <w:rPr>
      <w:rFonts w:ascii="Times New Roman" w:hAnsi="Times New Roman"/>
      <w:sz w:val="22"/>
    </w:rPr>
  </w:style>
  <w:style w:type="character" w:customStyle="1" w:styleId="FootnoteTextChar1">
    <w:name w:val="Footnote Text Char1"/>
    <w:basedOn w:val="DefaultParagraphFont"/>
    <w:uiPriority w:val="99"/>
    <w:semiHidden/>
    <w:rsid w:val="003E14E0"/>
    <w:rPr>
      <w:rFonts w:ascii="Times New Roman" w:eastAsia="Times New Roman" w:hAnsi="Times New Roman" w:cs="Times New Roman"/>
      <w:sz w:val="20"/>
      <w:szCs w:val="20"/>
    </w:rPr>
  </w:style>
  <w:style w:type="paragraph" w:styleId="ListNumber">
    <w:name w:val="List Number"/>
    <w:basedOn w:val="Normal"/>
    <w:uiPriority w:val="99"/>
    <w:unhideWhenUsed/>
    <w:rsid w:val="003E14E0"/>
    <w:pPr>
      <w:numPr>
        <w:numId w:val="12"/>
      </w:numPr>
      <w:spacing w:line="240" w:lineRule="auto"/>
      <w:contextualSpacing/>
    </w:pPr>
    <w:rPr>
      <w:rFonts w:ascii="Times New Roman" w:hAnsi="Times New Roman"/>
      <w:sz w:val="22"/>
    </w:rPr>
  </w:style>
  <w:style w:type="paragraph" w:styleId="ListNumber2">
    <w:name w:val="List Number 2"/>
    <w:basedOn w:val="Normal"/>
    <w:uiPriority w:val="99"/>
    <w:unhideWhenUsed/>
    <w:rsid w:val="003E14E0"/>
    <w:pPr>
      <w:numPr>
        <w:numId w:val="13"/>
      </w:numPr>
      <w:spacing w:line="240" w:lineRule="auto"/>
      <w:contextualSpacing/>
    </w:pPr>
    <w:rPr>
      <w:rFonts w:ascii="Times New Roman" w:hAnsi="Times New Roman"/>
      <w:sz w:val="22"/>
    </w:rPr>
  </w:style>
  <w:style w:type="paragraph" w:styleId="ListNumber3">
    <w:name w:val="List Number 3"/>
    <w:basedOn w:val="Normal"/>
    <w:uiPriority w:val="99"/>
    <w:unhideWhenUsed/>
    <w:rsid w:val="003E14E0"/>
    <w:pPr>
      <w:numPr>
        <w:numId w:val="14"/>
      </w:numPr>
      <w:spacing w:line="240" w:lineRule="auto"/>
      <w:contextualSpacing/>
    </w:pPr>
    <w:rPr>
      <w:rFonts w:ascii="Times New Roman" w:hAnsi="Times New Roman"/>
      <w:sz w:val="22"/>
    </w:rPr>
  </w:style>
  <w:style w:type="character" w:styleId="Strong">
    <w:name w:val="Strong"/>
    <w:uiPriority w:val="22"/>
    <w:qFormat/>
    <w:rsid w:val="00B72640"/>
    <w:rPr>
      <w:b/>
      <w:bCs/>
    </w:rPr>
  </w:style>
  <w:style w:type="character" w:customStyle="1" w:styleId="Biu">
    <w:name w:val="Biu"/>
    <w:rsid w:val="00B72640"/>
    <w:rPr>
      <w:b/>
    </w:rPr>
  </w:style>
  <w:style w:type="paragraph" w:styleId="TOC4">
    <w:name w:val="toc 4"/>
    <w:basedOn w:val="Normal"/>
    <w:next w:val="Normal"/>
    <w:autoRedefine/>
    <w:uiPriority w:val="39"/>
    <w:unhideWhenUsed/>
    <w:rsid w:val="00600AF1"/>
    <w:pPr>
      <w:spacing w:after="100" w:line="276" w:lineRule="auto"/>
      <w:ind w:left="660"/>
    </w:pPr>
    <w:rPr>
      <w:rFonts w:asciiTheme="minorHAnsi" w:eastAsiaTheme="minorEastAsia" w:hAnsiTheme="minorHAnsi" w:cstheme="minorBidi"/>
      <w:sz w:val="22"/>
      <w:szCs w:val="22"/>
      <w:lang w:eastAsia="en-AU"/>
    </w:rPr>
  </w:style>
  <w:style w:type="paragraph" w:styleId="TOC5">
    <w:name w:val="toc 5"/>
    <w:basedOn w:val="Normal"/>
    <w:next w:val="Normal"/>
    <w:autoRedefine/>
    <w:uiPriority w:val="39"/>
    <w:unhideWhenUsed/>
    <w:rsid w:val="00600AF1"/>
    <w:pPr>
      <w:spacing w:after="100" w:line="276" w:lineRule="auto"/>
      <w:ind w:left="880"/>
    </w:pPr>
    <w:rPr>
      <w:rFonts w:asciiTheme="minorHAnsi" w:eastAsiaTheme="minorEastAsia" w:hAnsiTheme="minorHAnsi" w:cstheme="minorBidi"/>
      <w:sz w:val="22"/>
      <w:szCs w:val="22"/>
      <w:lang w:eastAsia="en-AU"/>
    </w:rPr>
  </w:style>
  <w:style w:type="paragraph" w:styleId="TOC6">
    <w:name w:val="toc 6"/>
    <w:basedOn w:val="Normal"/>
    <w:next w:val="Normal"/>
    <w:autoRedefine/>
    <w:uiPriority w:val="39"/>
    <w:unhideWhenUsed/>
    <w:rsid w:val="00600AF1"/>
    <w:pPr>
      <w:spacing w:after="100" w:line="276" w:lineRule="auto"/>
      <w:ind w:left="1100"/>
    </w:pPr>
    <w:rPr>
      <w:rFonts w:asciiTheme="minorHAnsi" w:eastAsiaTheme="minorEastAsia" w:hAnsiTheme="minorHAnsi" w:cstheme="minorBidi"/>
      <w:sz w:val="22"/>
      <w:szCs w:val="22"/>
      <w:lang w:eastAsia="en-AU"/>
    </w:rPr>
  </w:style>
  <w:style w:type="paragraph" w:styleId="TOC7">
    <w:name w:val="toc 7"/>
    <w:basedOn w:val="Normal"/>
    <w:next w:val="Normal"/>
    <w:autoRedefine/>
    <w:uiPriority w:val="39"/>
    <w:unhideWhenUsed/>
    <w:rsid w:val="00600AF1"/>
    <w:pPr>
      <w:spacing w:after="100" w:line="276" w:lineRule="auto"/>
      <w:ind w:left="1320"/>
    </w:pPr>
    <w:rPr>
      <w:rFonts w:asciiTheme="minorHAnsi" w:eastAsiaTheme="minorEastAsia" w:hAnsiTheme="minorHAnsi" w:cstheme="minorBidi"/>
      <w:sz w:val="22"/>
      <w:szCs w:val="22"/>
      <w:lang w:eastAsia="en-AU"/>
    </w:rPr>
  </w:style>
  <w:style w:type="paragraph" w:styleId="TOC8">
    <w:name w:val="toc 8"/>
    <w:basedOn w:val="Normal"/>
    <w:next w:val="Normal"/>
    <w:autoRedefine/>
    <w:uiPriority w:val="39"/>
    <w:unhideWhenUsed/>
    <w:rsid w:val="00600AF1"/>
    <w:pPr>
      <w:spacing w:after="100" w:line="276" w:lineRule="auto"/>
      <w:ind w:left="1540"/>
    </w:pPr>
    <w:rPr>
      <w:rFonts w:asciiTheme="minorHAnsi" w:eastAsiaTheme="minorEastAsia" w:hAnsiTheme="minorHAnsi" w:cstheme="minorBidi"/>
      <w:sz w:val="22"/>
      <w:szCs w:val="22"/>
      <w:lang w:eastAsia="en-AU"/>
    </w:rPr>
  </w:style>
  <w:style w:type="paragraph" w:styleId="TOC9">
    <w:name w:val="toc 9"/>
    <w:basedOn w:val="Normal"/>
    <w:next w:val="Normal"/>
    <w:autoRedefine/>
    <w:uiPriority w:val="39"/>
    <w:unhideWhenUsed/>
    <w:rsid w:val="00600AF1"/>
    <w:pPr>
      <w:spacing w:after="100" w:line="276" w:lineRule="auto"/>
      <w:ind w:left="1760"/>
    </w:pPr>
    <w:rPr>
      <w:rFonts w:asciiTheme="minorHAnsi" w:eastAsiaTheme="minorEastAsia" w:hAnsiTheme="minorHAnsi" w:cstheme="minorBid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6888">
      <w:bodyDiv w:val="1"/>
      <w:marLeft w:val="0"/>
      <w:marRight w:val="0"/>
      <w:marTop w:val="0"/>
      <w:marBottom w:val="0"/>
      <w:divBdr>
        <w:top w:val="none" w:sz="0" w:space="0" w:color="auto"/>
        <w:left w:val="none" w:sz="0" w:space="0" w:color="auto"/>
        <w:bottom w:val="none" w:sz="0" w:space="0" w:color="auto"/>
        <w:right w:val="none" w:sz="0" w:space="0" w:color="auto"/>
      </w:divBdr>
    </w:div>
    <w:div w:id="97987480">
      <w:bodyDiv w:val="1"/>
      <w:marLeft w:val="0"/>
      <w:marRight w:val="0"/>
      <w:marTop w:val="0"/>
      <w:marBottom w:val="0"/>
      <w:divBdr>
        <w:top w:val="none" w:sz="0" w:space="0" w:color="auto"/>
        <w:left w:val="none" w:sz="0" w:space="0" w:color="auto"/>
        <w:bottom w:val="none" w:sz="0" w:space="0" w:color="auto"/>
        <w:right w:val="none" w:sz="0" w:space="0" w:color="auto"/>
      </w:divBdr>
    </w:div>
    <w:div w:id="117839465">
      <w:bodyDiv w:val="1"/>
      <w:marLeft w:val="0"/>
      <w:marRight w:val="0"/>
      <w:marTop w:val="0"/>
      <w:marBottom w:val="0"/>
      <w:divBdr>
        <w:top w:val="none" w:sz="0" w:space="0" w:color="auto"/>
        <w:left w:val="none" w:sz="0" w:space="0" w:color="auto"/>
        <w:bottom w:val="none" w:sz="0" w:space="0" w:color="auto"/>
        <w:right w:val="none" w:sz="0" w:space="0" w:color="auto"/>
      </w:divBdr>
    </w:div>
    <w:div w:id="158354735">
      <w:bodyDiv w:val="1"/>
      <w:marLeft w:val="0"/>
      <w:marRight w:val="0"/>
      <w:marTop w:val="0"/>
      <w:marBottom w:val="0"/>
      <w:divBdr>
        <w:top w:val="none" w:sz="0" w:space="0" w:color="auto"/>
        <w:left w:val="none" w:sz="0" w:space="0" w:color="auto"/>
        <w:bottom w:val="none" w:sz="0" w:space="0" w:color="auto"/>
        <w:right w:val="none" w:sz="0" w:space="0" w:color="auto"/>
      </w:divBdr>
    </w:div>
    <w:div w:id="181089514">
      <w:bodyDiv w:val="1"/>
      <w:marLeft w:val="0"/>
      <w:marRight w:val="0"/>
      <w:marTop w:val="0"/>
      <w:marBottom w:val="0"/>
      <w:divBdr>
        <w:top w:val="none" w:sz="0" w:space="0" w:color="auto"/>
        <w:left w:val="none" w:sz="0" w:space="0" w:color="auto"/>
        <w:bottom w:val="none" w:sz="0" w:space="0" w:color="auto"/>
        <w:right w:val="none" w:sz="0" w:space="0" w:color="auto"/>
      </w:divBdr>
    </w:div>
    <w:div w:id="192040637">
      <w:bodyDiv w:val="1"/>
      <w:marLeft w:val="0"/>
      <w:marRight w:val="0"/>
      <w:marTop w:val="0"/>
      <w:marBottom w:val="0"/>
      <w:divBdr>
        <w:top w:val="none" w:sz="0" w:space="0" w:color="auto"/>
        <w:left w:val="none" w:sz="0" w:space="0" w:color="auto"/>
        <w:bottom w:val="none" w:sz="0" w:space="0" w:color="auto"/>
        <w:right w:val="none" w:sz="0" w:space="0" w:color="auto"/>
      </w:divBdr>
    </w:div>
    <w:div w:id="215242535">
      <w:bodyDiv w:val="1"/>
      <w:marLeft w:val="0"/>
      <w:marRight w:val="0"/>
      <w:marTop w:val="0"/>
      <w:marBottom w:val="0"/>
      <w:divBdr>
        <w:top w:val="none" w:sz="0" w:space="0" w:color="auto"/>
        <w:left w:val="none" w:sz="0" w:space="0" w:color="auto"/>
        <w:bottom w:val="none" w:sz="0" w:space="0" w:color="auto"/>
        <w:right w:val="none" w:sz="0" w:space="0" w:color="auto"/>
      </w:divBdr>
    </w:div>
    <w:div w:id="302272582">
      <w:bodyDiv w:val="1"/>
      <w:marLeft w:val="0"/>
      <w:marRight w:val="0"/>
      <w:marTop w:val="0"/>
      <w:marBottom w:val="0"/>
      <w:divBdr>
        <w:top w:val="none" w:sz="0" w:space="0" w:color="auto"/>
        <w:left w:val="none" w:sz="0" w:space="0" w:color="auto"/>
        <w:bottom w:val="none" w:sz="0" w:space="0" w:color="auto"/>
        <w:right w:val="none" w:sz="0" w:space="0" w:color="auto"/>
      </w:divBdr>
    </w:div>
    <w:div w:id="307050567">
      <w:bodyDiv w:val="1"/>
      <w:marLeft w:val="0"/>
      <w:marRight w:val="0"/>
      <w:marTop w:val="0"/>
      <w:marBottom w:val="0"/>
      <w:divBdr>
        <w:top w:val="none" w:sz="0" w:space="0" w:color="auto"/>
        <w:left w:val="none" w:sz="0" w:space="0" w:color="auto"/>
        <w:bottom w:val="none" w:sz="0" w:space="0" w:color="auto"/>
        <w:right w:val="none" w:sz="0" w:space="0" w:color="auto"/>
      </w:divBdr>
    </w:div>
    <w:div w:id="377437742">
      <w:bodyDiv w:val="1"/>
      <w:marLeft w:val="0"/>
      <w:marRight w:val="0"/>
      <w:marTop w:val="0"/>
      <w:marBottom w:val="0"/>
      <w:divBdr>
        <w:top w:val="none" w:sz="0" w:space="0" w:color="auto"/>
        <w:left w:val="none" w:sz="0" w:space="0" w:color="auto"/>
        <w:bottom w:val="none" w:sz="0" w:space="0" w:color="auto"/>
        <w:right w:val="none" w:sz="0" w:space="0" w:color="auto"/>
      </w:divBdr>
    </w:div>
    <w:div w:id="392823402">
      <w:bodyDiv w:val="1"/>
      <w:marLeft w:val="0"/>
      <w:marRight w:val="0"/>
      <w:marTop w:val="0"/>
      <w:marBottom w:val="0"/>
      <w:divBdr>
        <w:top w:val="none" w:sz="0" w:space="0" w:color="auto"/>
        <w:left w:val="none" w:sz="0" w:space="0" w:color="auto"/>
        <w:bottom w:val="none" w:sz="0" w:space="0" w:color="auto"/>
        <w:right w:val="none" w:sz="0" w:space="0" w:color="auto"/>
      </w:divBdr>
    </w:div>
    <w:div w:id="394821364">
      <w:bodyDiv w:val="1"/>
      <w:marLeft w:val="0"/>
      <w:marRight w:val="0"/>
      <w:marTop w:val="0"/>
      <w:marBottom w:val="0"/>
      <w:divBdr>
        <w:top w:val="none" w:sz="0" w:space="0" w:color="auto"/>
        <w:left w:val="none" w:sz="0" w:space="0" w:color="auto"/>
        <w:bottom w:val="none" w:sz="0" w:space="0" w:color="auto"/>
        <w:right w:val="none" w:sz="0" w:space="0" w:color="auto"/>
      </w:divBdr>
      <w:divsChild>
        <w:div w:id="1998149365">
          <w:marLeft w:val="0"/>
          <w:marRight w:val="0"/>
          <w:marTop w:val="0"/>
          <w:marBottom w:val="0"/>
          <w:divBdr>
            <w:top w:val="none" w:sz="0" w:space="0" w:color="auto"/>
            <w:left w:val="none" w:sz="0" w:space="0" w:color="auto"/>
            <w:bottom w:val="none" w:sz="0" w:space="0" w:color="auto"/>
            <w:right w:val="none" w:sz="0" w:space="0" w:color="auto"/>
          </w:divBdr>
          <w:divsChild>
            <w:div w:id="887647466">
              <w:marLeft w:val="0"/>
              <w:marRight w:val="0"/>
              <w:marTop w:val="0"/>
              <w:marBottom w:val="0"/>
              <w:divBdr>
                <w:top w:val="none" w:sz="0" w:space="0" w:color="auto"/>
                <w:left w:val="none" w:sz="0" w:space="0" w:color="auto"/>
                <w:bottom w:val="none" w:sz="0" w:space="0" w:color="auto"/>
                <w:right w:val="none" w:sz="0" w:space="0" w:color="auto"/>
              </w:divBdr>
              <w:divsChild>
                <w:div w:id="212037020">
                  <w:marLeft w:val="0"/>
                  <w:marRight w:val="0"/>
                  <w:marTop w:val="0"/>
                  <w:marBottom w:val="0"/>
                  <w:divBdr>
                    <w:top w:val="none" w:sz="0" w:space="0" w:color="auto"/>
                    <w:left w:val="none" w:sz="0" w:space="0" w:color="auto"/>
                    <w:bottom w:val="none" w:sz="0" w:space="0" w:color="auto"/>
                    <w:right w:val="none" w:sz="0" w:space="0" w:color="auto"/>
                  </w:divBdr>
                  <w:divsChild>
                    <w:div w:id="1188174310">
                      <w:marLeft w:val="0"/>
                      <w:marRight w:val="0"/>
                      <w:marTop w:val="0"/>
                      <w:marBottom w:val="0"/>
                      <w:divBdr>
                        <w:top w:val="none" w:sz="0" w:space="0" w:color="auto"/>
                        <w:left w:val="none" w:sz="0" w:space="0" w:color="auto"/>
                        <w:bottom w:val="none" w:sz="0" w:space="0" w:color="auto"/>
                        <w:right w:val="none" w:sz="0" w:space="0" w:color="auto"/>
                      </w:divBdr>
                      <w:divsChild>
                        <w:div w:id="811410193">
                          <w:marLeft w:val="0"/>
                          <w:marRight w:val="0"/>
                          <w:marTop w:val="0"/>
                          <w:marBottom w:val="0"/>
                          <w:divBdr>
                            <w:top w:val="none" w:sz="0" w:space="0" w:color="auto"/>
                            <w:left w:val="none" w:sz="0" w:space="0" w:color="auto"/>
                            <w:bottom w:val="none" w:sz="0" w:space="0" w:color="auto"/>
                            <w:right w:val="none" w:sz="0" w:space="0" w:color="auto"/>
                          </w:divBdr>
                          <w:divsChild>
                            <w:div w:id="1383627492">
                              <w:marLeft w:val="0"/>
                              <w:marRight w:val="0"/>
                              <w:marTop w:val="0"/>
                              <w:marBottom w:val="0"/>
                              <w:divBdr>
                                <w:top w:val="none" w:sz="0" w:space="0" w:color="auto"/>
                                <w:left w:val="none" w:sz="0" w:space="0" w:color="auto"/>
                                <w:bottom w:val="none" w:sz="0" w:space="0" w:color="auto"/>
                                <w:right w:val="none" w:sz="0" w:space="0" w:color="auto"/>
                              </w:divBdr>
                              <w:divsChild>
                                <w:div w:id="45734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4841327">
      <w:bodyDiv w:val="1"/>
      <w:marLeft w:val="0"/>
      <w:marRight w:val="0"/>
      <w:marTop w:val="0"/>
      <w:marBottom w:val="0"/>
      <w:divBdr>
        <w:top w:val="none" w:sz="0" w:space="0" w:color="auto"/>
        <w:left w:val="none" w:sz="0" w:space="0" w:color="auto"/>
        <w:bottom w:val="none" w:sz="0" w:space="0" w:color="auto"/>
        <w:right w:val="none" w:sz="0" w:space="0" w:color="auto"/>
      </w:divBdr>
    </w:div>
    <w:div w:id="431970354">
      <w:bodyDiv w:val="1"/>
      <w:marLeft w:val="0"/>
      <w:marRight w:val="0"/>
      <w:marTop w:val="0"/>
      <w:marBottom w:val="0"/>
      <w:divBdr>
        <w:top w:val="none" w:sz="0" w:space="0" w:color="auto"/>
        <w:left w:val="none" w:sz="0" w:space="0" w:color="auto"/>
        <w:bottom w:val="none" w:sz="0" w:space="0" w:color="auto"/>
        <w:right w:val="none" w:sz="0" w:space="0" w:color="auto"/>
      </w:divBdr>
    </w:div>
    <w:div w:id="432896371">
      <w:bodyDiv w:val="1"/>
      <w:marLeft w:val="0"/>
      <w:marRight w:val="0"/>
      <w:marTop w:val="0"/>
      <w:marBottom w:val="0"/>
      <w:divBdr>
        <w:top w:val="none" w:sz="0" w:space="0" w:color="auto"/>
        <w:left w:val="none" w:sz="0" w:space="0" w:color="auto"/>
        <w:bottom w:val="none" w:sz="0" w:space="0" w:color="auto"/>
        <w:right w:val="none" w:sz="0" w:space="0" w:color="auto"/>
      </w:divBdr>
    </w:div>
    <w:div w:id="461308865">
      <w:bodyDiv w:val="1"/>
      <w:marLeft w:val="0"/>
      <w:marRight w:val="0"/>
      <w:marTop w:val="0"/>
      <w:marBottom w:val="0"/>
      <w:divBdr>
        <w:top w:val="none" w:sz="0" w:space="0" w:color="auto"/>
        <w:left w:val="none" w:sz="0" w:space="0" w:color="auto"/>
        <w:bottom w:val="none" w:sz="0" w:space="0" w:color="auto"/>
        <w:right w:val="none" w:sz="0" w:space="0" w:color="auto"/>
      </w:divBdr>
    </w:div>
    <w:div w:id="478304822">
      <w:bodyDiv w:val="1"/>
      <w:marLeft w:val="0"/>
      <w:marRight w:val="0"/>
      <w:marTop w:val="0"/>
      <w:marBottom w:val="0"/>
      <w:divBdr>
        <w:top w:val="none" w:sz="0" w:space="0" w:color="auto"/>
        <w:left w:val="none" w:sz="0" w:space="0" w:color="auto"/>
        <w:bottom w:val="none" w:sz="0" w:space="0" w:color="auto"/>
        <w:right w:val="none" w:sz="0" w:space="0" w:color="auto"/>
      </w:divBdr>
    </w:div>
    <w:div w:id="488669059">
      <w:bodyDiv w:val="1"/>
      <w:marLeft w:val="0"/>
      <w:marRight w:val="0"/>
      <w:marTop w:val="0"/>
      <w:marBottom w:val="0"/>
      <w:divBdr>
        <w:top w:val="none" w:sz="0" w:space="0" w:color="auto"/>
        <w:left w:val="none" w:sz="0" w:space="0" w:color="auto"/>
        <w:bottom w:val="none" w:sz="0" w:space="0" w:color="auto"/>
        <w:right w:val="none" w:sz="0" w:space="0" w:color="auto"/>
      </w:divBdr>
    </w:div>
    <w:div w:id="489102172">
      <w:bodyDiv w:val="1"/>
      <w:marLeft w:val="0"/>
      <w:marRight w:val="0"/>
      <w:marTop w:val="0"/>
      <w:marBottom w:val="0"/>
      <w:divBdr>
        <w:top w:val="none" w:sz="0" w:space="0" w:color="auto"/>
        <w:left w:val="none" w:sz="0" w:space="0" w:color="auto"/>
        <w:bottom w:val="none" w:sz="0" w:space="0" w:color="auto"/>
        <w:right w:val="none" w:sz="0" w:space="0" w:color="auto"/>
      </w:divBdr>
    </w:div>
    <w:div w:id="498733469">
      <w:bodyDiv w:val="1"/>
      <w:marLeft w:val="0"/>
      <w:marRight w:val="0"/>
      <w:marTop w:val="0"/>
      <w:marBottom w:val="0"/>
      <w:divBdr>
        <w:top w:val="none" w:sz="0" w:space="0" w:color="auto"/>
        <w:left w:val="none" w:sz="0" w:space="0" w:color="auto"/>
        <w:bottom w:val="none" w:sz="0" w:space="0" w:color="auto"/>
        <w:right w:val="none" w:sz="0" w:space="0" w:color="auto"/>
      </w:divBdr>
    </w:div>
    <w:div w:id="519045686">
      <w:bodyDiv w:val="1"/>
      <w:marLeft w:val="0"/>
      <w:marRight w:val="0"/>
      <w:marTop w:val="0"/>
      <w:marBottom w:val="0"/>
      <w:divBdr>
        <w:top w:val="none" w:sz="0" w:space="0" w:color="auto"/>
        <w:left w:val="none" w:sz="0" w:space="0" w:color="auto"/>
        <w:bottom w:val="none" w:sz="0" w:space="0" w:color="auto"/>
        <w:right w:val="none" w:sz="0" w:space="0" w:color="auto"/>
      </w:divBdr>
    </w:div>
    <w:div w:id="523330629">
      <w:bodyDiv w:val="1"/>
      <w:marLeft w:val="0"/>
      <w:marRight w:val="0"/>
      <w:marTop w:val="0"/>
      <w:marBottom w:val="0"/>
      <w:divBdr>
        <w:top w:val="none" w:sz="0" w:space="0" w:color="auto"/>
        <w:left w:val="none" w:sz="0" w:space="0" w:color="auto"/>
        <w:bottom w:val="none" w:sz="0" w:space="0" w:color="auto"/>
        <w:right w:val="none" w:sz="0" w:space="0" w:color="auto"/>
      </w:divBdr>
    </w:div>
    <w:div w:id="532349362">
      <w:bodyDiv w:val="1"/>
      <w:marLeft w:val="0"/>
      <w:marRight w:val="0"/>
      <w:marTop w:val="0"/>
      <w:marBottom w:val="0"/>
      <w:divBdr>
        <w:top w:val="none" w:sz="0" w:space="0" w:color="auto"/>
        <w:left w:val="none" w:sz="0" w:space="0" w:color="auto"/>
        <w:bottom w:val="none" w:sz="0" w:space="0" w:color="auto"/>
        <w:right w:val="none" w:sz="0" w:space="0" w:color="auto"/>
      </w:divBdr>
    </w:div>
    <w:div w:id="589503481">
      <w:bodyDiv w:val="1"/>
      <w:marLeft w:val="0"/>
      <w:marRight w:val="0"/>
      <w:marTop w:val="0"/>
      <w:marBottom w:val="0"/>
      <w:divBdr>
        <w:top w:val="none" w:sz="0" w:space="0" w:color="auto"/>
        <w:left w:val="none" w:sz="0" w:space="0" w:color="auto"/>
        <w:bottom w:val="none" w:sz="0" w:space="0" w:color="auto"/>
        <w:right w:val="none" w:sz="0" w:space="0" w:color="auto"/>
      </w:divBdr>
    </w:div>
    <w:div w:id="614947062">
      <w:bodyDiv w:val="1"/>
      <w:marLeft w:val="0"/>
      <w:marRight w:val="0"/>
      <w:marTop w:val="0"/>
      <w:marBottom w:val="0"/>
      <w:divBdr>
        <w:top w:val="none" w:sz="0" w:space="0" w:color="auto"/>
        <w:left w:val="none" w:sz="0" w:space="0" w:color="auto"/>
        <w:bottom w:val="none" w:sz="0" w:space="0" w:color="auto"/>
        <w:right w:val="none" w:sz="0" w:space="0" w:color="auto"/>
      </w:divBdr>
    </w:div>
    <w:div w:id="614947453">
      <w:bodyDiv w:val="1"/>
      <w:marLeft w:val="0"/>
      <w:marRight w:val="0"/>
      <w:marTop w:val="0"/>
      <w:marBottom w:val="0"/>
      <w:divBdr>
        <w:top w:val="none" w:sz="0" w:space="0" w:color="auto"/>
        <w:left w:val="none" w:sz="0" w:space="0" w:color="auto"/>
        <w:bottom w:val="none" w:sz="0" w:space="0" w:color="auto"/>
        <w:right w:val="none" w:sz="0" w:space="0" w:color="auto"/>
      </w:divBdr>
    </w:div>
    <w:div w:id="636567311">
      <w:bodyDiv w:val="1"/>
      <w:marLeft w:val="0"/>
      <w:marRight w:val="0"/>
      <w:marTop w:val="0"/>
      <w:marBottom w:val="0"/>
      <w:divBdr>
        <w:top w:val="none" w:sz="0" w:space="0" w:color="auto"/>
        <w:left w:val="none" w:sz="0" w:space="0" w:color="auto"/>
        <w:bottom w:val="none" w:sz="0" w:space="0" w:color="auto"/>
        <w:right w:val="none" w:sz="0" w:space="0" w:color="auto"/>
      </w:divBdr>
    </w:div>
    <w:div w:id="659651679">
      <w:bodyDiv w:val="1"/>
      <w:marLeft w:val="0"/>
      <w:marRight w:val="0"/>
      <w:marTop w:val="0"/>
      <w:marBottom w:val="0"/>
      <w:divBdr>
        <w:top w:val="none" w:sz="0" w:space="0" w:color="auto"/>
        <w:left w:val="none" w:sz="0" w:space="0" w:color="auto"/>
        <w:bottom w:val="none" w:sz="0" w:space="0" w:color="auto"/>
        <w:right w:val="none" w:sz="0" w:space="0" w:color="auto"/>
      </w:divBdr>
    </w:div>
    <w:div w:id="745495638">
      <w:bodyDiv w:val="1"/>
      <w:marLeft w:val="0"/>
      <w:marRight w:val="0"/>
      <w:marTop w:val="0"/>
      <w:marBottom w:val="0"/>
      <w:divBdr>
        <w:top w:val="none" w:sz="0" w:space="0" w:color="auto"/>
        <w:left w:val="none" w:sz="0" w:space="0" w:color="auto"/>
        <w:bottom w:val="none" w:sz="0" w:space="0" w:color="auto"/>
        <w:right w:val="none" w:sz="0" w:space="0" w:color="auto"/>
      </w:divBdr>
      <w:divsChild>
        <w:div w:id="102189936">
          <w:marLeft w:val="0"/>
          <w:marRight w:val="0"/>
          <w:marTop w:val="0"/>
          <w:marBottom w:val="0"/>
          <w:divBdr>
            <w:top w:val="none" w:sz="0" w:space="0" w:color="auto"/>
            <w:left w:val="none" w:sz="0" w:space="0" w:color="auto"/>
            <w:bottom w:val="none" w:sz="0" w:space="0" w:color="auto"/>
            <w:right w:val="none" w:sz="0" w:space="0" w:color="auto"/>
          </w:divBdr>
        </w:div>
        <w:div w:id="401146622">
          <w:marLeft w:val="0"/>
          <w:marRight w:val="0"/>
          <w:marTop w:val="0"/>
          <w:marBottom w:val="0"/>
          <w:divBdr>
            <w:top w:val="none" w:sz="0" w:space="0" w:color="auto"/>
            <w:left w:val="none" w:sz="0" w:space="0" w:color="auto"/>
            <w:bottom w:val="none" w:sz="0" w:space="0" w:color="auto"/>
            <w:right w:val="none" w:sz="0" w:space="0" w:color="auto"/>
          </w:divBdr>
        </w:div>
        <w:div w:id="477116105">
          <w:marLeft w:val="0"/>
          <w:marRight w:val="0"/>
          <w:marTop w:val="0"/>
          <w:marBottom w:val="0"/>
          <w:divBdr>
            <w:top w:val="none" w:sz="0" w:space="0" w:color="auto"/>
            <w:left w:val="none" w:sz="0" w:space="0" w:color="auto"/>
            <w:bottom w:val="none" w:sz="0" w:space="0" w:color="auto"/>
            <w:right w:val="none" w:sz="0" w:space="0" w:color="auto"/>
          </w:divBdr>
        </w:div>
        <w:div w:id="575020498">
          <w:marLeft w:val="0"/>
          <w:marRight w:val="0"/>
          <w:marTop w:val="0"/>
          <w:marBottom w:val="0"/>
          <w:divBdr>
            <w:top w:val="none" w:sz="0" w:space="0" w:color="auto"/>
            <w:left w:val="none" w:sz="0" w:space="0" w:color="auto"/>
            <w:bottom w:val="none" w:sz="0" w:space="0" w:color="auto"/>
            <w:right w:val="none" w:sz="0" w:space="0" w:color="auto"/>
          </w:divBdr>
        </w:div>
        <w:div w:id="593829602">
          <w:marLeft w:val="0"/>
          <w:marRight w:val="0"/>
          <w:marTop w:val="0"/>
          <w:marBottom w:val="0"/>
          <w:divBdr>
            <w:top w:val="none" w:sz="0" w:space="0" w:color="auto"/>
            <w:left w:val="none" w:sz="0" w:space="0" w:color="auto"/>
            <w:bottom w:val="none" w:sz="0" w:space="0" w:color="auto"/>
            <w:right w:val="none" w:sz="0" w:space="0" w:color="auto"/>
          </w:divBdr>
        </w:div>
        <w:div w:id="676155059">
          <w:marLeft w:val="0"/>
          <w:marRight w:val="0"/>
          <w:marTop w:val="0"/>
          <w:marBottom w:val="0"/>
          <w:divBdr>
            <w:top w:val="none" w:sz="0" w:space="0" w:color="auto"/>
            <w:left w:val="none" w:sz="0" w:space="0" w:color="auto"/>
            <w:bottom w:val="none" w:sz="0" w:space="0" w:color="auto"/>
            <w:right w:val="none" w:sz="0" w:space="0" w:color="auto"/>
          </w:divBdr>
        </w:div>
        <w:div w:id="867254407">
          <w:marLeft w:val="0"/>
          <w:marRight w:val="0"/>
          <w:marTop w:val="0"/>
          <w:marBottom w:val="0"/>
          <w:divBdr>
            <w:top w:val="none" w:sz="0" w:space="0" w:color="auto"/>
            <w:left w:val="none" w:sz="0" w:space="0" w:color="auto"/>
            <w:bottom w:val="none" w:sz="0" w:space="0" w:color="auto"/>
            <w:right w:val="none" w:sz="0" w:space="0" w:color="auto"/>
          </w:divBdr>
        </w:div>
        <w:div w:id="1065101008">
          <w:marLeft w:val="0"/>
          <w:marRight w:val="0"/>
          <w:marTop w:val="0"/>
          <w:marBottom w:val="0"/>
          <w:divBdr>
            <w:top w:val="none" w:sz="0" w:space="0" w:color="auto"/>
            <w:left w:val="none" w:sz="0" w:space="0" w:color="auto"/>
            <w:bottom w:val="none" w:sz="0" w:space="0" w:color="auto"/>
            <w:right w:val="none" w:sz="0" w:space="0" w:color="auto"/>
          </w:divBdr>
        </w:div>
        <w:div w:id="1193961264">
          <w:marLeft w:val="0"/>
          <w:marRight w:val="0"/>
          <w:marTop w:val="0"/>
          <w:marBottom w:val="0"/>
          <w:divBdr>
            <w:top w:val="none" w:sz="0" w:space="0" w:color="auto"/>
            <w:left w:val="none" w:sz="0" w:space="0" w:color="auto"/>
            <w:bottom w:val="none" w:sz="0" w:space="0" w:color="auto"/>
            <w:right w:val="none" w:sz="0" w:space="0" w:color="auto"/>
          </w:divBdr>
        </w:div>
        <w:div w:id="1345204992">
          <w:marLeft w:val="0"/>
          <w:marRight w:val="0"/>
          <w:marTop w:val="0"/>
          <w:marBottom w:val="0"/>
          <w:divBdr>
            <w:top w:val="none" w:sz="0" w:space="0" w:color="auto"/>
            <w:left w:val="none" w:sz="0" w:space="0" w:color="auto"/>
            <w:bottom w:val="none" w:sz="0" w:space="0" w:color="auto"/>
            <w:right w:val="none" w:sz="0" w:space="0" w:color="auto"/>
          </w:divBdr>
        </w:div>
        <w:div w:id="1681394789">
          <w:marLeft w:val="0"/>
          <w:marRight w:val="0"/>
          <w:marTop w:val="0"/>
          <w:marBottom w:val="0"/>
          <w:divBdr>
            <w:top w:val="none" w:sz="0" w:space="0" w:color="auto"/>
            <w:left w:val="none" w:sz="0" w:space="0" w:color="auto"/>
            <w:bottom w:val="none" w:sz="0" w:space="0" w:color="auto"/>
            <w:right w:val="none" w:sz="0" w:space="0" w:color="auto"/>
          </w:divBdr>
        </w:div>
        <w:div w:id="1682852930">
          <w:marLeft w:val="0"/>
          <w:marRight w:val="0"/>
          <w:marTop w:val="0"/>
          <w:marBottom w:val="0"/>
          <w:divBdr>
            <w:top w:val="none" w:sz="0" w:space="0" w:color="auto"/>
            <w:left w:val="none" w:sz="0" w:space="0" w:color="auto"/>
            <w:bottom w:val="none" w:sz="0" w:space="0" w:color="auto"/>
            <w:right w:val="none" w:sz="0" w:space="0" w:color="auto"/>
          </w:divBdr>
        </w:div>
      </w:divsChild>
    </w:div>
    <w:div w:id="750084369">
      <w:bodyDiv w:val="1"/>
      <w:marLeft w:val="0"/>
      <w:marRight w:val="0"/>
      <w:marTop w:val="0"/>
      <w:marBottom w:val="0"/>
      <w:divBdr>
        <w:top w:val="none" w:sz="0" w:space="0" w:color="auto"/>
        <w:left w:val="none" w:sz="0" w:space="0" w:color="auto"/>
        <w:bottom w:val="none" w:sz="0" w:space="0" w:color="auto"/>
        <w:right w:val="none" w:sz="0" w:space="0" w:color="auto"/>
      </w:divBdr>
    </w:div>
    <w:div w:id="868570476">
      <w:bodyDiv w:val="1"/>
      <w:marLeft w:val="0"/>
      <w:marRight w:val="0"/>
      <w:marTop w:val="0"/>
      <w:marBottom w:val="0"/>
      <w:divBdr>
        <w:top w:val="none" w:sz="0" w:space="0" w:color="auto"/>
        <w:left w:val="none" w:sz="0" w:space="0" w:color="auto"/>
        <w:bottom w:val="none" w:sz="0" w:space="0" w:color="auto"/>
        <w:right w:val="none" w:sz="0" w:space="0" w:color="auto"/>
      </w:divBdr>
    </w:div>
    <w:div w:id="892430247">
      <w:bodyDiv w:val="1"/>
      <w:marLeft w:val="0"/>
      <w:marRight w:val="0"/>
      <w:marTop w:val="0"/>
      <w:marBottom w:val="0"/>
      <w:divBdr>
        <w:top w:val="none" w:sz="0" w:space="0" w:color="auto"/>
        <w:left w:val="none" w:sz="0" w:space="0" w:color="auto"/>
        <w:bottom w:val="none" w:sz="0" w:space="0" w:color="auto"/>
        <w:right w:val="none" w:sz="0" w:space="0" w:color="auto"/>
      </w:divBdr>
    </w:div>
    <w:div w:id="922567593">
      <w:bodyDiv w:val="1"/>
      <w:marLeft w:val="0"/>
      <w:marRight w:val="0"/>
      <w:marTop w:val="0"/>
      <w:marBottom w:val="0"/>
      <w:divBdr>
        <w:top w:val="none" w:sz="0" w:space="0" w:color="auto"/>
        <w:left w:val="none" w:sz="0" w:space="0" w:color="auto"/>
        <w:bottom w:val="none" w:sz="0" w:space="0" w:color="auto"/>
        <w:right w:val="none" w:sz="0" w:space="0" w:color="auto"/>
      </w:divBdr>
    </w:div>
    <w:div w:id="952126518">
      <w:bodyDiv w:val="1"/>
      <w:marLeft w:val="0"/>
      <w:marRight w:val="0"/>
      <w:marTop w:val="0"/>
      <w:marBottom w:val="0"/>
      <w:divBdr>
        <w:top w:val="none" w:sz="0" w:space="0" w:color="auto"/>
        <w:left w:val="none" w:sz="0" w:space="0" w:color="auto"/>
        <w:bottom w:val="none" w:sz="0" w:space="0" w:color="auto"/>
        <w:right w:val="none" w:sz="0" w:space="0" w:color="auto"/>
      </w:divBdr>
    </w:div>
    <w:div w:id="969818962">
      <w:bodyDiv w:val="1"/>
      <w:marLeft w:val="0"/>
      <w:marRight w:val="0"/>
      <w:marTop w:val="0"/>
      <w:marBottom w:val="0"/>
      <w:divBdr>
        <w:top w:val="none" w:sz="0" w:space="0" w:color="auto"/>
        <w:left w:val="none" w:sz="0" w:space="0" w:color="auto"/>
        <w:bottom w:val="none" w:sz="0" w:space="0" w:color="auto"/>
        <w:right w:val="none" w:sz="0" w:space="0" w:color="auto"/>
      </w:divBdr>
    </w:div>
    <w:div w:id="987053482">
      <w:bodyDiv w:val="1"/>
      <w:marLeft w:val="0"/>
      <w:marRight w:val="0"/>
      <w:marTop w:val="0"/>
      <w:marBottom w:val="0"/>
      <w:divBdr>
        <w:top w:val="none" w:sz="0" w:space="0" w:color="auto"/>
        <w:left w:val="none" w:sz="0" w:space="0" w:color="auto"/>
        <w:bottom w:val="none" w:sz="0" w:space="0" w:color="auto"/>
        <w:right w:val="none" w:sz="0" w:space="0" w:color="auto"/>
      </w:divBdr>
    </w:div>
    <w:div w:id="1007824165">
      <w:bodyDiv w:val="1"/>
      <w:marLeft w:val="0"/>
      <w:marRight w:val="0"/>
      <w:marTop w:val="0"/>
      <w:marBottom w:val="0"/>
      <w:divBdr>
        <w:top w:val="none" w:sz="0" w:space="0" w:color="auto"/>
        <w:left w:val="none" w:sz="0" w:space="0" w:color="auto"/>
        <w:bottom w:val="none" w:sz="0" w:space="0" w:color="auto"/>
        <w:right w:val="none" w:sz="0" w:space="0" w:color="auto"/>
      </w:divBdr>
    </w:div>
    <w:div w:id="1034232191">
      <w:bodyDiv w:val="1"/>
      <w:marLeft w:val="0"/>
      <w:marRight w:val="0"/>
      <w:marTop w:val="0"/>
      <w:marBottom w:val="0"/>
      <w:divBdr>
        <w:top w:val="none" w:sz="0" w:space="0" w:color="auto"/>
        <w:left w:val="none" w:sz="0" w:space="0" w:color="auto"/>
        <w:bottom w:val="none" w:sz="0" w:space="0" w:color="auto"/>
        <w:right w:val="none" w:sz="0" w:space="0" w:color="auto"/>
      </w:divBdr>
    </w:div>
    <w:div w:id="1048921930">
      <w:bodyDiv w:val="1"/>
      <w:marLeft w:val="0"/>
      <w:marRight w:val="0"/>
      <w:marTop w:val="0"/>
      <w:marBottom w:val="0"/>
      <w:divBdr>
        <w:top w:val="none" w:sz="0" w:space="0" w:color="auto"/>
        <w:left w:val="none" w:sz="0" w:space="0" w:color="auto"/>
        <w:bottom w:val="none" w:sz="0" w:space="0" w:color="auto"/>
        <w:right w:val="none" w:sz="0" w:space="0" w:color="auto"/>
      </w:divBdr>
    </w:div>
    <w:div w:id="1065833323">
      <w:bodyDiv w:val="1"/>
      <w:marLeft w:val="0"/>
      <w:marRight w:val="0"/>
      <w:marTop w:val="0"/>
      <w:marBottom w:val="0"/>
      <w:divBdr>
        <w:top w:val="none" w:sz="0" w:space="0" w:color="auto"/>
        <w:left w:val="none" w:sz="0" w:space="0" w:color="auto"/>
        <w:bottom w:val="none" w:sz="0" w:space="0" w:color="auto"/>
        <w:right w:val="none" w:sz="0" w:space="0" w:color="auto"/>
      </w:divBdr>
    </w:div>
    <w:div w:id="1066998379">
      <w:bodyDiv w:val="1"/>
      <w:marLeft w:val="0"/>
      <w:marRight w:val="0"/>
      <w:marTop w:val="0"/>
      <w:marBottom w:val="0"/>
      <w:divBdr>
        <w:top w:val="none" w:sz="0" w:space="0" w:color="auto"/>
        <w:left w:val="none" w:sz="0" w:space="0" w:color="auto"/>
        <w:bottom w:val="none" w:sz="0" w:space="0" w:color="auto"/>
        <w:right w:val="none" w:sz="0" w:space="0" w:color="auto"/>
      </w:divBdr>
    </w:div>
    <w:div w:id="1104571927">
      <w:bodyDiv w:val="1"/>
      <w:marLeft w:val="0"/>
      <w:marRight w:val="0"/>
      <w:marTop w:val="0"/>
      <w:marBottom w:val="0"/>
      <w:divBdr>
        <w:top w:val="none" w:sz="0" w:space="0" w:color="auto"/>
        <w:left w:val="none" w:sz="0" w:space="0" w:color="auto"/>
        <w:bottom w:val="none" w:sz="0" w:space="0" w:color="auto"/>
        <w:right w:val="none" w:sz="0" w:space="0" w:color="auto"/>
      </w:divBdr>
    </w:div>
    <w:div w:id="1246650208">
      <w:bodyDiv w:val="1"/>
      <w:marLeft w:val="0"/>
      <w:marRight w:val="0"/>
      <w:marTop w:val="0"/>
      <w:marBottom w:val="0"/>
      <w:divBdr>
        <w:top w:val="none" w:sz="0" w:space="0" w:color="auto"/>
        <w:left w:val="none" w:sz="0" w:space="0" w:color="auto"/>
        <w:bottom w:val="none" w:sz="0" w:space="0" w:color="auto"/>
        <w:right w:val="none" w:sz="0" w:space="0" w:color="auto"/>
      </w:divBdr>
      <w:divsChild>
        <w:div w:id="282424634">
          <w:marLeft w:val="0"/>
          <w:marRight w:val="0"/>
          <w:marTop w:val="0"/>
          <w:marBottom w:val="0"/>
          <w:divBdr>
            <w:top w:val="none" w:sz="0" w:space="0" w:color="auto"/>
            <w:left w:val="none" w:sz="0" w:space="0" w:color="auto"/>
            <w:bottom w:val="none" w:sz="0" w:space="0" w:color="auto"/>
            <w:right w:val="none" w:sz="0" w:space="0" w:color="auto"/>
          </w:divBdr>
        </w:div>
        <w:div w:id="333995130">
          <w:marLeft w:val="0"/>
          <w:marRight w:val="0"/>
          <w:marTop w:val="0"/>
          <w:marBottom w:val="0"/>
          <w:divBdr>
            <w:top w:val="none" w:sz="0" w:space="0" w:color="auto"/>
            <w:left w:val="none" w:sz="0" w:space="0" w:color="auto"/>
            <w:bottom w:val="none" w:sz="0" w:space="0" w:color="auto"/>
            <w:right w:val="none" w:sz="0" w:space="0" w:color="auto"/>
          </w:divBdr>
        </w:div>
        <w:div w:id="905842002">
          <w:marLeft w:val="0"/>
          <w:marRight w:val="0"/>
          <w:marTop w:val="0"/>
          <w:marBottom w:val="0"/>
          <w:divBdr>
            <w:top w:val="none" w:sz="0" w:space="0" w:color="auto"/>
            <w:left w:val="none" w:sz="0" w:space="0" w:color="auto"/>
            <w:bottom w:val="none" w:sz="0" w:space="0" w:color="auto"/>
            <w:right w:val="none" w:sz="0" w:space="0" w:color="auto"/>
          </w:divBdr>
        </w:div>
        <w:div w:id="1289362405">
          <w:marLeft w:val="0"/>
          <w:marRight w:val="0"/>
          <w:marTop w:val="0"/>
          <w:marBottom w:val="0"/>
          <w:divBdr>
            <w:top w:val="none" w:sz="0" w:space="0" w:color="auto"/>
            <w:left w:val="none" w:sz="0" w:space="0" w:color="auto"/>
            <w:bottom w:val="none" w:sz="0" w:space="0" w:color="auto"/>
            <w:right w:val="none" w:sz="0" w:space="0" w:color="auto"/>
          </w:divBdr>
        </w:div>
        <w:div w:id="1619676311">
          <w:marLeft w:val="0"/>
          <w:marRight w:val="0"/>
          <w:marTop w:val="0"/>
          <w:marBottom w:val="0"/>
          <w:divBdr>
            <w:top w:val="none" w:sz="0" w:space="0" w:color="auto"/>
            <w:left w:val="none" w:sz="0" w:space="0" w:color="auto"/>
            <w:bottom w:val="none" w:sz="0" w:space="0" w:color="auto"/>
            <w:right w:val="none" w:sz="0" w:space="0" w:color="auto"/>
          </w:divBdr>
        </w:div>
      </w:divsChild>
    </w:div>
    <w:div w:id="1264651230">
      <w:bodyDiv w:val="1"/>
      <w:marLeft w:val="0"/>
      <w:marRight w:val="0"/>
      <w:marTop w:val="0"/>
      <w:marBottom w:val="0"/>
      <w:divBdr>
        <w:top w:val="none" w:sz="0" w:space="0" w:color="auto"/>
        <w:left w:val="none" w:sz="0" w:space="0" w:color="auto"/>
        <w:bottom w:val="none" w:sz="0" w:space="0" w:color="auto"/>
        <w:right w:val="none" w:sz="0" w:space="0" w:color="auto"/>
      </w:divBdr>
    </w:div>
    <w:div w:id="1296134310">
      <w:bodyDiv w:val="1"/>
      <w:marLeft w:val="0"/>
      <w:marRight w:val="0"/>
      <w:marTop w:val="0"/>
      <w:marBottom w:val="0"/>
      <w:divBdr>
        <w:top w:val="none" w:sz="0" w:space="0" w:color="auto"/>
        <w:left w:val="none" w:sz="0" w:space="0" w:color="auto"/>
        <w:bottom w:val="none" w:sz="0" w:space="0" w:color="auto"/>
        <w:right w:val="none" w:sz="0" w:space="0" w:color="auto"/>
      </w:divBdr>
    </w:div>
    <w:div w:id="1303848917">
      <w:bodyDiv w:val="1"/>
      <w:marLeft w:val="0"/>
      <w:marRight w:val="0"/>
      <w:marTop w:val="0"/>
      <w:marBottom w:val="0"/>
      <w:divBdr>
        <w:top w:val="none" w:sz="0" w:space="0" w:color="auto"/>
        <w:left w:val="none" w:sz="0" w:space="0" w:color="auto"/>
        <w:bottom w:val="none" w:sz="0" w:space="0" w:color="auto"/>
        <w:right w:val="none" w:sz="0" w:space="0" w:color="auto"/>
      </w:divBdr>
    </w:div>
    <w:div w:id="1337489942">
      <w:bodyDiv w:val="1"/>
      <w:marLeft w:val="0"/>
      <w:marRight w:val="0"/>
      <w:marTop w:val="0"/>
      <w:marBottom w:val="0"/>
      <w:divBdr>
        <w:top w:val="none" w:sz="0" w:space="0" w:color="auto"/>
        <w:left w:val="none" w:sz="0" w:space="0" w:color="auto"/>
        <w:bottom w:val="none" w:sz="0" w:space="0" w:color="auto"/>
        <w:right w:val="none" w:sz="0" w:space="0" w:color="auto"/>
      </w:divBdr>
    </w:div>
    <w:div w:id="1381397870">
      <w:bodyDiv w:val="1"/>
      <w:marLeft w:val="0"/>
      <w:marRight w:val="0"/>
      <w:marTop w:val="0"/>
      <w:marBottom w:val="0"/>
      <w:divBdr>
        <w:top w:val="none" w:sz="0" w:space="0" w:color="auto"/>
        <w:left w:val="none" w:sz="0" w:space="0" w:color="auto"/>
        <w:bottom w:val="none" w:sz="0" w:space="0" w:color="auto"/>
        <w:right w:val="none" w:sz="0" w:space="0" w:color="auto"/>
      </w:divBdr>
    </w:div>
    <w:div w:id="1422095616">
      <w:bodyDiv w:val="1"/>
      <w:marLeft w:val="0"/>
      <w:marRight w:val="0"/>
      <w:marTop w:val="0"/>
      <w:marBottom w:val="0"/>
      <w:divBdr>
        <w:top w:val="none" w:sz="0" w:space="0" w:color="auto"/>
        <w:left w:val="none" w:sz="0" w:space="0" w:color="auto"/>
        <w:bottom w:val="none" w:sz="0" w:space="0" w:color="auto"/>
        <w:right w:val="none" w:sz="0" w:space="0" w:color="auto"/>
      </w:divBdr>
    </w:div>
    <w:div w:id="1442337344">
      <w:bodyDiv w:val="1"/>
      <w:marLeft w:val="0"/>
      <w:marRight w:val="0"/>
      <w:marTop w:val="0"/>
      <w:marBottom w:val="0"/>
      <w:divBdr>
        <w:top w:val="none" w:sz="0" w:space="0" w:color="auto"/>
        <w:left w:val="none" w:sz="0" w:space="0" w:color="auto"/>
        <w:bottom w:val="none" w:sz="0" w:space="0" w:color="auto"/>
        <w:right w:val="none" w:sz="0" w:space="0" w:color="auto"/>
      </w:divBdr>
    </w:div>
    <w:div w:id="1489327428">
      <w:bodyDiv w:val="1"/>
      <w:marLeft w:val="0"/>
      <w:marRight w:val="0"/>
      <w:marTop w:val="0"/>
      <w:marBottom w:val="0"/>
      <w:divBdr>
        <w:top w:val="none" w:sz="0" w:space="0" w:color="auto"/>
        <w:left w:val="none" w:sz="0" w:space="0" w:color="auto"/>
        <w:bottom w:val="none" w:sz="0" w:space="0" w:color="auto"/>
        <w:right w:val="none" w:sz="0" w:space="0" w:color="auto"/>
      </w:divBdr>
    </w:div>
    <w:div w:id="1509443814">
      <w:bodyDiv w:val="1"/>
      <w:marLeft w:val="0"/>
      <w:marRight w:val="0"/>
      <w:marTop w:val="0"/>
      <w:marBottom w:val="0"/>
      <w:divBdr>
        <w:top w:val="none" w:sz="0" w:space="0" w:color="auto"/>
        <w:left w:val="none" w:sz="0" w:space="0" w:color="auto"/>
        <w:bottom w:val="none" w:sz="0" w:space="0" w:color="auto"/>
        <w:right w:val="none" w:sz="0" w:space="0" w:color="auto"/>
      </w:divBdr>
    </w:div>
    <w:div w:id="1523546083">
      <w:bodyDiv w:val="1"/>
      <w:marLeft w:val="0"/>
      <w:marRight w:val="0"/>
      <w:marTop w:val="0"/>
      <w:marBottom w:val="0"/>
      <w:divBdr>
        <w:top w:val="none" w:sz="0" w:space="0" w:color="auto"/>
        <w:left w:val="none" w:sz="0" w:space="0" w:color="auto"/>
        <w:bottom w:val="none" w:sz="0" w:space="0" w:color="auto"/>
        <w:right w:val="none" w:sz="0" w:space="0" w:color="auto"/>
      </w:divBdr>
    </w:div>
    <w:div w:id="1541239698">
      <w:bodyDiv w:val="1"/>
      <w:marLeft w:val="0"/>
      <w:marRight w:val="0"/>
      <w:marTop w:val="0"/>
      <w:marBottom w:val="0"/>
      <w:divBdr>
        <w:top w:val="none" w:sz="0" w:space="0" w:color="auto"/>
        <w:left w:val="none" w:sz="0" w:space="0" w:color="auto"/>
        <w:bottom w:val="none" w:sz="0" w:space="0" w:color="auto"/>
        <w:right w:val="none" w:sz="0" w:space="0" w:color="auto"/>
      </w:divBdr>
    </w:div>
    <w:div w:id="1545676141">
      <w:bodyDiv w:val="1"/>
      <w:marLeft w:val="0"/>
      <w:marRight w:val="0"/>
      <w:marTop w:val="0"/>
      <w:marBottom w:val="0"/>
      <w:divBdr>
        <w:top w:val="none" w:sz="0" w:space="0" w:color="auto"/>
        <w:left w:val="none" w:sz="0" w:space="0" w:color="auto"/>
        <w:bottom w:val="none" w:sz="0" w:space="0" w:color="auto"/>
        <w:right w:val="none" w:sz="0" w:space="0" w:color="auto"/>
      </w:divBdr>
    </w:div>
    <w:div w:id="1614436532">
      <w:bodyDiv w:val="1"/>
      <w:marLeft w:val="0"/>
      <w:marRight w:val="0"/>
      <w:marTop w:val="0"/>
      <w:marBottom w:val="0"/>
      <w:divBdr>
        <w:top w:val="none" w:sz="0" w:space="0" w:color="auto"/>
        <w:left w:val="none" w:sz="0" w:space="0" w:color="auto"/>
        <w:bottom w:val="none" w:sz="0" w:space="0" w:color="auto"/>
        <w:right w:val="none" w:sz="0" w:space="0" w:color="auto"/>
      </w:divBdr>
    </w:div>
    <w:div w:id="1631209278">
      <w:bodyDiv w:val="1"/>
      <w:marLeft w:val="0"/>
      <w:marRight w:val="0"/>
      <w:marTop w:val="0"/>
      <w:marBottom w:val="0"/>
      <w:divBdr>
        <w:top w:val="none" w:sz="0" w:space="0" w:color="auto"/>
        <w:left w:val="none" w:sz="0" w:space="0" w:color="auto"/>
        <w:bottom w:val="none" w:sz="0" w:space="0" w:color="auto"/>
        <w:right w:val="none" w:sz="0" w:space="0" w:color="auto"/>
      </w:divBdr>
    </w:div>
    <w:div w:id="1647276963">
      <w:bodyDiv w:val="1"/>
      <w:marLeft w:val="0"/>
      <w:marRight w:val="0"/>
      <w:marTop w:val="0"/>
      <w:marBottom w:val="0"/>
      <w:divBdr>
        <w:top w:val="none" w:sz="0" w:space="0" w:color="auto"/>
        <w:left w:val="none" w:sz="0" w:space="0" w:color="auto"/>
        <w:bottom w:val="none" w:sz="0" w:space="0" w:color="auto"/>
        <w:right w:val="none" w:sz="0" w:space="0" w:color="auto"/>
      </w:divBdr>
    </w:div>
    <w:div w:id="1651053196">
      <w:bodyDiv w:val="1"/>
      <w:marLeft w:val="0"/>
      <w:marRight w:val="0"/>
      <w:marTop w:val="0"/>
      <w:marBottom w:val="0"/>
      <w:divBdr>
        <w:top w:val="none" w:sz="0" w:space="0" w:color="auto"/>
        <w:left w:val="none" w:sz="0" w:space="0" w:color="auto"/>
        <w:bottom w:val="none" w:sz="0" w:space="0" w:color="auto"/>
        <w:right w:val="none" w:sz="0" w:space="0" w:color="auto"/>
      </w:divBdr>
      <w:divsChild>
        <w:div w:id="99834423">
          <w:marLeft w:val="0"/>
          <w:marRight w:val="0"/>
          <w:marTop w:val="0"/>
          <w:marBottom w:val="0"/>
          <w:divBdr>
            <w:top w:val="none" w:sz="0" w:space="0" w:color="auto"/>
            <w:left w:val="none" w:sz="0" w:space="0" w:color="auto"/>
            <w:bottom w:val="none" w:sz="0" w:space="0" w:color="auto"/>
            <w:right w:val="none" w:sz="0" w:space="0" w:color="auto"/>
          </w:divBdr>
        </w:div>
        <w:div w:id="224680006">
          <w:marLeft w:val="0"/>
          <w:marRight w:val="0"/>
          <w:marTop w:val="0"/>
          <w:marBottom w:val="0"/>
          <w:divBdr>
            <w:top w:val="none" w:sz="0" w:space="0" w:color="auto"/>
            <w:left w:val="none" w:sz="0" w:space="0" w:color="auto"/>
            <w:bottom w:val="none" w:sz="0" w:space="0" w:color="auto"/>
            <w:right w:val="none" w:sz="0" w:space="0" w:color="auto"/>
          </w:divBdr>
        </w:div>
        <w:div w:id="238634985">
          <w:marLeft w:val="0"/>
          <w:marRight w:val="0"/>
          <w:marTop w:val="0"/>
          <w:marBottom w:val="0"/>
          <w:divBdr>
            <w:top w:val="none" w:sz="0" w:space="0" w:color="auto"/>
            <w:left w:val="none" w:sz="0" w:space="0" w:color="auto"/>
            <w:bottom w:val="none" w:sz="0" w:space="0" w:color="auto"/>
            <w:right w:val="none" w:sz="0" w:space="0" w:color="auto"/>
          </w:divBdr>
        </w:div>
        <w:div w:id="387069256">
          <w:marLeft w:val="0"/>
          <w:marRight w:val="0"/>
          <w:marTop w:val="0"/>
          <w:marBottom w:val="0"/>
          <w:divBdr>
            <w:top w:val="none" w:sz="0" w:space="0" w:color="auto"/>
            <w:left w:val="none" w:sz="0" w:space="0" w:color="auto"/>
            <w:bottom w:val="none" w:sz="0" w:space="0" w:color="auto"/>
            <w:right w:val="none" w:sz="0" w:space="0" w:color="auto"/>
          </w:divBdr>
        </w:div>
        <w:div w:id="540174080">
          <w:marLeft w:val="0"/>
          <w:marRight w:val="0"/>
          <w:marTop w:val="0"/>
          <w:marBottom w:val="0"/>
          <w:divBdr>
            <w:top w:val="none" w:sz="0" w:space="0" w:color="auto"/>
            <w:left w:val="none" w:sz="0" w:space="0" w:color="auto"/>
            <w:bottom w:val="none" w:sz="0" w:space="0" w:color="auto"/>
            <w:right w:val="none" w:sz="0" w:space="0" w:color="auto"/>
          </w:divBdr>
        </w:div>
        <w:div w:id="565340093">
          <w:marLeft w:val="0"/>
          <w:marRight w:val="0"/>
          <w:marTop w:val="0"/>
          <w:marBottom w:val="0"/>
          <w:divBdr>
            <w:top w:val="none" w:sz="0" w:space="0" w:color="auto"/>
            <w:left w:val="none" w:sz="0" w:space="0" w:color="auto"/>
            <w:bottom w:val="none" w:sz="0" w:space="0" w:color="auto"/>
            <w:right w:val="none" w:sz="0" w:space="0" w:color="auto"/>
          </w:divBdr>
        </w:div>
        <w:div w:id="630594900">
          <w:marLeft w:val="0"/>
          <w:marRight w:val="0"/>
          <w:marTop w:val="0"/>
          <w:marBottom w:val="0"/>
          <w:divBdr>
            <w:top w:val="none" w:sz="0" w:space="0" w:color="auto"/>
            <w:left w:val="none" w:sz="0" w:space="0" w:color="auto"/>
            <w:bottom w:val="none" w:sz="0" w:space="0" w:color="auto"/>
            <w:right w:val="none" w:sz="0" w:space="0" w:color="auto"/>
          </w:divBdr>
        </w:div>
        <w:div w:id="689837980">
          <w:marLeft w:val="0"/>
          <w:marRight w:val="0"/>
          <w:marTop w:val="0"/>
          <w:marBottom w:val="0"/>
          <w:divBdr>
            <w:top w:val="none" w:sz="0" w:space="0" w:color="auto"/>
            <w:left w:val="none" w:sz="0" w:space="0" w:color="auto"/>
            <w:bottom w:val="none" w:sz="0" w:space="0" w:color="auto"/>
            <w:right w:val="none" w:sz="0" w:space="0" w:color="auto"/>
          </w:divBdr>
        </w:div>
        <w:div w:id="817498013">
          <w:marLeft w:val="0"/>
          <w:marRight w:val="0"/>
          <w:marTop w:val="0"/>
          <w:marBottom w:val="0"/>
          <w:divBdr>
            <w:top w:val="none" w:sz="0" w:space="0" w:color="auto"/>
            <w:left w:val="none" w:sz="0" w:space="0" w:color="auto"/>
            <w:bottom w:val="none" w:sz="0" w:space="0" w:color="auto"/>
            <w:right w:val="none" w:sz="0" w:space="0" w:color="auto"/>
          </w:divBdr>
        </w:div>
        <w:div w:id="1552036598">
          <w:marLeft w:val="0"/>
          <w:marRight w:val="0"/>
          <w:marTop w:val="0"/>
          <w:marBottom w:val="0"/>
          <w:divBdr>
            <w:top w:val="none" w:sz="0" w:space="0" w:color="auto"/>
            <w:left w:val="none" w:sz="0" w:space="0" w:color="auto"/>
            <w:bottom w:val="none" w:sz="0" w:space="0" w:color="auto"/>
            <w:right w:val="none" w:sz="0" w:space="0" w:color="auto"/>
          </w:divBdr>
        </w:div>
        <w:div w:id="1674533124">
          <w:marLeft w:val="0"/>
          <w:marRight w:val="0"/>
          <w:marTop w:val="0"/>
          <w:marBottom w:val="0"/>
          <w:divBdr>
            <w:top w:val="none" w:sz="0" w:space="0" w:color="auto"/>
            <w:left w:val="none" w:sz="0" w:space="0" w:color="auto"/>
            <w:bottom w:val="none" w:sz="0" w:space="0" w:color="auto"/>
            <w:right w:val="none" w:sz="0" w:space="0" w:color="auto"/>
          </w:divBdr>
        </w:div>
        <w:div w:id="1980645805">
          <w:marLeft w:val="0"/>
          <w:marRight w:val="0"/>
          <w:marTop w:val="0"/>
          <w:marBottom w:val="0"/>
          <w:divBdr>
            <w:top w:val="none" w:sz="0" w:space="0" w:color="auto"/>
            <w:left w:val="none" w:sz="0" w:space="0" w:color="auto"/>
            <w:bottom w:val="none" w:sz="0" w:space="0" w:color="auto"/>
            <w:right w:val="none" w:sz="0" w:space="0" w:color="auto"/>
          </w:divBdr>
        </w:div>
      </w:divsChild>
    </w:div>
    <w:div w:id="1743024826">
      <w:bodyDiv w:val="1"/>
      <w:marLeft w:val="0"/>
      <w:marRight w:val="0"/>
      <w:marTop w:val="0"/>
      <w:marBottom w:val="0"/>
      <w:divBdr>
        <w:top w:val="none" w:sz="0" w:space="0" w:color="auto"/>
        <w:left w:val="none" w:sz="0" w:space="0" w:color="auto"/>
        <w:bottom w:val="none" w:sz="0" w:space="0" w:color="auto"/>
        <w:right w:val="none" w:sz="0" w:space="0" w:color="auto"/>
      </w:divBdr>
    </w:div>
    <w:div w:id="1809202850">
      <w:bodyDiv w:val="1"/>
      <w:marLeft w:val="0"/>
      <w:marRight w:val="0"/>
      <w:marTop w:val="0"/>
      <w:marBottom w:val="0"/>
      <w:divBdr>
        <w:top w:val="none" w:sz="0" w:space="0" w:color="auto"/>
        <w:left w:val="none" w:sz="0" w:space="0" w:color="auto"/>
        <w:bottom w:val="none" w:sz="0" w:space="0" w:color="auto"/>
        <w:right w:val="none" w:sz="0" w:space="0" w:color="auto"/>
      </w:divBdr>
    </w:div>
    <w:div w:id="1862009120">
      <w:bodyDiv w:val="1"/>
      <w:marLeft w:val="0"/>
      <w:marRight w:val="0"/>
      <w:marTop w:val="0"/>
      <w:marBottom w:val="0"/>
      <w:divBdr>
        <w:top w:val="none" w:sz="0" w:space="0" w:color="auto"/>
        <w:left w:val="none" w:sz="0" w:space="0" w:color="auto"/>
        <w:bottom w:val="none" w:sz="0" w:space="0" w:color="auto"/>
        <w:right w:val="none" w:sz="0" w:space="0" w:color="auto"/>
      </w:divBdr>
    </w:div>
    <w:div w:id="1946882100">
      <w:bodyDiv w:val="1"/>
      <w:marLeft w:val="0"/>
      <w:marRight w:val="0"/>
      <w:marTop w:val="0"/>
      <w:marBottom w:val="0"/>
      <w:divBdr>
        <w:top w:val="none" w:sz="0" w:space="0" w:color="auto"/>
        <w:left w:val="none" w:sz="0" w:space="0" w:color="auto"/>
        <w:bottom w:val="none" w:sz="0" w:space="0" w:color="auto"/>
        <w:right w:val="none" w:sz="0" w:space="0" w:color="auto"/>
      </w:divBdr>
      <w:divsChild>
        <w:div w:id="712196033">
          <w:marLeft w:val="0"/>
          <w:marRight w:val="0"/>
          <w:marTop w:val="0"/>
          <w:marBottom w:val="0"/>
          <w:divBdr>
            <w:top w:val="none" w:sz="0" w:space="0" w:color="auto"/>
            <w:left w:val="none" w:sz="0" w:space="0" w:color="auto"/>
            <w:bottom w:val="none" w:sz="0" w:space="0" w:color="auto"/>
            <w:right w:val="none" w:sz="0" w:space="0" w:color="auto"/>
          </w:divBdr>
          <w:divsChild>
            <w:div w:id="726344521">
              <w:marLeft w:val="0"/>
              <w:marRight w:val="0"/>
              <w:marTop w:val="0"/>
              <w:marBottom w:val="0"/>
              <w:divBdr>
                <w:top w:val="none" w:sz="0" w:space="0" w:color="auto"/>
                <w:left w:val="none" w:sz="0" w:space="0" w:color="auto"/>
                <w:bottom w:val="none" w:sz="0" w:space="0" w:color="auto"/>
                <w:right w:val="none" w:sz="0" w:space="0" w:color="auto"/>
              </w:divBdr>
              <w:divsChild>
                <w:div w:id="1661737113">
                  <w:marLeft w:val="0"/>
                  <w:marRight w:val="0"/>
                  <w:marTop w:val="0"/>
                  <w:marBottom w:val="0"/>
                  <w:divBdr>
                    <w:top w:val="none" w:sz="0" w:space="0" w:color="auto"/>
                    <w:left w:val="none" w:sz="0" w:space="0" w:color="auto"/>
                    <w:bottom w:val="none" w:sz="0" w:space="0" w:color="auto"/>
                    <w:right w:val="none" w:sz="0" w:space="0" w:color="auto"/>
                  </w:divBdr>
                  <w:divsChild>
                    <w:div w:id="968626450">
                      <w:marLeft w:val="0"/>
                      <w:marRight w:val="0"/>
                      <w:marTop w:val="0"/>
                      <w:marBottom w:val="0"/>
                      <w:divBdr>
                        <w:top w:val="none" w:sz="0" w:space="0" w:color="auto"/>
                        <w:left w:val="none" w:sz="0" w:space="0" w:color="auto"/>
                        <w:bottom w:val="none" w:sz="0" w:space="0" w:color="auto"/>
                        <w:right w:val="none" w:sz="0" w:space="0" w:color="auto"/>
                      </w:divBdr>
                      <w:divsChild>
                        <w:div w:id="1687977697">
                          <w:marLeft w:val="0"/>
                          <w:marRight w:val="0"/>
                          <w:marTop w:val="0"/>
                          <w:marBottom w:val="0"/>
                          <w:divBdr>
                            <w:top w:val="none" w:sz="0" w:space="0" w:color="auto"/>
                            <w:left w:val="none" w:sz="0" w:space="0" w:color="auto"/>
                            <w:bottom w:val="none" w:sz="0" w:space="0" w:color="auto"/>
                            <w:right w:val="none" w:sz="0" w:space="0" w:color="auto"/>
                          </w:divBdr>
                          <w:divsChild>
                            <w:div w:id="1279992170">
                              <w:marLeft w:val="0"/>
                              <w:marRight w:val="0"/>
                              <w:marTop w:val="0"/>
                              <w:marBottom w:val="0"/>
                              <w:divBdr>
                                <w:top w:val="none" w:sz="0" w:space="0" w:color="auto"/>
                                <w:left w:val="none" w:sz="0" w:space="0" w:color="auto"/>
                                <w:bottom w:val="none" w:sz="0" w:space="0" w:color="auto"/>
                                <w:right w:val="none" w:sz="0" w:space="0" w:color="auto"/>
                              </w:divBdr>
                              <w:divsChild>
                                <w:div w:id="147235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1102676">
      <w:bodyDiv w:val="1"/>
      <w:marLeft w:val="0"/>
      <w:marRight w:val="0"/>
      <w:marTop w:val="0"/>
      <w:marBottom w:val="0"/>
      <w:divBdr>
        <w:top w:val="none" w:sz="0" w:space="0" w:color="auto"/>
        <w:left w:val="none" w:sz="0" w:space="0" w:color="auto"/>
        <w:bottom w:val="none" w:sz="0" w:space="0" w:color="auto"/>
        <w:right w:val="none" w:sz="0" w:space="0" w:color="auto"/>
      </w:divBdr>
    </w:div>
    <w:div w:id="1963029275">
      <w:bodyDiv w:val="1"/>
      <w:marLeft w:val="0"/>
      <w:marRight w:val="0"/>
      <w:marTop w:val="0"/>
      <w:marBottom w:val="0"/>
      <w:divBdr>
        <w:top w:val="none" w:sz="0" w:space="0" w:color="auto"/>
        <w:left w:val="none" w:sz="0" w:space="0" w:color="auto"/>
        <w:bottom w:val="none" w:sz="0" w:space="0" w:color="auto"/>
        <w:right w:val="none" w:sz="0" w:space="0" w:color="auto"/>
      </w:divBdr>
    </w:div>
    <w:div w:id="1981693882">
      <w:bodyDiv w:val="1"/>
      <w:marLeft w:val="0"/>
      <w:marRight w:val="0"/>
      <w:marTop w:val="0"/>
      <w:marBottom w:val="0"/>
      <w:divBdr>
        <w:top w:val="none" w:sz="0" w:space="0" w:color="auto"/>
        <w:left w:val="none" w:sz="0" w:space="0" w:color="auto"/>
        <w:bottom w:val="none" w:sz="0" w:space="0" w:color="auto"/>
        <w:right w:val="none" w:sz="0" w:space="0" w:color="auto"/>
      </w:divBdr>
    </w:div>
    <w:div w:id="1996183551">
      <w:bodyDiv w:val="1"/>
      <w:marLeft w:val="0"/>
      <w:marRight w:val="0"/>
      <w:marTop w:val="0"/>
      <w:marBottom w:val="0"/>
      <w:divBdr>
        <w:top w:val="none" w:sz="0" w:space="0" w:color="auto"/>
        <w:left w:val="none" w:sz="0" w:space="0" w:color="auto"/>
        <w:bottom w:val="none" w:sz="0" w:space="0" w:color="auto"/>
        <w:right w:val="none" w:sz="0" w:space="0" w:color="auto"/>
      </w:divBdr>
    </w:div>
    <w:div w:id="2024279284">
      <w:bodyDiv w:val="1"/>
      <w:marLeft w:val="0"/>
      <w:marRight w:val="0"/>
      <w:marTop w:val="0"/>
      <w:marBottom w:val="0"/>
      <w:divBdr>
        <w:top w:val="none" w:sz="0" w:space="0" w:color="auto"/>
        <w:left w:val="none" w:sz="0" w:space="0" w:color="auto"/>
        <w:bottom w:val="none" w:sz="0" w:space="0" w:color="auto"/>
        <w:right w:val="none" w:sz="0" w:space="0" w:color="auto"/>
      </w:divBdr>
    </w:div>
    <w:div w:id="2096510001">
      <w:bodyDiv w:val="1"/>
      <w:marLeft w:val="0"/>
      <w:marRight w:val="0"/>
      <w:marTop w:val="0"/>
      <w:marBottom w:val="0"/>
      <w:divBdr>
        <w:top w:val="none" w:sz="0" w:space="0" w:color="auto"/>
        <w:left w:val="none" w:sz="0" w:space="0" w:color="auto"/>
        <w:bottom w:val="none" w:sz="0" w:space="0" w:color="auto"/>
        <w:right w:val="none" w:sz="0" w:space="0" w:color="auto"/>
      </w:divBdr>
    </w:div>
    <w:div w:id="211446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c.europa.eu/food/sites/food/files/plant/docs/pesticides_ppp_app-proc_guide_fate_evidence_identify-pop-pbt-vpvb-props.pdf" TargetMode="External"/><Relationship Id="rId21" Type="http://schemas.openxmlformats.org/officeDocument/2006/relationships/hyperlink" Target="https://ec.europa.eu/food/sites/food/files/plant/docs/pesticides_ppp_app-proc_guide_fate_efsa_degt50.pdf" TargetMode="External"/><Relationship Id="rId42" Type="http://schemas.openxmlformats.org/officeDocument/2006/relationships/hyperlink" Target="https://www.efsa.europa.eu/en/efsajournal/pub/3290" TargetMode="External"/><Relationship Id="rId47" Type="http://schemas.openxmlformats.org/officeDocument/2006/relationships/hyperlink" Target="http://www.oecd.org/chemicalsafety/pesticides-biocides/work-related-beespollinators.htm" TargetMode="External"/><Relationship Id="rId63" Type="http://schemas.openxmlformats.org/officeDocument/2006/relationships/hyperlink" Target="https://ec.europa.eu/food/sites/food/files/plant/docs/pesticides_ppp_app-proc_guide_crop_rice.pdf" TargetMode="External"/><Relationship Id="rId68" Type="http://schemas.openxmlformats.org/officeDocument/2006/relationships/hyperlink" Target="https://echa.europa.eu/documents/10162/23036412/bpr_guidance_ir_part_vol_iv_part_a_en.pdf/e5ffe222-c4ae-40c7-8306-83645e52aca2" TargetMode="External"/><Relationship Id="rId84" Type="http://schemas.openxmlformats.org/officeDocument/2006/relationships/hyperlink" Target="http://www.hse.gov.uk/pesticides/resources/P/PN090320Orchard20radio-tracking.pdf" TargetMode="External"/><Relationship Id="rId89" Type="http://schemas.openxmlformats.org/officeDocument/2006/relationships/hyperlink" Target="https://echa.europa.eu/documents/10162/16908203/pt15_avicides_en.pdf/6e9dca51-905d-4122-a040-51e859eb0a93" TargetMode="External"/><Relationship Id="rId112" Type="http://schemas.microsoft.com/office/2016/09/relationships/commentsIds" Target="commentsIds.xml"/><Relationship Id="rId7" Type="http://schemas.openxmlformats.org/officeDocument/2006/relationships/footnotes" Target="footnotes.xml"/><Relationship Id="rId71" Type="http://schemas.openxmlformats.org/officeDocument/2006/relationships/hyperlink" Target="http://www.vichsec.org/guidelines/pharmaceuticals/pharma-safety/environmental-safety.html" TargetMode="External"/><Relationship Id="rId92" Type="http://schemas.openxmlformats.org/officeDocument/2006/relationships/hyperlink" Target="http://www.hse.gov.uk/pesticides/resources/M/MammBible.pdf" TargetMode="External"/><Relationship Id="rId2" Type="http://schemas.openxmlformats.org/officeDocument/2006/relationships/customXml" Target="../customXml/item2.xml"/><Relationship Id="rId16" Type="http://schemas.openxmlformats.org/officeDocument/2006/relationships/hyperlink" Target="http://www.creativecommons.org/licenses/by/3.0/au/legalcode" TargetMode="External"/><Relationship Id="rId29" Type="http://schemas.openxmlformats.org/officeDocument/2006/relationships/hyperlink" Target="http://archives.eppo.int/EPPOStandards/PP3_ERA/pp3-03(2).pdf" TargetMode="External"/><Relationship Id="rId107" Type="http://schemas.openxmlformats.org/officeDocument/2006/relationships/theme" Target="theme/theme1.xml"/><Relationship Id="rId11" Type="http://schemas.openxmlformats.org/officeDocument/2006/relationships/footer" Target="footer1.xml"/><Relationship Id="rId24" Type="http://schemas.openxmlformats.org/officeDocument/2006/relationships/hyperlink" Target="https://ec.europa.eu/food/sites/food/files/plant/docs/pesticides_ppp_app-proc_guide_fate_soil-persistance.pdf" TargetMode="External"/><Relationship Id="rId32" Type="http://schemas.openxmlformats.org/officeDocument/2006/relationships/hyperlink" Target="http://ec.europa.eu/food/plant/protection/evaluation/guidance/wrkdoc19_en.pdf" TargetMode="External"/><Relationship Id="rId37" Type="http://schemas.openxmlformats.org/officeDocument/2006/relationships/hyperlink" Target="http://archives.eppo.int/EPPOStandards/era.htm" TargetMode="External"/><Relationship Id="rId40" Type="http://schemas.openxmlformats.org/officeDocument/2006/relationships/hyperlink" Target="http://www.scew.gov.au/system/files/resources/bffdc9e9-7004-4de9-b94f-b758140dbc8c/files/cmgt-nchem-eragm-agricultural-and-veterinary-chemicals-200902.pdf" TargetMode="External"/><Relationship Id="rId45" Type="http://schemas.openxmlformats.org/officeDocument/2006/relationships/hyperlink" Target="http://onlinelibrary.wiley.com/doi/10.1111/j.1365-2338.2010.02419.x/epdf" TargetMode="External"/><Relationship Id="rId53" Type="http://schemas.openxmlformats.org/officeDocument/2006/relationships/hyperlink" Target="http://archives.eppo.int/EPPOStandards/era.htm" TargetMode="External"/><Relationship Id="rId58" Type="http://schemas.openxmlformats.org/officeDocument/2006/relationships/header" Target="header2.xml"/><Relationship Id="rId66" Type="http://schemas.openxmlformats.org/officeDocument/2006/relationships/hyperlink" Target="https://ec.europa.eu/food/sites/food/files/plant/docs/pesticides_ppp_app-proc_guide_doss_botanicals-rev-8.pdf" TargetMode="External"/><Relationship Id="rId74" Type="http://schemas.openxmlformats.org/officeDocument/2006/relationships/hyperlink" Target="http://www.ema.europa.eu/ema/index.jsp?curl=pages/regulation/general/general_content_001634.jsp&amp;mid=WC0b01ac058002ddc5" TargetMode="External"/><Relationship Id="rId79" Type="http://schemas.openxmlformats.org/officeDocument/2006/relationships/hyperlink" Target="https://www.efsa.europa.eu/en/efsajournal/pub/4970" TargetMode="External"/><Relationship Id="rId87" Type="http://schemas.openxmlformats.org/officeDocument/2006/relationships/hyperlink" Target="https://ec.europa.eu/food/sites/food/files/plant/docs/pesticides_ppp_app-proc_guide_ecotox_ra_birds-mammals.pdf" TargetMode="External"/><Relationship Id="rId102" Type="http://schemas.openxmlformats.org/officeDocument/2006/relationships/hyperlink" Target="http://www.efsa.europa.eu/efsajournal" TargetMode="External"/><Relationship Id="rId5" Type="http://schemas.openxmlformats.org/officeDocument/2006/relationships/settings" Target="settings.xml"/><Relationship Id="rId61" Type="http://schemas.openxmlformats.org/officeDocument/2006/relationships/hyperlink" Target="https://www.efsa.europa.eu/en/efsajournal/pub/3290" TargetMode="External"/><Relationship Id="rId82" Type="http://schemas.openxmlformats.org/officeDocument/2006/relationships/hyperlink" Target="http://www.hse.gov.uk/pesticides/resources/B/Birdbible.pdf" TargetMode="External"/><Relationship Id="rId90" Type="http://schemas.openxmlformats.org/officeDocument/2006/relationships/hyperlink" Target="http://www.hse.gov.uk/pesticides/resources/P/PN091420Validation20of20avoidance20methods.pdf" TargetMode="External"/><Relationship Id="rId95" Type="http://schemas.openxmlformats.org/officeDocument/2006/relationships/hyperlink" Target="http://www.hse.gov.uk/pesticides/resources/P/PN091920Arable20Literature20Review.pdf" TargetMode="External"/><Relationship Id="rId19" Type="http://schemas.openxmlformats.org/officeDocument/2006/relationships/hyperlink" Target="http://www.apvma.gov.au/" TargetMode="External"/><Relationship Id="rId14" Type="http://schemas.openxmlformats.org/officeDocument/2006/relationships/image" Target="media/image4.png"/><Relationship Id="rId22" Type="http://schemas.openxmlformats.org/officeDocument/2006/relationships/hyperlink" Target="https://ec.europa.eu/food/sites/food/files/plant/docs/pesticides_ppp_app-proc_guide_fate_wd-env-sft-eval-mbca.pdf" TargetMode="External"/><Relationship Id="rId27" Type="http://schemas.openxmlformats.org/officeDocument/2006/relationships/hyperlink" Target="http://archives.eppo.int/EPPOStandards/era.htm" TargetMode="External"/><Relationship Id="rId30" Type="http://schemas.openxmlformats.org/officeDocument/2006/relationships/hyperlink" Target="https://ec.europa.eu/food/sites/food/files/plant/docs/pesticides_ppp_app-proc_guide_ecotox_terrestrial.pdf" TargetMode="External"/><Relationship Id="rId35" Type="http://schemas.openxmlformats.org/officeDocument/2006/relationships/hyperlink" Target="http://www.efsa.europa.eu/en/efsajournal/pub/1438" TargetMode="External"/><Relationship Id="rId43" Type="http://schemas.openxmlformats.org/officeDocument/2006/relationships/hyperlink" Target="http://archives.eppo.int/EPPOStandards/era.htm" TargetMode="External"/><Relationship Id="rId48" Type="http://schemas.openxmlformats.org/officeDocument/2006/relationships/hyperlink" Target="https://www.epa.gov/pollinator-protection/pollinator-risk-assessment-guidance" TargetMode="External"/><Relationship Id="rId56" Type="http://schemas.openxmlformats.org/officeDocument/2006/relationships/hyperlink" Target="https://ec.europa.eu/food/sites/food/files/plant/docs/pesticides_ppp_app-proc_guide_ecotox_terrestrial.pdf" TargetMode="External"/><Relationship Id="rId64" Type="http://schemas.openxmlformats.org/officeDocument/2006/relationships/hyperlink" Target="https://ec.europa.eu/food/sites/food/files/plant/docs/pesticides_ppp_app-proc_guide_fate_efsa_protected-crops.pdf" TargetMode="External"/><Relationship Id="rId69" Type="http://schemas.openxmlformats.org/officeDocument/2006/relationships/hyperlink" Target="https://echa.europa.eu/documents/10162/23036412/bpr_guidance_ra_vol_iv_part_b-c_en.pdf/e2622aea-0b93-493f-85a3-f9cb42be16ae" TargetMode="External"/><Relationship Id="rId77" Type="http://schemas.openxmlformats.org/officeDocument/2006/relationships/hyperlink" Target="http://www.ema.europa.eu/ema/index.jsp?curl=pages/regulation/general/general_content_001508.jsp&amp;mid=WC0b01ac058002dd37" TargetMode="External"/><Relationship Id="rId100" Type="http://schemas.openxmlformats.org/officeDocument/2006/relationships/hyperlink" Target="http://www.nepc.gov.au/resource/chemical-risk-assessment-guidance-manuals" TargetMode="External"/><Relationship Id="rId105"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archives.eppo.int/EPPOStandards/era.htm" TargetMode="External"/><Relationship Id="rId72" Type="http://schemas.openxmlformats.org/officeDocument/2006/relationships/hyperlink" Target="https://www.efsa.europa.eu/en/efsajournal/pub/842" TargetMode="External"/><Relationship Id="rId80" Type="http://schemas.openxmlformats.org/officeDocument/2006/relationships/hyperlink" Target="https://www.efsa.europa.eu/en/efsajournal/pub/4971" TargetMode="External"/><Relationship Id="rId85" Type="http://schemas.openxmlformats.org/officeDocument/2006/relationships/hyperlink" Target="http://www.hse.gov.uk/pesticides/resources/P/PN090320Orchard20bird20censuses.pdf" TargetMode="External"/><Relationship Id="rId93" Type="http://schemas.openxmlformats.org/officeDocument/2006/relationships/hyperlink" Target="http://www.hse.gov.uk/pesticides/resources/P/PN0916.pdf" TargetMode="External"/><Relationship Id="rId98" Type="http://schemas.openxmlformats.org/officeDocument/2006/relationships/hyperlink" Target="https://www.efsa.europa.eu/en/efsajournal" TargetMode="Externa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www.dpmc.gov.au/pmc/publication/commonwealth-coat-arms-information-and-guidelines" TargetMode="External"/><Relationship Id="rId25" Type="http://schemas.openxmlformats.org/officeDocument/2006/relationships/hyperlink" Target="http://esdac.jrc.ec.europa.eu/projects/focus-dg-sante" TargetMode="External"/><Relationship Id="rId33" Type="http://schemas.openxmlformats.org/officeDocument/2006/relationships/hyperlink" Target="http://archives.eppo.int/EPPOStandards/PP3_ERA/pp3-11(2).pdf" TargetMode="External"/><Relationship Id="rId38" Type="http://schemas.openxmlformats.org/officeDocument/2006/relationships/hyperlink" Target="https://ec.europa.eu/food/sites/food/files/plant/docs/pesticides_ppp_app-proc_guide_ecotox_ra_birds-mammals.pdf" TargetMode="External"/><Relationship Id="rId46" Type="http://schemas.openxmlformats.org/officeDocument/2006/relationships/hyperlink" Target="http://www2.epa.gov/sites/production/files/2014-06/documents/pollinator_risk_assessment_guidance_06_19_14.pdf" TargetMode="External"/><Relationship Id="rId59" Type="http://schemas.openxmlformats.org/officeDocument/2006/relationships/hyperlink" Target="http://www.scew.gov.au/sites/www.scew.gov.au/files/resources/bffdc9e9-7004-4de9-b94f-b758140dbc8c/files/cmgt-nchem-eragm-agricultural-and-veterinary-chemicals-200902.pdf" TargetMode="External"/><Relationship Id="rId67" Type="http://schemas.openxmlformats.org/officeDocument/2006/relationships/hyperlink" Target="https://echa.europa.eu/guidance-documents/guidance-on-biocides-legislation/emission-scenario-documents" TargetMode="External"/><Relationship Id="rId103" Type="http://schemas.openxmlformats.org/officeDocument/2006/relationships/hyperlink" Target="http://www.nepc.gov.au/resource/chemical-risk-assessment-guidance-manuals" TargetMode="External"/><Relationship Id="rId20" Type="http://schemas.openxmlformats.org/officeDocument/2006/relationships/header" Target="header1.xml"/><Relationship Id="rId41" Type="http://schemas.openxmlformats.org/officeDocument/2006/relationships/hyperlink" Target="https://ec.europa.eu/food/sites/food/files/plant/docs/pesticides_ppp_app-proc_guide_ecotox_aquatic.pdf" TargetMode="External"/><Relationship Id="rId54" Type="http://schemas.openxmlformats.org/officeDocument/2006/relationships/hyperlink" Target="https://ec.europa.eu/food/sites/food/files/plant/docs/pesticides_ppp_app-proc_guide_ecotox_terrestrial.pdf" TargetMode="External"/><Relationship Id="rId62" Type="http://schemas.openxmlformats.org/officeDocument/2006/relationships/hyperlink" Target="http://archives.eppo.int/EPPOStandards/era.htm" TargetMode="External"/><Relationship Id="rId70" Type="http://schemas.openxmlformats.org/officeDocument/2006/relationships/hyperlink" Target="http://onlinelibrary.wiley.com/doi/10.2903/j.efsa.2010.1879/pdf" TargetMode="External"/><Relationship Id="rId75" Type="http://schemas.openxmlformats.org/officeDocument/2006/relationships/hyperlink" Target="http://www.ema.europa.eu/ema/index.jsp?curl=pages/regulation/general/general_content_001506.jsp&amp;mid=WC0b01ac058002dd37" TargetMode="External"/><Relationship Id="rId83" Type="http://schemas.openxmlformats.org/officeDocument/2006/relationships/hyperlink" Target="http://www.hse.gov.uk/pesticides/resources/R/Research_PN0915.pdf" TargetMode="External"/><Relationship Id="rId88" Type="http://schemas.openxmlformats.org/officeDocument/2006/relationships/hyperlink" Target="https://echa.europa.eu/documents/10162/16908203/pt14_rodenticides_en.pdf/159a8bb4-69bb-4bc4-9267-0b3221d16d09" TargetMode="External"/><Relationship Id="rId91" Type="http://schemas.openxmlformats.org/officeDocument/2006/relationships/hyperlink" Target="http://www.hse.gov.uk/pesticides/resources/P/PN090920Robust20tests20of20avoidance.pdf" TargetMode="External"/><Relationship Id="rId96" Type="http://schemas.openxmlformats.org/officeDocument/2006/relationships/hyperlink" Target="http://www.hse.gov.uk/pesticides/resources/R/Research_PN0907.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creativecommons.org/licenses/by/3.0/au/deed.en" TargetMode="External"/><Relationship Id="rId23" Type="http://schemas.openxmlformats.org/officeDocument/2006/relationships/hyperlink" Target="https://ec.europa.eu/food/sites/food/files/plant/docs/pesticides_ppp_app-proc_guide_fate_metabolites-groundwtr.pdf" TargetMode="External"/><Relationship Id="rId28" Type="http://schemas.openxmlformats.org/officeDocument/2006/relationships/hyperlink" Target="http://ec.europa.eu/food/plant/protection/evaluation/guidance/wrkdoc11_en.pdf" TargetMode="External"/><Relationship Id="rId36" Type="http://schemas.openxmlformats.org/officeDocument/2006/relationships/hyperlink" Target="https://ec.europa.eu/food/sites/food/files/plant/docs/pesticides_ppp_app-proc_guide_ecotox_ra_birds-mammals-jwg.pdf" TargetMode="External"/><Relationship Id="rId49" Type="http://schemas.openxmlformats.org/officeDocument/2006/relationships/hyperlink" Target="http://archives.eppo.int/EPPOStandards/era.htm" TargetMode="External"/><Relationship Id="rId57" Type="http://schemas.openxmlformats.org/officeDocument/2006/relationships/hyperlink" Target="http://archives.eppo.int/EPPOStandards/era.htm" TargetMode="External"/><Relationship Id="rId106" Type="http://schemas.openxmlformats.org/officeDocument/2006/relationships/glossaryDocument" Target="glossary/document.xml"/><Relationship Id="rId10" Type="http://schemas.openxmlformats.org/officeDocument/2006/relationships/image" Target="media/image2.jpg"/><Relationship Id="rId31" Type="http://schemas.openxmlformats.org/officeDocument/2006/relationships/hyperlink" Target="http://archives.eppo.int/EPPOStandards/PP3_ERA/pp3-12(1).pdf" TargetMode="External"/><Relationship Id="rId44" Type="http://schemas.openxmlformats.org/officeDocument/2006/relationships/hyperlink" Target="https://apvma.gov.au/node/18536" TargetMode="External"/><Relationship Id="rId52" Type="http://schemas.openxmlformats.org/officeDocument/2006/relationships/hyperlink" Target="https://ec.europa.eu/food/sites/food/files/plant/docs/pesticides_ppp_app-proc_guide_ecotox_terrestrial.pdf" TargetMode="External"/><Relationship Id="rId60" Type="http://schemas.openxmlformats.org/officeDocument/2006/relationships/hyperlink" Target="https://ec.europa.eu/food/sites/food/files/plant/docs/pesticides_ppp_app-proc_guide_ecotox_aquatic.pdf" TargetMode="External"/><Relationship Id="rId65" Type="http://schemas.openxmlformats.org/officeDocument/2006/relationships/hyperlink" Target="https://ec.europa.eu/food/sites/food/files/plant/docs/pesticides_ppp_app-proc_guide_doss_semiochemicals-201605.pdf" TargetMode="External"/><Relationship Id="rId73" Type="http://schemas.openxmlformats.org/officeDocument/2006/relationships/hyperlink" Target="http://www.ema.europa.eu/ema/index.jsp?curl=pages/regulation/general/general_content_001511.jsp&amp;mid" TargetMode="External"/><Relationship Id="rId78" Type="http://schemas.openxmlformats.org/officeDocument/2006/relationships/hyperlink" Target="http://www.ema.europa.eu/ema/index.jsp?curl=pages/regulation/general/general_content_001503.jsp&amp;mid=WC0b01ac058002dd37" TargetMode="External"/><Relationship Id="rId81" Type="http://schemas.openxmlformats.org/officeDocument/2006/relationships/header" Target="header3.xml"/><Relationship Id="rId86" Type="http://schemas.openxmlformats.org/officeDocument/2006/relationships/hyperlink" Target="http://www.hse.gov.uk/pesticides/resources/R/Research_PN0908.pdf" TargetMode="External"/><Relationship Id="rId94" Type="http://schemas.openxmlformats.org/officeDocument/2006/relationships/hyperlink" Target="http://www.hse.gov.uk/pesticides/resources/P/PN0920_final_report.pdf" TargetMode="External"/><Relationship Id="rId99" Type="http://schemas.openxmlformats.org/officeDocument/2006/relationships/hyperlink" Target="https://www.efsa.europa.eu/en/efsajournal/pub/4690" TargetMode="External"/><Relationship Id="rId101" Type="http://schemas.openxmlformats.org/officeDocument/2006/relationships/hyperlink" Target="https://apvma.gov.au/node/10796" TargetMode="Externa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mailto:communications@apvma.gov.au" TargetMode="External"/><Relationship Id="rId39" Type="http://schemas.openxmlformats.org/officeDocument/2006/relationships/hyperlink" Target="http://ec.europa.eu/food/plant/protection/evaluation/guidance/wrkdoc10_en.pdf" TargetMode="External"/><Relationship Id="rId34" Type="http://schemas.openxmlformats.org/officeDocument/2006/relationships/hyperlink" Target="http://www.efsa.europa.eu/en/scdocs/doc/1438.pdf" TargetMode="External"/><Relationship Id="rId50" Type="http://schemas.openxmlformats.org/officeDocument/2006/relationships/hyperlink" Target="https://ec.europa.eu/food/sites/food/files/plant/docs/pesticides_ppp_app-proc_guide_ecotox_terrestrial.pdf" TargetMode="External"/><Relationship Id="rId55" Type="http://schemas.openxmlformats.org/officeDocument/2006/relationships/hyperlink" Target="http://archives.eppo.int/EPPOStandards/PP3_ERA/pp3-07(2).pdf" TargetMode="External"/><Relationship Id="rId76" Type="http://schemas.openxmlformats.org/officeDocument/2006/relationships/hyperlink" Target="http://www.ema.europa.eu/ema/index.jsp?curl=pages/regulation/general/general_content_001507.jsp&amp;mid=WC0b01ac058002dd37" TargetMode="External"/><Relationship Id="rId97" Type="http://schemas.openxmlformats.org/officeDocument/2006/relationships/hyperlink" Target="https://ec.europa.eu/food/sites/food/files/plant/docs/pesticides_ppp_app-proc_guide_ecotox_terrestrial.pdf" TargetMode="External"/><Relationship Id="rId10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www.pops.int/Home/tabid/2121/Defaul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D136C03497B4A0BAD6DF53006D592B4"/>
        <w:category>
          <w:name w:val="General"/>
          <w:gallery w:val="placeholder"/>
        </w:category>
        <w:types>
          <w:type w:val="bbPlcHdr"/>
        </w:types>
        <w:behaviors>
          <w:behavior w:val="content"/>
        </w:behaviors>
        <w:guid w:val="{1A6B6091-4342-49F6-AAE4-B57407119AC7}"/>
      </w:docPartPr>
      <w:docPartBody>
        <w:p w:rsidR="000F1F4B" w:rsidRDefault="000F1F4B" w:rsidP="000F1F4B">
          <w:pPr>
            <w:pStyle w:val="1D136C03497B4A0BAD6DF53006D592B4"/>
          </w:pPr>
          <w:r w:rsidRPr="00F108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Browallia New">
    <w:charset w:val="00"/>
    <w:family w:val="swiss"/>
    <w:pitch w:val="variable"/>
    <w:sig w:usb0="81000003" w:usb1="00000000" w:usb2="00000000" w:usb3="00000000" w:csb0="00010001" w:csb1="00000000"/>
  </w:font>
  <w:font w:name="Palatino">
    <w:altName w:val="Book Antiqua"/>
    <w:charset w:val="00"/>
    <w:family w:val="roman"/>
    <w:pitch w:val="variable"/>
    <w:sig w:usb0="00000007" w:usb1="00000000"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F4B"/>
    <w:rsid w:val="000267EC"/>
    <w:rsid w:val="00030744"/>
    <w:rsid w:val="00070640"/>
    <w:rsid w:val="000751E6"/>
    <w:rsid w:val="000F0CA0"/>
    <w:rsid w:val="000F1F4B"/>
    <w:rsid w:val="00155765"/>
    <w:rsid w:val="002B0B68"/>
    <w:rsid w:val="002B7A14"/>
    <w:rsid w:val="0031655B"/>
    <w:rsid w:val="0036303D"/>
    <w:rsid w:val="003E3E43"/>
    <w:rsid w:val="00433CCC"/>
    <w:rsid w:val="00493224"/>
    <w:rsid w:val="005223A9"/>
    <w:rsid w:val="005F5EAB"/>
    <w:rsid w:val="0065710B"/>
    <w:rsid w:val="00842C01"/>
    <w:rsid w:val="00843622"/>
    <w:rsid w:val="008B4AA4"/>
    <w:rsid w:val="008E56E7"/>
    <w:rsid w:val="009411C9"/>
    <w:rsid w:val="0094286B"/>
    <w:rsid w:val="009A0369"/>
    <w:rsid w:val="009B0003"/>
    <w:rsid w:val="00A212AE"/>
    <w:rsid w:val="00A56F58"/>
    <w:rsid w:val="00AB19BA"/>
    <w:rsid w:val="00B1799C"/>
    <w:rsid w:val="00B54A18"/>
    <w:rsid w:val="00BF0C5E"/>
    <w:rsid w:val="00C32574"/>
    <w:rsid w:val="00CA5A91"/>
    <w:rsid w:val="00CB2F9C"/>
    <w:rsid w:val="00CB69CF"/>
    <w:rsid w:val="00D61869"/>
    <w:rsid w:val="00D870BA"/>
    <w:rsid w:val="00D87EC0"/>
    <w:rsid w:val="00DA0C07"/>
    <w:rsid w:val="00DD50A3"/>
    <w:rsid w:val="00E206A7"/>
    <w:rsid w:val="00E669F7"/>
    <w:rsid w:val="00EE13C7"/>
    <w:rsid w:val="00EE687F"/>
    <w:rsid w:val="00FA52E0"/>
    <w:rsid w:val="00FB3E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1F4B"/>
    <w:rPr>
      <w:color w:val="808080"/>
    </w:rPr>
  </w:style>
  <w:style w:type="paragraph" w:customStyle="1" w:styleId="1D136C03497B4A0BAD6DF53006D592B4">
    <w:name w:val="1D136C03497B4A0BAD6DF53006D592B4"/>
    <w:rsid w:val="000F1F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A1089533</value>
    </field>
    <field name="Objective-Title">
      <value order="0">APVMA RISK ANALYSIS FRAMEWORK_update_2018_SQC</value>
    </field>
    <field name="Objective-Description">
      <value order="0"/>
    </field>
    <field name="Objective-CreationStamp">
      <value order="0">2018-02-02T03:24:29Z</value>
    </field>
    <field name="Objective-IsApproved">
      <value order="0">false</value>
    </field>
    <field name="Objective-IsPublished">
      <value order="0">false</value>
    </field>
    <field name="Objective-DatePublished">
      <value order="0"/>
    </field>
    <field name="Objective-ModificationStamp">
      <value order="0">2018-05-15T01:32:17Z</value>
    </field>
    <field name="Objective-Owner">
      <value order="0">Andrew Pearce</value>
    </field>
    <field name="Objective-Path">
      <value order="0">APVMA:COLLABORATION:Collaboration - Scientific Assessment and Chemical Review:Science Quality Committee:Risk Analysis Paper - SQC revision</value>
    </field>
    <field name="Objective-Parent">
      <value order="0">Risk Analysis Paper - SQC revision</value>
    </field>
    <field name="Objective-State">
      <value order="0">Being Edited</value>
    </field>
    <field name="Objective-VersionId">
      <value order="0">vA1792698</value>
    </field>
    <field name="Objective-Version">
      <value order="0">2.1</value>
    </field>
    <field name="Objective-VersionNumber">
      <value order="0">4</value>
    </field>
    <field name="Objective-VersionComment">
      <value order="0"/>
    </field>
    <field name="Objective-FileNumber">
      <value order="0">qA111844</value>
    </field>
    <field name="Objective-Classification">
      <value order="0">For Official Use Only (FOUO)</value>
    </field>
    <field name="Objective-Caveats">
      <value order="0"/>
    </field>
  </systemFields>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b:Source>
    <b:Tag>Wor10</b:Tag>
    <b:SourceType>Report</b:SourceType>
    <b:Guid>{29C5FAD2-827A-4B2D-9D2A-3124F3491F49}</b:Guid>
    <b:Title>WHO HUMAN HEALTH RISK ASSESSMENT TOOLKIT: CHEMICAL HAZARDS</b:Title>
    <b:Year>2010</b:Year>
    <b:City>Geneva</b:City>
    <b:Publisher>WHO Press</b:Publisher>
    <b:Author>
      <b:Author>
        <b:NameList>
          <b:Person>
            <b:Last>World Health Organization</b:Last>
          </b:Person>
        </b:NameList>
      </b:Author>
    </b:Author>
    <b:RefOrder>7</b:RefOrder>
  </b:Source>
  <b:Source>
    <b:Tag>Saf11</b:Tag>
    <b:SourceType>DocumentFromInternetSite</b:SourceType>
    <b:Guid>{1F8F01B3-6CDB-4115-A92C-A964552187DB}</b:Guid>
    <b:Author>
      <b:Author>
        <b:NameList>
          <b:Person>
            <b:Last>Safe Work Australia</b:Last>
          </b:Person>
        </b:NameList>
      </b:Author>
    </b:Author>
    <b:Title>Preparation of Safety Data Sheets for Hazardous Chemicals - Code of Practice</b:Title>
    <b:Year>2011</b:Year>
    <b:InternetSiteTitle>Safe Work Australia</b:InternetSiteTitle>
    <b:URL>https://www.safeworkaustralia.gov.au/system/files/documents/1705/mcop-preparation-of-safety-data-sheets-for-hazardous-chemicals-v1.pdf</b:URL>
    <b:RefOrder>8</b:RefOrder>
  </b:Source>
  <b:Source>
    <b:Tag>Env98</b:Tag>
    <b:SourceType>Book</b:SourceType>
    <b:Guid>{02D7C2DB-8E88-48FB-8B08-8A3DDE81C50F}</b:Guid>
    <b:Author>
      <b:Author>
        <b:NameList>
          <b:Person>
            <b:Last>Environment Directorate OECD</b:Last>
          </b:Person>
        </b:NameList>
      </b:Author>
    </b:Author>
    <b:Title>OECD Principles on Good Laboratory Practice (as revised in 1997)</b:Title>
    <b:Year>1998</b:Year>
    <b:City>Paris</b:City>
    <b:RefOrder>6</b:RefOrder>
  </b:Source>
  <b:Source>
    <b:Tag>FAO09</b:Tag>
    <b:SourceType>BookSection</b:SourceType>
    <b:Guid>{2D08A383-9BBF-43D7-A414-EEECDD65AE2B}</b:Guid>
    <b:Title>Chapter 2: RISK ASSESSMENT AND ITS ROLE IN RISK ANALYSIS</b:Title>
    <b:Year>2009</b:Year>
    <b:Publisher>WHO Press</b:Publisher>
    <b:Author>
      <b:Author>
        <b:NameList>
          <b:Person>
            <b:Last>FAO and WHO</b:Last>
          </b:Person>
        </b:NameList>
      </b:Author>
    </b:Author>
    <b:DayAccessed>6 June 2018</b:DayAccessed>
    <b:URL>http://www.who.int/foodsafety/publications/chemical-food/en/</b:URL>
    <b:City>Germany</b:City>
    <b:BookTitle>Principles  and  methods  for  the  risk  assessment  of chemicals in food. Environmental Health Criteria 240.</b:BookTitle>
    <b:RefOrder>1</b:RefOrder>
  </b:Source>
  <b:Source>
    <b:Tag>EFS18</b:Tag>
    <b:SourceType>JournalArticle</b:SourceType>
    <b:Guid>{DEC8F501-2E53-4DE3-8DE8-E181D5E5936E}</b:Guid>
    <b:Author>
      <b:Author>
        <b:NameList>
          <b:Person>
            <b:Last>EFSA Scientific Committee</b:Last>
          </b:Person>
        </b:NameList>
      </b:Author>
    </b:Author>
    <b:Title>Guidance on Uncertainty Analysis in Scientific Assessment</b:Title>
    <b:Year>2018</b:Year>
    <b:JournalName>EFSA Journal</b:JournalName>
    <b:Volume>16(1)</b:Volume>
    <b:Issue>5123</b:Issue>
    <b:Pages>39</b:Pages>
    <b:RefOrder>3</b:RefOrder>
  </b:Source>
  <b:Source>
    <b:Tag>Com17</b:Tag>
    <b:SourceType>JournalArticle</b:SourceType>
    <b:Guid>{5538C75B-A976-4103-A265-8DEB990A0376}</b:Guid>
    <b:Author>
      <b:Author>
        <b:NameList>
          <b:Person>
            <b:Last>EFSA Scientific Committee</b:Last>
          </b:Person>
        </b:NameList>
      </b:Author>
    </b:Author>
    <b:Title>Scientific Opinion on the guidance on the use of the weight of evidence approach in scientific assessments</b:Title>
    <b:Year>2017</b:Year>
    <b:JournalName>EFSA Journal</b:JournalName>
    <b:Pages>69</b:Pages>
    <b:Volume>15(8)</b:Volume>
    <b:Issue>4971</b:Issue>
    <b:RefOrder>5</b:RefOrder>
  </b:Source>
  <b:Source>
    <b:Tag>ECH18</b:Tag>
    <b:SourceType>InternetSite</b:SourceType>
    <b:Guid>{523BCC50-43F2-4D46-99E2-B300C752B45E}</b:Guid>
    <b:Title>Weight of evidence</b:Title>
    <b:Year>2018</b:Year>
    <b:Author>
      <b:Author>
        <b:NameList>
          <b:Person>
            <b:Last>ECHA - European Chemicals Agency</b:Last>
          </b:Person>
        </b:NameList>
      </b:Author>
    </b:Author>
    <b:Month>June</b:Month>
    <b:Day>06</b:Day>
    <b:URL>https://echa.europa.eu/support/registration/how-to-avoid-unnecessary-testing-on-animals/weight-of-evidence</b:URL>
    <b:RefOrder>4</b:RefOrder>
  </b:Source>
  <b:Source>
    <b:Tag>Lee09</b:Tag>
    <b:SourceType>Report</b:SourceType>
    <b:Guid>{00D84B57-377E-4BBE-9F5E-DEB4B9F2408B}</b:Guid>
    <b:Title>Environmental Risk Assessment Guidance Manual for agricultural and veterinary chemicals</b:Title>
    <b:Year>2009</b:Year>
    <b:Author>
      <b:Author>
        <b:NameList>
          <b:Person>
            <b:Last>Lee-Steere</b:Last>
            <b:First>Chris</b:First>
          </b:Person>
        </b:NameList>
      </b:Author>
    </b:Author>
    <b:Publisher>Environment Protection and Heritage Council</b:Publisher>
    <b:RefOrder>2</b:RefOrder>
  </b:Source>
</b:Sources>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7D8C4CF1-F9BB-4067-9BCE-62401070F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4F77D482.dotm</Template>
  <TotalTime>1</TotalTime>
  <Pages>69</Pages>
  <Words>22272</Words>
  <Characters>126955</Characters>
  <Application>Microsoft Office Word</Application>
  <DocSecurity>4</DocSecurity>
  <Lines>1057</Lines>
  <Paragraphs>297</Paragraphs>
  <ScaleCrop>false</ScaleCrop>
  <HeadingPairs>
    <vt:vector size="2" baseType="variant">
      <vt:variant>
        <vt:lpstr>Title</vt:lpstr>
      </vt:variant>
      <vt:variant>
        <vt:i4>1</vt:i4>
      </vt:variant>
    </vt:vector>
  </HeadingPairs>
  <TitlesOfParts>
    <vt:vector size="1" baseType="lpstr">
      <vt:lpstr>Environment Risk Assessment Manual</vt:lpstr>
    </vt:vector>
  </TitlesOfParts>
  <Company>APVMA</Company>
  <LinksUpToDate>false</LinksUpToDate>
  <CharactersWithSpaces>148930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Risk Assessment Manual</dc:title>
  <dc:creator>APVMA</dc:creator>
  <cp:lastModifiedBy>BLAKERS, Kylie</cp:lastModifiedBy>
  <cp:revision>2</cp:revision>
  <cp:lastPrinted>2018-10-29T22:48:00Z</cp:lastPrinted>
  <dcterms:created xsi:type="dcterms:W3CDTF">2018-10-30T01:03:00Z</dcterms:created>
  <dcterms:modified xsi:type="dcterms:W3CDTF">2018-10-30T01:03:00Z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A1089533</vt:lpwstr>
  </property>
  <property fmtid="{D5CDD505-2E9C-101B-9397-08002B2CF9AE}" pid="4" name="Objective-Title">
    <vt:lpwstr>APVMA RISK ANALYSIS FRAMEWORK_update_2018_SQC</vt:lpwstr>
  </property>
  <property fmtid="{D5CDD505-2E9C-101B-9397-08002B2CF9AE}" pid="5" name="Objective-Description">
    <vt:lpwstr/>
  </property>
  <property fmtid="{D5CDD505-2E9C-101B-9397-08002B2CF9AE}" pid="6" name="Objective-CreationStamp">
    <vt:filetime>2018-02-07T07:30:32Z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2018-05-15T01:32:17Z</vt:filetime>
  </property>
  <property fmtid="{D5CDD505-2E9C-101B-9397-08002B2CF9AE}" pid="11" name="Objective-Owner">
    <vt:lpwstr>Andrew Pearce</vt:lpwstr>
  </property>
  <property fmtid="{D5CDD505-2E9C-101B-9397-08002B2CF9AE}" pid="12" name="Objective-Path">
    <vt:lpwstr>APVMA:COLLABORATION:Collaboration - Scientific Assessment and Chemical Review:Science Quality Committee:Risk Analysis Paper - SQC revision:</vt:lpwstr>
  </property>
  <property fmtid="{D5CDD505-2E9C-101B-9397-08002B2CF9AE}" pid="13" name="Objective-Parent">
    <vt:lpwstr>Risk Analysis Paper - SQC revision</vt:lpwstr>
  </property>
  <property fmtid="{D5CDD505-2E9C-101B-9397-08002B2CF9AE}" pid="14" name="Objective-State">
    <vt:lpwstr>Being Edited</vt:lpwstr>
  </property>
  <property fmtid="{D5CDD505-2E9C-101B-9397-08002B2CF9AE}" pid="15" name="Objective-VersionId">
    <vt:lpwstr>vA1792698</vt:lpwstr>
  </property>
  <property fmtid="{D5CDD505-2E9C-101B-9397-08002B2CF9AE}" pid="16" name="Objective-Version">
    <vt:lpwstr>2.1</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2015\5622</vt:lpwstr>
  </property>
  <property fmtid="{D5CDD505-2E9C-101B-9397-08002B2CF9AE}" pid="20" name="Objective-Classification">
    <vt:lpwstr>[Inherited - For Official Use Only (FOUO)]</vt:lpwstr>
  </property>
  <property fmtid="{D5CDD505-2E9C-101B-9397-08002B2CF9AE}" pid="21" name="Objective-Caveats">
    <vt:lpwstr/>
  </property>
  <property fmtid="{D5CDD505-2E9C-101B-9397-08002B2CF9AE}" pid="22" name="Objective-Comment">
    <vt:lpwstr/>
  </property>
</Properties>
</file>