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C43" w:rsidRDefault="00D42C43" w:rsidP="001C656F">
      <w:pPr>
        <w:ind w:firstLine="567"/>
        <w:jc w:val="right"/>
      </w:pPr>
    </w:p>
    <w:p w:rsidR="00D42C43" w:rsidRDefault="00D42C43" w:rsidP="001C656F">
      <w:pPr>
        <w:ind w:firstLine="567"/>
        <w:jc w:val="right"/>
      </w:pPr>
      <w:r>
        <w:rPr>
          <w:noProof/>
          <w:lang w:eastAsia="en-AU"/>
        </w:rPr>
        <w:drawing>
          <wp:inline distT="0" distB="0" distL="0" distR="0" wp14:anchorId="27458312" wp14:editId="30C207A8">
            <wp:extent cx="6570920" cy="1962150"/>
            <wp:effectExtent l="0" t="0" r="1905" b="0"/>
            <wp:docPr id="1" name="Picture 1"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_nitromec_Page_01_Image_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5927" cy="1963645"/>
                    </a:xfrm>
                    <a:prstGeom prst="rect">
                      <a:avLst/>
                    </a:prstGeom>
                    <a:noFill/>
                    <a:ln>
                      <a:noFill/>
                    </a:ln>
                  </pic:spPr>
                </pic:pic>
              </a:graphicData>
            </a:graphic>
          </wp:inline>
        </w:drawing>
      </w:r>
    </w:p>
    <w:p w:rsidR="00D42C43" w:rsidRDefault="00D42C43" w:rsidP="001C656F">
      <w:pPr>
        <w:ind w:firstLine="567"/>
        <w:jc w:val="right"/>
      </w:pPr>
      <w:r>
        <w:rPr>
          <w:noProof/>
          <w:lang w:eastAsia="en-AU"/>
        </w:rPr>
        <w:drawing>
          <wp:inline distT="0" distB="0" distL="0" distR="0" wp14:anchorId="534796FA" wp14:editId="7C77E3F0">
            <wp:extent cx="6570345" cy="3286019"/>
            <wp:effectExtent l="0" t="0" r="1905" b="0"/>
            <wp:docPr id="2" name="Picture 2"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notechnolog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0862" cy="3291279"/>
                    </a:xfrm>
                    <a:prstGeom prst="rect">
                      <a:avLst/>
                    </a:prstGeom>
                    <a:noFill/>
                    <a:ln>
                      <a:noFill/>
                    </a:ln>
                  </pic:spPr>
                </pic:pic>
              </a:graphicData>
            </a:graphic>
          </wp:inline>
        </w:drawing>
      </w:r>
    </w:p>
    <w:p w:rsidR="00D42C43" w:rsidRDefault="00D42C43" w:rsidP="001C656F">
      <w:pPr>
        <w:ind w:firstLine="567"/>
        <w:jc w:val="right"/>
      </w:pPr>
      <w:r>
        <w:rPr>
          <w:noProof/>
          <w:lang w:eastAsia="en-AU"/>
        </w:rPr>
        <w:drawing>
          <wp:inline distT="0" distB="0" distL="0" distR="0" wp14:anchorId="1BDC218E">
            <wp:extent cx="6582410" cy="621665"/>
            <wp:effectExtent l="0" t="0" r="8890" b="6985"/>
            <wp:docPr id="6" name="Picture 6"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2410" cy="621665"/>
                    </a:xfrm>
                    <a:prstGeom prst="rect">
                      <a:avLst/>
                    </a:prstGeom>
                    <a:noFill/>
                  </pic:spPr>
                </pic:pic>
              </a:graphicData>
            </a:graphic>
          </wp:inline>
        </w:drawing>
      </w:r>
    </w:p>
    <w:p w:rsidR="000B63A6" w:rsidRDefault="00E44DCB">
      <w:pPr>
        <w:pStyle w:val="APVMATitle1"/>
      </w:pPr>
      <w:r>
        <w:t>Trade Advice Notice</w:t>
      </w:r>
    </w:p>
    <w:p w:rsidR="000B63A6" w:rsidRDefault="00C01EEB">
      <w:pPr>
        <w:pStyle w:val="APVMATitle2"/>
      </w:pPr>
      <w:proofErr w:type="gramStart"/>
      <w:r>
        <w:t>on</w:t>
      </w:r>
      <w:proofErr w:type="gramEnd"/>
      <w:r>
        <w:t xml:space="preserve"> </w:t>
      </w:r>
      <w:proofErr w:type="spellStart"/>
      <w:r>
        <w:t>difenoconazole</w:t>
      </w:r>
      <w:proofErr w:type="spellEnd"/>
      <w:r>
        <w:t xml:space="preserve"> in the Product </w:t>
      </w:r>
      <w:proofErr w:type="spellStart"/>
      <w:r>
        <w:t>Nufarm</w:t>
      </w:r>
      <w:proofErr w:type="spellEnd"/>
      <w:r>
        <w:t xml:space="preserve"> Digger Fungicide for use on wine grapes</w:t>
      </w:r>
    </w:p>
    <w:p w:rsidR="000B63A6" w:rsidRDefault="00C01EEB">
      <w:pPr>
        <w:pStyle w:val="APVMATitle2a"/>
      </w:pPr>
      <w:r>
        <w:t>APVMA Product Number 65130</w:t>
      </w:r>
    </w:p>
    <w:p w:rsidR="004A0985" w:rsidRDefault="004A0985">
      <w:pPr>
        <w:pStyle w:val="APVMATitle2a"/>
      </w:pPr>
    </w:p>
    <w:p w:rsidR="004A0985" w:rsidRDefault="004A0985" w:rsidP="004A0985">
      <w:pPr>
        <w:pStyle w:val="APVMATitle3"/>
      </w:pPr>
      <w:r>
        <w:t>November 2018</w:t>
      </w:r>
    </w:p>
    <w:p w:rsidR="000B63A6" w:rsidRDefault="000B63A6"/>
    <w:p w:rsidR="000B63A6" w:rsidRDefault="000B63A6">
      <w:pPr>
        <w:sectPr w:rsidR="000B63A6">
          <w:pgSz w:w="11906" w:h="16838" w:code="9"/>
          <w:pgMar w:top="567" w:right="567" w:bottom="567" w:left="567" w:header="1701" w:footer="680" w:gutter="0"/>
          <w:cols w:space="708"/>
          <w:titlePg/>
          <w:docGrid w:linePitch="360"/>
        </w:sectPr>
      </w:pPr>
    </w:p>
    <w:p w:rsidR="007C0F89" w:rsidRPr="000F2A6C" w:rsidRDefault="007C0F89" w:rsidP="007C0F89">
      <w:pPr>
        <w:autoSpaceDE w:val="0"/>
        <w:autoSpaceDN w:val="0"/>
        <w:adjustRightInd w:val="0"/>
        <w:spacing w:after="120" w:line="240" w:lineRule="exact"/>
        <w:ind w:left="-284" w:right="-330"/>
        <w:rPr>
          <w:rFonts w:cs="Arial"/>
          <w:sz w:val="16"/>
          <w:szCs w:val="16"/>
          <w:lang w:eastAsia="en-AU"/>
        </w:rPr>
      </w:pPr>
      <w:bookmarkStart w:id="0" w:name="_Toc168724484"/>
      <w:r w:rsidRPr="000F2A6C">
        <w:rPr>
          <w:rFonts w:cs="Arial"/>
          <w:sz w:val="16"/>
          <w:szCs w:val="16"/>
          <w:lang w:eastAsia="en-AU"/>
        </w:rPr>
        <w:lastRenderedPageBreak/>
        <w:t>© Australian Pesticides and Vet</w:t>
      </w:r>
      <w:r w:rsidR="00914508">
        <w:rPr>
          <w:rFonts w:cs="Arial"/>
          <w:sz w:val="16"/>
          <w:szCs w:val="16"/>
          <w:lang w:eastAsia="en-AU"/>
        </w:rPr>
        <w:t>erinary Medicines Authority 2018</w:t>
      </w:r>
    </w:p>
    <w:p w:rsidR="00BF71E0" w:rsidRDefault="00BF71E0" w:rsidP="007C0F89">
      <w:pPr>
        <w:autoSpaceDE w:val="0"/>
        <w:autoSpaceDN w:val="0"/>
        <w:adjustRightInd w:val="0"/>
        <w:spacing w:after="120" w:line="240" w:lineRule="exact"/>
        <w:ind w:left="-284" w:right="-330"/>
        <w:rPr>
          <w:rFonts w:ascii="Trebuchet MS" w:hAnsi="Trebuchet MS" w:cs="Trebuchet MS"/>
          <w:sz w:val="16"/>
          <w:szCs w:val="16"/>
          <w:lang w:eastAsia="en-AU"/>
        </w:rPr>
      </w:pPr>
      <w:r>
        <w:rPr>
          <w:rFonts w:ascii="Trebuchet MS" w:hAnsi="Trebuchet MS" w:cs="Trebuchet MS"/>
          <w:sz w:val="16"/>
          <w:szCs w:val="16"/>
          <w:lang w:eastAsia="en-AU"/>
        </w:rPr>
        <w:t xml:space="preserve">ISSN </w:t>
      </w:r>
      <w:r>
        <w:rPr>
          <w:rFonts w:ascii="Trebuchet MS" w:hAnsi="Trebuchet MS" w:cs="Trebuchet MS"/>
          <w:sz w:val="16"/>
          <w:szCs w:val="16"/>
          <w:lang w:eastAsia="en-AU"/>
        </w:rPr>
        <w:tab/>
      </w:r>
      <w:r w:rsidRPr="00BF71E0">
        <w:rPr>
          <w:rFonts w:ascii="Trebuchet MS" w:hAnsi="Trebuchet MS" w:cs="Trebuchet MS"/>
          <w:sz w:val="16"/>
          <w:szCs w:val="16"/>
          <w:lang w:eastAsia="en-AU"/>
        </w:rPr>
        <w:t>2200-3894 (electronic)</w:t>
      </w:r>
    </w:p>
    <w:p w:rsidR="007C0F89" w:rsidRPr="000F2A6C" w:rsidRDefault="00BF71E0" w:rsidP="007C0F89">
      <w:pPr>
        <w:autoSpaceDE w:val="0"/>
        <w:autoSpaceDN w:val="0"/>
        <w:adjustRightInd w:val="0"/>
        <w:spacing w:after="120" w:line="240" w:lineRule="exact"/>
        <w:ind w:left="-284" w:right="-330"/>
        <w:rPr>
          <w:rFonts w:ascii="Trebuchet MS" w:hAnsi="Trebuchet MS" w:cs="Trebuchet MS"/>
          <w:sz w:val="16"/>
          <w:szCs w:val="16"/>
          <w:lang w:eastAsia="en-AU"/>
        </w:rPr>
      </w:pPr>
      <w:r>
        <w:rPr>
          <w:rFonts w:ascii="Trebuchet MS" w:hAnsi="Trebuchet MS" w:cs="Trebuchet MS"/>
          <w:sz w:val="16"/>
          <w:szCs w:val="16"/>
          <w:lang w:eastAsia="en-AU"/>
        </w:rPr>
        <w:t xml:space="preserve">ISBN </w:t>
      </w:r>
      <w:r>
        <w:rPr>
          <w:rFonts w:ascii="Trebuchet MS" w:hAnsi="Trebuchet MS" w:cs="Trebuchet MS"/>
          <w:sz w:val="16"/>
          <w:szCs w:val="16"/>
          <w:lang w:eastAsia="en-AU"/>
        </w:rPr>
        <w:tab/>
      </w:r>
      <w:r w:rsidRPr="00BF71E0">
        <w:rPr>
          <w:rFonts w:ascii="Trebuchet MS" w:hAnsi="Trebuchet MS" w:cs="Trebuchet MS"/>
          <w:sz w:val="16"/>
          <w:szCs w:val="16"/>
          <w:lang w:eastAsia="en-AU"/>
        </w:rPr>
        <w:t>978-1-925390-00-1</w:t>
      </w:r>
      <w:r w:rsidR="007C0F89">
        <w:rPr>
          <w:rFonts w:ascii="Trebuchet MS" w:hAnsi="Trebuchet MS" w:cs="Trebuchet MS"/>
          <w:sz w:val="16"/>
          <w:szCs w:val="16"/>
          <w:lang w:eastAsia="en-AU"/>
        </w:rPr>
        <w:t xml:space="preserve"> </w:t>
      </w:r>
      <w:r w:rsidR="007C0F89" w:rsidRPr="000F2A6C">
        <w:rPr>
          <w:rFonts w:ascii="Trebuchet MS" w:hAnsi="Trebuchet MS" w:cs="Trebuchet MS"/>
          <w:sz w:val="16"/>
          <w:szCs w:val="16"/>
          <w:lang w:eastAsia="en-AU"/>
        </w:rPr>
        <w:t>(electronic)</w:t>
      </w:r>
    </w:p>
    <w:p w:rsidR="007C0F89" w:rsidRPr="000F2A6C" w:rsidRDefault="007C0F89" w:rsidP="007C0F89">
      <w:pPr>
        <w:autoSpaceDE w:val="0"/>
        <w:autoSpaceDN w:val="0"/>
        <w:adjustRightInd w:val="0"/>
        <w:spacing w:before="240" w:line="240" w:lineRule="exact"/>
        <w:ind w:left="-284" w:right="-330"/>
        <w:rPr>
          <w:rFonts w:cs="Arial"/>
          <w:b/>
          <w:bCs/>
          <w:sz w:val="16"/>
          <w:szCs w:val="16"/>
          <w:lang w:eastAsia="en-AU"/>
        </w:rPr>
      </w:pPr>
      <w:r w:rsidRPr="000F2A6C">
        <w:rPr>
          <w:rFonts w:cs="Arial"/>
          <w:b/>
          <w:bCs/>
          <w:sz w:val="16"/>
          <w:szCs w:val="16"/>
          <w:lang w:eastAsia="en-AU"/>
        </w:rPr>
        <w:t>Ownership of intellectual property rights in this publication</w:t>
      </w:r>
    </w:p>
    <w:p w:rsidR="007C0F89" w:rsidRPr="000F2A6C" w:rsidRDefault="007C0F89" w:rsidP="007C0F89">
      <w:pPr>
        <w:autoSpaceDE w:val="0"/>
        <w:autoSpaceDN w:val="0"/>
        <w:adjustRightInd w:val="0"/>
        <w:spacing w:before="60" w:after="240" w:line="240" w:lineRule="exact"/>
        <w:ind w:left="-284" w:right="-330"/>
        <w:rPr>
          <w:rFonts w:cs="Arial"/>
          <w:sz w:val="16"/>
          <w:szCs w:val="16"/>
          <w:lang w:eastAsia="en-AU"/>
        </w:rPr>
      </w:pPr>
      <w:r w:rsidRPr="000F2A6C">
        <w:rPr>
          <w:rFonts w:cs="Arial"/>
          <w:sz w:val="16"/>
          <w:szCs w:val="16"/>
          <w:lang w:eastAsia="en-AU"/>
        </w:rPr>
        <w:t>Unless otherwise noted, copyright (and any other intellectual property rights, if any) in this publication is owned by the Australian Pesticides and Veterinary Medicines Authority (APVMA).</w:t>
      </w:r>
    </w:p>
    <w:p w:rsidR="007C0F89" w:rsidRPr="000F2A6C" w:rsidRDefault="007C0F89" w:rsidP="007C0F89">
      <w:pPr>
        <w:autoSpaceDE w:val="0"/>
        <w:autoSpaceDN w:val="0"/>
        <w:adjustRightInd w:val="0"/>
        <w:spacing w:line="240" w:lineRule="exact"/>
        <w:ind w:left="-284" w:right="-330"/>
        <w:rPr>
          <w:rFonts w:cs="Arial"/>
          <w:b/>
          <w:bCs/>
          <w:sz w:val="16"/>
          <w:szCs w:val="16"/>
          <w:lang w:eastAsia="en-AU"/>
        </w:rPr>
      </w:pPr>
      <w:proofErr w:type="gramStart"/>
      <w:r w:rsidRPr="000F2A6C">
        <w:rPr>
          <w:rFonts w:cs="Arial"/>
          <w:b/>
          <w:bCs/>
          <w:sz w:val="16"/>
          <w:szCs w:val="16"/>
          <w:lang w:eastAsia="en-AU"/>
        </w:rPr>
        <w:t>Creative Commons</w:t>
      </w:r>
      <w:proofErr w:type="gramEnd"/>
      <w:r w:rsidRPr="000F2A6C">
        <w:rPr>
          <w:rFonts w:cs="Arial"/>
          <w:b/>
          <w:bCs/>
          <w:sz w:val="16"/>
          <w:szCs w:val="16"/>
          <w:lang w:eastAsia="en-AU"/>
        </w:rPr>
        <w:t xml:space="preserve"> licence</w:t>
      </w:r>
    </w:p>
    <w:p w:rsidR="007C0F89" w:rsidRPr="000F2A6C" w:rsidRDefault="007C0F89" w:rsidP="007C0F89">
      <w:pPr>
        <w:autoSpaceDE w:val="0"/>
        <w:autoSpaceDN w:val="0"/>
        <w:adjustRightInd w:val="0"/>
        <w:spacing w:before="60" w:after="600" w:line="240" w:lineRule="exact"/>
        <w:ind w:left="-284" w:right="-330"/>
        <w:rPr>
          <w:rFonts w:cs="Arial"/>
          <w:sz w:val="16"/>
          <w:szCs w:val="16"/>
          <w:lang w:eastAsia="en-AU"/>
        </w:rPr>
      </w:pPr>
      <w:r>
        <w:rPr>
          <w:noProof/>
          <w:lang w:eastAsia="en-AU"/>
        </w:rPr>
        <w:drawing>
          <wp:anchor distT="0" distB="0" distL="114300" distR="114300" simplePos="0" relativeHeight="251659264" behindDoc="1" locked="0" layoutInCell="1" allowOverlap="1" wp14:anchorId="2337A4AE" wp14:editId="28B56CF9">
            <wp:simplePos x="0" y="0"/>
            <wp:positionH relativeFrom="column">
              <wp:posOffset>495300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5" name="Picture 5"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1" locked="0" layoutInCell="1" allowOverlap="1" wp14:anchorId="5322440E" wp14:editId="64999E62">
            <wp:simplePos x="0" y="0"/>
            <wp:positionH relativeFrom="column">
              <wp:posOffset>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4" name="Picture 4"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A6C">
        <w:rPr>
          <w:rFonts w:cs="Arial"/>
          <w:sz w:val="16"/>
          <w:szCs w:val="16"/>
          <w:lang w:eastAsia="en-AU"/>
        </w:rPr>
        <w:t>With the exception of the Coat of Arms and other elem</w:t>
      </w:r>
      <w:bookmarkStart w:id="1" w:name="_GoBack"/>
      <w:bookmarkEnd w:id="1"/>
      <w:r w:rsidRPr="000F2A6C">
        <w:rPr>
          <w:rFonts w:cs="Arial"/>
          <w:sz w:val="16"/>
          <w:szCs w:val="16"/>
          <w:lang w:eastAsia="en-AU"/>
        </w:rPr>
        <w:t>ents specifically identified, this publication is licensed under a Creative Commons Attribution 3.0 Australia Licence. This is a standard form agreement that allows you to copy, distribute, transmit and adapt this publication provided that you attribute the work.</w:t>
      </w:r>
      <w:r w:rsidRPr="000F2A6C">
        <w:rPr>
          <w:rFonts w:cs="Arial"/>
          <w:sz w:val="16"/>
          <w:szCs w:val="16"/>
          <w:lang w:eastAsia="en-AU"/>
        </w:rPr>
        <w:br/>
      </w:r>
    </w:p>
    <w:p w:rsidR="007C0F89" w:rsidRPr="000F2A6C" w:rsidRDefault="007C0F89" w:rsidP="007C0F89">
      <w:pPr>
        <w:autoSpaceDE w:val="0"/>
        <w:autoSpaceDN w:val="0"/>
        <w:adjustRightInd w:val="0"/>
        <w:spacing w:before="120" w:line="240" w:lineRule="exact"/>
        <w:ind w:left="-284" w:right="-330"/>
        <w:rPr>
          <w:rFonts w:cs="Arial"/>
          <w:sz w:val="16"/>
          <w:szCs w:val="16"/>
          <w:lang w:eastAsia="en-AU"/>
        </w:rPr>
      </w:pPr>
      <w:r w:rsidRPr="000F2A6C">
        <w:rPr>
          <w:rFonts w:cs="Arial"/>
          <w:sz w:val="16"/>
          <w:szCs w:val="16"/>
          <w:lang w:eastAsia="en-AU"/>
        </w:rPr>
        <w:t xml:space="preserve">A summary of the licence terms is available from </w:t>
      </w:r>
      <w:hyperlink r:id="rId14" w:history="1">
        <w:r w:rsidRPr="000F2A6C">
          <w:rPr>
            <w:rFonts w:cs="Arial"/>
            <w:color w:val="0000FF"/>
            <w:sz w:val="16"/>
            <w:szCs w:val="16"/>
            <w:u w:val="single"/>
            <w:lang w:eastAsia="en-AU"/>
          </w:rPr>
          <w:t>www.creativecommons.org/licenses/by/3.0/au/deed.en</w:t>
        </w:r>
      </w:hyperlink>
      <w:r w:rsidRPr="000F2A6C">
        <w:rPr>
          <w:rFonts w:cs="Arial"/>
          <w:sz w:val="16"/>
          <w:szCs w:val="16"/>
          <w:lang w:eastAsia="en-AU"/>
        </w:rPr>
        <w:t xml:space="preserve">. The full licence terms are available from </w:t>
      </w:r>
      <w:hyperlink r:id="rId15" w:history="1">
        <w:r w:rsidRPr="000F2A6C">
          <w:rPr>
            <w:rFonts w:cs="Arial"/>
            <w:color w:val="0000FF"/>
            <w:sz w:val="16"/>
            <w:szCs w:val="16"/>
            <w:u w:val="single"/>
            <w:lang w:eastAsia="en-AU"/>
          </w:rPr>
          <w:t>www.creativecommons.org/licenses/by/3.0/au/legalcode</w:t>
        </w:r>
      </w:hyperlink>
      <w:r w:rsidRPr="000F2A6C">
        <w:rPr>
          <w:rFonts w:cs="Arial"/>
          <w:sz w:val="16"/>
          <w:szCs w:val="16"/>
          <w:lang w:eastAsia="en-AU"/>
        </w:rPr>
        <w:t>.</w:t>
      </w:r>
    </w:p>
    <w:p w:rsidR="007C0F89" w:rsidRPr="000F2A6C" w:rsidRDefault="007C0F89" w:rsidP="007C0F89">
      <w:pPr>
        <w:autoSpaceDE w:val="0"/>
        <w:autoSpaceDN w:val="0"/>
        <w:adjustRightInd w:val="0"/>
        <w:spacing w:before="120" w:line="240" w:lineRule="exact"/>
        <w:ind w:left="-284" w:right="-330"/>
        <w:rPr>
          <w:rFonts w:cs="Arial"/>
          <w:i/>
          <w:iCs/>
          <w:sz w:val="16"/>
          <w:szCs w:val="16"/>
          <w:lang w:eastAsia="en-AU"/>
        </w:rPr>
      </w:pPr>
      <w:r w:rsidRPr="000F2A6C">
        <w:rPr>
          <w:rFonts w:cs="Arial"/>
          <w:sz w:val="16"/>
          <w:szCs w:val="16"/>
          <w:lang w:eastAsia="en-AU"/>
        </w:rPr>
        <w:t>The APVMA’s preference is that you attribute this publication (and any approved material sourced from it) using the following wording:</w:t>
      </w:r>
    </w:p>
    <w:p w:rsidR="007C0F89" w:rsidRPr="000F2A6C" w:rsidRDefault="007C0F89" w:rsidP="007C0F89">
      <w:pPr>
        <w:autoSpaceDE w:val="0"/>
        <w:autoSpaceDN w:val="0"/>
        <w:adjustRightInd w:val="0"/>
        <w:spacing w:before="120" w:line="240" w:lineRule="exact"/>
        <w:ind w:left="-284" w:right="-330"/>
        <w:rPr>
          <w:rFonts w:cs="Arial"/>
          <w:i/>
          <w:iCs/>
          <w:sz w:val="16"/>
          <w:szCs w:val="16"/>
          <w:lang w:eastAsia="en-AU"/>
        </w:rPr>
      </w:pPr>
      <w:r w:rsidRPr="000F2A6C">
        <w:rPr>
          <w:rFonts w:cs="Arial"/>
          <w:i/>
          <w:iCs/>
          <w:sz w:val="16"/>
          <w:szCs w:val="16"/>
          <w:lang w:eastAsia="en-AU"/>
        </w:rPr>
        <w:t xml:space="preserve">Source: Licensed from the Australian Pesticides and Veterinary Medicines Authority (APVMA) under a Creative Commons Attribution 3.0 Australia Licence. </w:t>
      </w:r>
    </w:p>
    <w:p w:rsidR="007C0F89" w:rsidRPr="000F2A6C" w:rsidRDefault="007C0F89" w:rsidP="007C0F89">
      <w:pPr>
        <w:autoSpaceDE w:val="0"/>
        <w:autoSpaceDN w:val="0"/>
        <w:adjustRightInd w:val="0"/>
        <w:spacing w:before="120" w:after="120" w:line="240" w:lineRule="exact"/>
        <w:ind w:left="-284" w:right="-330"/>
        <w:rPr>
          <w:rFonts w:cs="Arial"/>
          <w:sz w:val="16"/>
          <w:szCs w:val="16"/>
          <w:lang w:eastAsia="en-AU"/>
        </w:rPr>
      </w:pPr>
      <w:r w:rsidRPr="000F2A6C">
        <w:rPr>
          <w:rFonts w:cs="Arial"/>
          <w:sz w:val="16"/>
          <w:szCs w:val="16"/>
          <w:lang w:eastAsia="en-AU"/>
        </w:rPr>
        <w:t>In referencing this document the Australian Pesticides and Veterinary Medicines Authority should be cited as the author, publisher and copyright owner.</w:t>
      </w:r>
    </w:p>
    <w:p w:rsidR="007C0F89" w:rsidRPr="000F2A6C" w:rsidRDefault="007C0F89" w:rsidP="007C0F89">
      <w:pPr>
        <w:autoSpaceDE w:val="0"/>
        <w:autoSpaceDN w:val="0"/>
        <w:adjustRightInd w:val="0"/>
        <w:spacing w:before="120" w:line="240" w:lineRule="exact"/>
        <w:ind w:left="-284" w:right="-330"/>
        <w:rPr>
          <w:rFonts w:cs="Arial"/>
          <w:b/>
          <w:bCs/>
          <w:sz w:val="16"/>
          <w:szCs w:val="16"/>
          <w:lang w:eastAsia="en-AU"/>
        </w:rPr>
      </w:pPr>
      <w:r w:rsidRPr="000F2A6C">
        <w:rPr>
          <w:rFonts w:cs="Arial"/>
          <w:b/>
          <w:bCs/>
          <w:sz w:val="16"/>
          <w:szCs w:val="16"/>
          <w:lang w:eastAsia="en-AU"/>
        </w:rPr>
        <w:t>Use of the Coat of Arms</w:t>
      </w:r>
    </w:p>
    <w:p w:rsidR="007C0F89" w:rsidRPr="000F2A6C" w:rsidRDefault="007C0F89" w:rsidP="007C0F89">
      <w:pPr>
        <w:autoSpaceDE w:val="0"/>
        <w:autoSpaceDN w:val="0"/>
        <w:adjustRightInd w:val="0"/>
        <w:spacing w:before="60" w:line="240" w:lineRule="exact"/>
        <w:ind w:left="-284" w:right="-330"/>
        <w:rPr>
          <w:rFonts w:cs="Arial"/>
          <w:sz w:val="16"/>
          <w:szCs w:val="16"/>
          <w:lang w:eastAsia="en-AU"/>
        </w:rPr>
      </w:pPr>
      <w:r w:rsidRPr="000F2A6C">
        <w:rPr>
          <w:rFonts w:cs="Arial"/>
          <w:sz w:val="16"/>
          <w:szCs w:val="16"/>
          <w:lang w:eastAsia="en-AU"/>
        </w:rPr>
        <w:t xml:space="preserve">The terms under which the Coat of Arms can be used are set out on the Department of the Prime Minister and Cabinet website (see </w:t>
      </w:r>
      <w:hyperlink r:id="rId16" w:history="1">
        <w:r w:rsidRPr="000F2A6C">
          <w:rPr>
            <w:rFonts w:cs="Arial"/>
            <w:color w:val="0000FF"/>
            <w:sz w:val="16"/>
            <w:szCs w:val="16"/>
            <w:u w:val="single"/>
            <w:lang w:eastAsia="en-AU"/>
          </w:rPr>
          <w:t>www.dpmc.gov.au/pmc/publication/commonwealth-coat-arms-information-and-guidelines</w:t>
        </w:r>
      </w:hyperlink>
      <w:r w:rsidRPr="000F2A6C">
        <w:rPr>
          <w:rFonts w:cs="Arial"/>
          <w:sz w:val="16"/>
          <w:szCs w:val="16"/>
          <w:lang w:eastAsia="en-AU"/>
        </w:rPr>
        <w:t>).</w:t>
      </w:r>
    </w:p>
    <w:p w:rsidR="007C0F89" w:rsidRPr="000F2A6C" w:rsidRDefault="007C0F89" w:rsidP="007C0F89">
      <w:pPr>
        <w:spacing w:before="120" w:line="240" w:lineRule="exact"/>
        <w:ind w:left="-284" w:right="-330"/>
        <w:rPr>
          <w:rFonts w:cs="Arial"/>
          <w:b/>
          <w:bCs/>
          <w:sz w:val="16"/>
          <w:szCs w:val="16"/>
          <w:lang w:eastAsia="en-AU"/>
        </w:rPr>
      </w:pPr>
      <w:r w:rsidRPr="000F2A6C">
        <w:rPr>
          <w:rFonts w:cs="Arial"/>
          <w:b/>
          <w:bCs/>
          <w:sz w:val="16"/>
          <w:szCs w:val="16"/>
          <w:lang w:eastAsia="en-AU"/>
        </w:rPr>
        <w:t>Disclaimer</w:t>
      </w:r>
    </w:p>
    <w:p w:rsidR="007C0F89" w:rsidRPr="000F2A6C" w:rsidRDefault="007C0F89" w:rsidP="007C0F89">
      <w:pPr>
        <w:autoSpaceDE w:val="0"/>
        <w:autoSpaceDN w:val="0"/>
        <w:adjustRightInd w:val="0"/>
        <w:spacing w:before="60" w:after="120" w:line="240" w:lineRule="exact"/>
        <w:ind w:left="-284" w:right="-329"/>
        <w:rPr>
          <w:rFonts w:cs="Arial"/>
          <w:sz w:val="16"/>
          <w:szCs w:val="16"/>
          <w:lang w:eastAsia="en-AU"/>
        </w:rPr>
      </w:pPr>
      <w:r w:rsidRPr="000F2A6C">
        <w:rPr>
          <w:rFonts w:cs="Arial"/>
          <w:sz w:val="16"/>
          <w:szCs w:val="16"/>
          <w:lang w:eastAsia="en-AU"/>
        </w:rPr>
        <w:t>The material in or linking from this report may contain the views or recommendations of third parties. Third party material does not necessarily reflect the views of the APVMA, or indicate a commitment to a particular course of action.</w:t>
      </w:r>
    </w:p>
    <w:p w:rsidR="007C0F89" w:rsidRPr="000F2A6C" w:rsidRDefault="007C0F89" w:rsidP="007C0F89">
      <w:pPr>
        <w:autoSpaceDE w:val="0"/>
        <w:autoSpaceDN w:val="0"/>
        <w:adjustRightInd w:val="0"/>
        <w:spacing w:before="60" w:after="120" w:line="240" w:lineRule="exact"/>
        <w:ind w:left="-284" w:right="-329"/>
        <w:rPr>
          <w:rFonts w:cs="Arial"/>
          <w:bCs/>
          <w:sz w:val="16"/>
          <w:szCs w:val="16"/>
          <w:lang w:eastAsia="en-AU"/>
        </w:rPr>
      </w:pPr>
      <w:r w:rsidRPr="000F2A6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p>
    <w:p w:rsidR="007C0F89" w:rsidRPr="000F2A6C" w:rsidRDefault="007C0F89" w:rsidP="007C0F89">
      <w:pPr>
        <w:spacing w:after="120" w:line="240" w:lineRule="exact"/>
        <w:ind w:left="-284" w:right="-330"/>
        <w:rPr>
          <w:rFonts w:cs="Arial"/>
          <w:bCs/>
          <w:sz w:val="16"/>
          <w:szCs w:val="16"/>
          <w:lang w:eastAsia="en-AU"/>
        </w:rPr>
      </w:pPr>
      <w:r w:rsidRPr="000F2A6C">
        <w:rPr>
          <w:rFonts w:cs="Arial"/>
          <w:bCs/>
          <w:sz w:val="16"/>
          <w:szCs w:val="16"/>
          <w:lang w:eastAsia="en-AU"/>
        </w:rPr>
        <w:t>The APVMA is not responsible for any errors, omissions or matters of interpretation in any third-party information contained within this document.</w:t>
      </w:r>
    </w:p>
    <w:p w:rsidR="007C0F89" w:rsidRPr="000F2A6C" w:rsidRDefault="007C0F89" w:rsidP="007C0F89">
      <w:pPr>
        <w:autoSpaceDE w:val="0"/>
        <w:autoSpaceDN w:val="0"/>
        <w:adjustRightInd w:val="0"/>
        <w:spacing w:line="240" w:lineRule="exact"/>
        <w:ind w:left="-284" w:right="-330"/>
        <w:rPr>
          <w:rFonts w:cs="Arial"/>
          <w:b/>
          <w:bCs/>
          <w:sz w:val="16"/>
          <w:szCs w:val="16"/>
          <w:lang w:eastAsia="en-AU"/>
        </w:rPr>
      </w:pPr>
      <w:r w:rsidRPr="000F2A6C">
        <w:rPr>
          <w:rFonts w:cs="Arial"/>
          <w:b/>
          <w:bCs/>
          <w:sz w:val="16"/>
          <w:szCs w:val="16"/>
          <w:lang w:eastAsia="en-AU"/>
        </w:rPr>
        <w:t>Comments and enquiries regarding copyright:</w:t>
      </w:r>
    </w:p>
    <w:p w:rsidR="007C0F89" w:rsidRPr="000F2A6C" w:rsidRDefault="007C0F89" w:rsidP="007C0F89">
      <w:pPr>
        <w:autoSpaceDE w:val="0"/>
        <w:autoSpaceDN w:val="0"/>
        <w:adjustRightInd w:val="0"/>
        <w:spacing w:before="60" w:line="240" w:lineRule="exact"/>
        <w:ind w:left="-284" w:right="-330"/>
        <w:rPr>
          <w:rFonts w:cs="Arial"/>
          <w:sz w:val="16"/>
          <w:szCs w:val="16"/>
          <w:lang w:eastAsia="en-AU"/>
        </w:rPr>
      </w:pPr>
      <w:r w:rsidRPr="000F2A6C">
        <w:rPr>
          <w:rFonts w:cs="Arial"/>
          <w:sz w:val="16"/>
          <w:szCs w:val="16"/>
          <w:lang w:eastAsia="en-AU"/>
        </w:rPr>
        <w:t>Director Public Affairs and Communication</w:t>
      </w:r>
    </w:p>
    <w:p w:rsidR="007C0F89" w:rsidRPr="000F2A6C" w:rsidRDefault="007C0F89" w:rsidP="007C0F89">
      <w:pPr>
        <w:autoSpaceDE w:val="0"/>
        <w:autoSpaceDN w:val="0"/>
        <w:adjustRightInd w:val="0"/>
        <w:spacing w:line="240" w:lineRule="exact"/>
        <w:ind w:left="-284" w:right="-330"/>
        <w:rPr>
          <w:rFonts w:cs="Arial"/>
          <w:sz w:val="16"/>
          <w:szCs w:val="16"/>
          <w:lang w:eastAsia="en-AU"/>
        </w:rPr>
      </w:pPr>
      <w:r w:rsidRPr="000F2A6C">
        <w:rPr>
          <w:rFonts w:cs="Arial"/>
          <w:sz w:val="16"/>
          <w:szCs w:val="16"/>
          <w:lang w:eastAsia="en-AU"/>
        </w:rPr>
        <w:t>Australian Pesticides and Veterinary Medicines Authority</w:t>
      </w:r>
    </w:p>
    <w:p w:rsidR="007C0F89" w:rsidRPr="000F2A6C" w:rsidRDefault="007C0F89" w:rsidP="007C0F89">
      <w:pPr>
        <w:autoSpaceDE w:val="0"/>
        <w:autoSpaceDN w:val="0"/>
        <w:adjustRightInd w:val="0"/>
        <w:spacing w:line="240" w:lineRule="exact"/>
        <w:ind w:left="-284" w:right="-330"/>
        <w:rPr>
          <w:rFonts w:cs="Arial"/>
          <w:sz w:val="16"/>
          <w:szCs w:val="16"/>
          <w:lang w:eastAsia="en-AU"/>
        </w:rPr>
      </w:pPr>
      <w:r w:rsidRPr="000F2A6C">
        <w:rPr>
          <w:rFonts w:cs="Arial"/>
          <w:sz w:val="16"/>
          <w:szCs w:val="16"/>
          <w:lang w:eastAsia="en-AU"/>
        </w:rPr>
        <w:t>PO Box 6182</w:t>
      </w:r>
    </w:p>
    <w:p w:rsidR="007C0F89" w:rsidRPr="000F2A6C" w:rsidRDefault="007C0F89" w:rsidP="007C0F89">
      <w:pPr>
        <w:autoSpaceDE w:val="0"/>
        <w:autoSpaceDN w:val="0"/>
        <w:adjustRightInd w:val="0"/>
        <w:spacing w:line="240" w:lineRule="exact"/>
        <w:ind w:left="-284" w:right="-330"/>
        <w:rPr>
          <w:rFonts w:cs="Arial"/>
          <w:sz w:val="16"/>
          <w:szCs w:val="16"/>
          <w:lang w:eastAsia="en-AU"/>
        </w:rPr>
      </w:pPr>
      <w:r w:rsidRPr="000F2A6C">
        <w:rPr>
          <w:rFonts w:cs="Arial"/>
          <w:sz w:val="16"/>
          <w:szCs w:val="16"/>
          <w:lang w:eastAsia="en-AU"/>
        </w:rPr>
        <w:t>KINGSTON ACT 2604 Australia</w:t>
      </w:r>
    </w:p>
    <w:p w:rsidR="007C0F89" w:rsidRPr="000F2A6C" w:rsidRDefault="007C0F89" w:rsidP="007C0F89">
      <w:pPr>
        <w:autoSpaceDE w:val="0"/>
        <w:autoSpaceDN w:val="0"/>
        <w:adjustRightInd w:val="0"/>
        <w:spacing w:before="120" w:line="240" w:lineRule="exact"/>
        <w:ind w:left="-284" w:right="-330"/>
        <w:rPr>
          <w:rFonts w:cs="Arial"/>
          <w:sz w:val="16"/>
          <w:szCs w:val="16"/>
          <w:lang w:eastAsia="en-AU"/>
        </w:rPr>
      </w:pPr>
      <w:r w:rsidRPr="000F2A6C">
        <w:rPr>
          <w:rFonts w:cs="Arial"/>
          <w:sz w:val="16"/>
          <w:szCs w:val="16"/>
          <w:lang w:eastAsia="en-AU"/>
        </w:rPr>
        <w:t>Telephone: +61 2 6210 4701</w:t>
      </w:r>
    </w:p>
    <w:p w:rsidR="007C0F89" w:rsidRPr="000F2A6C" w:rsidRDefault="007C0F89" w:rsidP="007C0F89">
      <w:pPr>
        <w:autoSpaceDE w:val="0"/>
        <w:autoSpaceDN w:val="0"/>
        <w:adjustRightInd w:val="0"/>
        <w:spacing w:before="120" w:line="240" w:lineRule="exact"/>
        <w:ind w:left="-284" w:right="-330"/>
        <w:rPr>
          <w:rFonts w:cs="Arial"/>
          <w:color w:val="0000FF"/>
          <w:sz w:val="16"/>
          <w:szCs w:val="16"/>
          <w:u w:val="single"/>
          <w:lang w:eastAsia="en-AU"/>
        </w:rPr>
      </w:pPr>
      <w:r w:rsidRPr="000F2A6C">
        <w:rPr>
          <w:rFonts w:cs="Arial"/>
          <w:sz w:val="16"/>
          <w:szCs w:val="16"/>
          <w:lang w:eastAsia="en-AU"/>
        </w:rPr>
        <w:t xml:space="preserve">Email: </w:t>
      </w:r>
      <w:hyperlink r:id="rId17" w:history="1">
        <w:r w:rsidRPr="000F2A6C">
          <w:rPr>
            <w:rFonts w:cs="Arial"/>
            <w:color w:val="0000FF"/>
            <w:sz w:val="16"/>
            <w:szCs w:val="16"/>
            <w:u w:val="single"/>
            <w:lang w:eastAsia="en-AU"/>
          </w:rPr>
          <w:t>communications@apvma.gov.au</w:t>
        </w:r>
      </w:hyperlink>
    </w:p>
    <w:p w:rsidR="007C0F89" w:rsidRPr="000F2A6C" w:rsidRDefault="007C0F89" w:rsidP="007C0F89">
      <w:pPr>
        <w:tabs>
          <w:tab w:val="left" w:pos="1021"/>
        </w:tabs>
        <w:suppressAutoHyphens/>
        <w:spacing w:before="120" w:after="120" w:line="240" w:lineRule="exact"/>
        <w:ind w:left="-284" w:right="-330"/>
        <w:rPr>
          <w:rFonts w:cs="Arial"/>
          <w:color w:val="000000"/>
          <w:spacing w:val="6"/>
          <w:sz w:val="16"/>
          <w:szCs w:val="16"/>
          <w:u w:color="000000"/>
        </w:rPr>
      </w:pPr>
      <w:r w:rsidRPr="000F2A6C">
        <w:rPr>
          <w:rFonts w:cs="Arial"/>
          <w:sz w:val="16"/>
          <w:szCs w:val="16"/>
          <w:u w:color="000000"/>
          <w:lang w:eastAsia="en-AU"/>
        </w:rPr>
        <w:t xml:space="preserve">This publication is available from the APVMA website: </w:t>
      </w:r>
      <w:hyperlink r:id="rId18" w:history="1">
        <w:r w:rsidRPr="000F2A6C">
          <w:rPr>
            <w:rFonts w:cs="Arial"/>
            <w:color w:val="0000FF"/>
            <w:sz w:val="16"/>
            <w:szCs w:val="16"/>
            <w:u w:val="single" w:color="000000"/>
            <w:lang w:eastAsia="en-AU"/>
          </w:rPr>
          <w:t>www.apvma.gov.au</w:t>
        </w:r>
      </w:hyperlink>
      <w:r w:rsidRPr="000F2A6C">
        <w:rPr>
          <w:rFonts w:cs="Arial"/>
          <w:sz w:val="16"/>
          <w:szCs w:val="16"/>
          <w:u w:color="000000"/>
          <w:lang w:eastAsia="en-AU"/>
        </w:rPr>
        <w:t>.</w:t>
      </w:r>
      <w:bookmarkEnd w:id="0"/>
    </w:p>
    <w:p w:rsidR="000B63A6" w:rsidRDefault="000B63A6">
      <w:pPr>
        <w:pStyle w:val="APVMAImprintText"/>
        <w:sectPr w:rsidR="000B63A6">
          <w:pgSz w:w="11906" w:h="16838" w:code="9"/>
          <w:pgMar w:top="2835" w:right="1134" w:bottom="1134" w:left="1134" w:header="1701" w:footer="680" w:gutter="0"/>
          <w:cols w:space="708"/>
          <w:docGrid w:linePitch="360"/>
        </w:sectPr>
      </w:pPr>
    </w:p>
    <w:p w:rsidR="000B63A6" w:rsidRDefault="00E44DCB">
      <w:pPr>
        <w:pStyle w:val="TOAHeading"/>
      </w:pPr>
      <w:r>
        <w:lastRenderedPageBreak/>
        <w:t>Contents</w:t>
      </w:r>
    </w:p>
    <w:p w:rsidR="004662D1" w:rsidRDefault="00E44DCB">
      <w:pPr>
        <w:pStyle w:val="TOC1"/>
        <w:rPr>
          <w:rFonts w:asciiTheme="minorHAnsi" w:eastAsiaTheme="minorEastAsia" w:hAnsiTheme="minorHAnsi" w:cstheme="minorBidi"/>
          <w:b w:val="0"/>
          <w:bCs w:val="0"/>
          <w:caps w:val="0"/>
          <w:color w:val="auto"/>
          <w:sz w:val="22"/>
          <w:szCs w:val="22"/>
          <w:lang w:eastAsia="en-AU"/>
        </w:rPr>
      </w:pPr>
      <w:r>
        <w:fldChar w:fldCharType="begin"/>
      </w:r>
      <w:r>
        <w:instrText xml:space="preserve"> TOC \o "1-2" \h \z </w:instrText>
      </w:r>
      <w:r>
        <w:fldChar w:fldCharType="separate"/>
      </w:r>
      <w:hyperlink w:anchor="_Toc530137757" w:history="1">
        <w:r w:rsidR="004662D1" w:rsidRPr="00C842D3">
          <w:rPr>
            <w:rStyle w:val="Hyperlink"/>
          </w:rPr>
          <w:t>Preface</w:t>
        </w:r>
        <w:r w:rsidR="004662D1">
          <w:rPr>
            <w:webHidden/>
          </w:rPr>
          <w:tab/>
        </w:r>
        <w:r w:rsidR="004662D1">
          <w:rPr>
            <w:webHidden/>
          </w:rPr>
          <w:fldChar w:fldCharType="begin"/>
        </w:r>
        <w:r w:rsidR="004662D1">
          <w:rPr>
            <w:webHidden/>
          </w:rPr>
          <w:instrText xml:space="preserve"> PAGEREF _Toc530137757 \h </w:instrText>
        </w:r>
        <w:r w:rsidR="004662D1">
          <w:rPr>
            <w:webHidden/>
          </w:rPr>
        </w:r>
        <w:r w:rsidR="004662D1">
          <w:rPr>
            <w:webHidden/>
          </w:rPr>
          <w:fldChar w:fldCharType="separate"/>
        </w:r>
        <w:r w:rsidR="004662D1">
          <w:rPr>
            <w:webHidden/>
          </w:rPr>
          <w:t>iv</w:t>
        </w:r>
        <w:r w:rsidR="004662D1">
          <w:rPr>
            <w:webHidden/>
          </w:rPr>
          <w:fldChar w:fldCharType="end"/>
        </w:r>
      </w:hyperlink>
    </w:p>
    <w:p w:rsidR="004662D1" w:rsidRDefault="004662D1">
      <w:pPr>
        <w:pStyle w:val="TOC2"/>
        <w:rPr>
          <w:rFonts w:asciiTheme="minorHAnsi" w:eastAsiaTheme="minorEastAsia" w:hAnsiTheme="minorHAnsi" w:cstheme="minorBidi"/>
          <w:b w:val="0"/>
          <w:color w:val="auto"/>
          <w:sz w:val="22"/>
          <w:szCs w:val="22"/>
          <w:lang w:eastAsia="en-AU"/>
        </w:rPr>
      </w:pPr>
      <w:hyperlink w:anchor="_Toc530137758" w:history="1">
        <w:r w:rsidRPr="00C842D3">
          <w:rPr>
            <w:rStyle w:val="Hyperlink"/>
          </w:rPr>
          <w:t>About this document</w:t>
        </w:r>
        <w:r>
          <w:rPr>
            <w:webHidden/>
          </w:rPr>
          <w:tab/>
        </w:r>
        <w:r>
          <w:rPr>
            <w:webHidden/>
          </w:rPr>
          <w:fldChar w:fldCharType="begin"/>
        </w:r>
        <w:r>
          <w:rPr>
            <w:webHidden/>
          </w:rPr>
          <w:instrText xml:space="preserve"> PAGEREF _Toc530137758 \h </w:instrText>
        </w:r>
        <w:r>
          <w:rPr>
            <w:webHidden/>
          </w:rPr>
        </w:r>
        <w:r>
          <w:rPr>
            <w:webHidden/>
          </w:rPr>
          <w:fldChar w:fldCharType="separate"/>
        </w:r>
        <w:r>
          <w:rPr>
            <w:webHidden/>
          </w:rPr>
          <w:t>iv</w:t>
        </w:r>
        <w:r>
          <w:rPr>
            <w:webHidden/>
          </w:rPr>
          <w:fldChar w:fldCharType="end"/>
        </w:r>
      </w:hyperlink>
    </w:p>
    <w:p w:rsidR="004662D1" w:rsidRDefault="004662D1">
      <w:pPr>
        <w:pStyle w:val="TOC2"/>
        <w:rPr>
          <w:rFonts w:asciiTheme="minorHAnsi" w:eastAsiaTheme="minorEastAsia" w:hAnsiTheme="minorHAnsi" w:cstheme="minorBidi"/>
          <w:b w:val="0"/>
          <w:color w:val="auto"/>
          <w:sz w:val="22"/>
          <w:szCs w:val="22"/>
          <w:lang w:eastAsia="en-AU"/>
        </w:rPr>
      </w:pPr>
      <w:hyperlink w:anchor="_Toc530137759" w:history="1">
        <w:r w:rsidRPr="00C842D3">
          <w:rPr>
            <w:rStyle w:val="Hyperlink"/>
          </w:rPr>
          <w:t>Making a submission</w:t>
        </w:r>
        <w:r>
          <w:rPr>
            <w:webHidden/>
          </w:rPr>
          <w:tab/>
        </w:r>
        <w:r>
          <w:rPr>
            <w:webHidden/>
          </w:rPr>
          <w:fldChar w:fldCharType="begin"/>
        </w:r>
        <w:r>
          <w:rPr>
            <w:webHidden/>
          </w:rPr>
          <w:instrText xml:space="preserve"> PAGEREF _Toc530137759 \h </w:instrText>
        </w:r>
        <w:r>
          <w:rPr>
            <w:webHidden/>
          </w:rPr>
        </w:r>
        <w:r>
          <w:rPr>
            <w:webHidden/>
          </w:rPr>
          <w:fldChar w:fldCharType="separate"/>
        </w:r>
        <w:r>
          <w:rPr>
            <w:webHidden/>
          </w:rPr>
          <w:t>iv</w:t>
        </w:r>
        <w:r>
          <w:rPr>
            <w:webHidden/>
          </w:rPr>
          <w:fldChar w:fldCharType="end"/>
        </w:r>
      </w:hyperlink>
    </w:p>
    <w:p w:rsidR="004662D1" w:rsidRDefault="004662D1">
      <w:pPr>
        <w:pStyle w:val="TOC2"/>
        <w:rPr>
          <w:rFonts w:asciiTheme="minorHAnsi" w:eastAsiaTheme="minorEastAsia" w:hAnsiTheme="minorHAnsi" w:cstheme="minorBidi"/>
          <w:b w:val="0"/>
          <w:color w:val="auto"/>
          <w:sz w:val="22"/>
          <w:szCs w:val="22"/>
          <w:lang w:eastAsia="en-AU"/>
        </w:rPr>
      </w:pPr>
      <w:hyperlink w:anchor="_Toc530137760" w:history="1">
        <w:r w:rsidRPr="00C842D3">
          <w:rPr>
            <w:rStyle w:val="Hyperlink"/>
          </w:rPr>
          <w:t>Further information</w:t>
        </w:r>
        <w:r>
          <w:rPr>
            <w:webHidden/>
          </w:rPr>
          <w:tab/>
        </w:r>
        <w:r>
          <w:rPr>
            <w:webHidden/>
          </w:rPr>
          <w:fldChar w:fldCharType="begin"/>
        </w:r>
        <w:r>
          <w:rPr>
            <w:webHidden/>
          </w:rPr>
          <w:instrText xml:space="preserve"> PAGEREF _Toc530137760 \h </w:instrText>
        </w:r>
        <w:r>
          <w:rPr>
            <w:webHidden/>
          </w:rPr>
        </w:r>
        <w:r>
          <w:rPr>
            <w:webHidden/>
          </w:rPr>
          <w:fldChar w:fldCharType="separate"/>
        </w:r>
        <w:r>
          <w:rPr>
            <w:webHidden/>
          </w:rPr>
          <w:t>v</w:t>
        </w:r>
        <w:r>
          <w:rPr>
            <w:webHidden/>
          </w:rPr>
          <w:fldChar w:fldCharType="end"/>
        </w:r>
      </w:hyperlink>
    </w:p>
    <w:p w:rsidR="004662D1" w:rsidRDefault="004662D1">
      <w:pPr>
        <w:pStyle w:val="TOC1"/>
        <w:rPr>
          <w:rFonts w:asciiTheme="minorHAnsi" w:eastAsiaTheme="minorEastAsia" w:hAnsiTheme="minorHAnsi" w:cstheme="minorBidi"/>
          <w:b w:val="0"/>
          <w:bCs w:val="0"/>
          <w:caps w:val="0"/>
          <w:color w:val="auto"/>
          <w:sz w:val="22"/>
          <w:szCs w:val="22"/>
          <w:lang w:eastAsia="en-AU"/>
        </w:rPr>
      </w:pPr>
      <w:hyperlink w:anchor="_Toc530137761" w:history="1">
        <w:r w:rsidRPr="00C842D3">
          <w:rPr>
            <w:rStyle w:val="Hyperlink"/>
          </w:rPr>
          <w:t>1</w:t>
        </w:r>
        <w:r>
          <w:rPr>
            <w:rFonts w:asciiTheme="minorHAnsi" w:eastAsiaTheme="minorEastAsia" w:hAnsiTheme="minorHAnsi" w:cstheme="minorBidi"/>
            <w:b w:val="0"/>
            <w:bCs w:val="0"/>
            <w:caps w:val="0"/>
            <w:color w:val="auto"/>
            <w:sz w:val="22"/>
            <w:szCs w:val="22"/>
            <w:lang w:eastAsia="en-AU"/>
          </w:rPr>
          <w:tab/>
        </w:r>
        <w:r w:rsidRPr="00C842D3">
          <w:rPr>
            <w:rStyle w:val="Hyperlink"/>
          </w:rPr>
          <w:t>Introduction</w:t>
        </w:r>
        <w:r>
          <w:rPr>
            <w:webHidden/>
          </w:rPr>
          <w:tab/>
        </w:r>
        <w:r>
          <w:rPr>
            <w:webHidden/>
          </w:rPr>
          <w:fldChar w:fldCharType="begin"/>
        </w:r>
        <w:r>
          <w:rPr>
            <w:webHidden/>
          </w:rPr>
          <w:instrText xml:space="preserve"> PAGEREF _Toc530137761 \h </w:instrText>
        </w:r>
        <w:r>
          <w:rPr>
            <w:webHidden/>
          </w:rPr>
        </w:r>
        <w:r>
          <w:rPr>
            <w:webHidden/>
          </w:rPr>
          <w:fldChar w:fldCharType="separate"/>
        </w:r>
        <w:r>
          <w:rPr>
            <w:webHidden/>
          </w:rPr>
          <w:t>6</w:t>
        </w:r>
        <w:r>
          <w:rPr>
            <w:webHidden/>
          </w:rPr>
          <w:fldChar w:fldCharType="end"/>
        </w:r>
      </w:hyperlink>
    </w:p>
    <w:p w:rsidR="004662D1" w:rsidRDefault="004662D1">
      <w:pPr>
        <w:pStyle w:val="TOC1"/>
        <w:rPr>
          <w:rFonts w:asciiTheme="minorHAnsi" w:eastAsiaTheme="minorEastAsia" w:hAnsiTheme="minorHAnsi" w:cstheme="minorBidi"/>
          <w:b w:val="0"/>
          <w:bCs w:val="0"/>
          <w:caps w:val="0"/>
          <w:color w:val="auto"/>
          <w:sz w:val="22"/>
          <w:szCs w:val="22"/>
          <w:lang w:eastAsia="en-AU"/>
        </w:rPr>
      </w:pPr>
      <w:hyperlink w:anchor="_Toc530137762" w:history="1">
        <w:r w:rsidRPr="00C842D3">
          <w:rPr>
            <w:rStyle w:val="Hyperlink"/>
          </w:rPr>
          <w:t>2</w:t>
        </w:r>
        <w:r>
          <w:rPr>
            <w:rFonts w:asciiTheme="minorHAnsi" w:eastAsiaTheme="minorEastAsia" w:hAnsiTheme="minorHAnsi" w:cstheme="minorBidi"/>
            <w:b w:val="0"/>
            <w:bCs w:val="0"/>
            <w:caps w:val="0"/>
            <w:color w:val="auto"/>
            <w:sz w:val="22"/>
            <w:szCs w:val="22"/>
            <w:lang w:eastAsia="en-AU"/>
          </w:rPr>
          <w:tab/>
        </w:r>
        <w:r w:rsidRPr="00C842D3">
          <w:rPr>
            <w:rStyle w:val="Hyperlink"/>
          </w:rPr>
          <w:t>Trade Considerations</w:t>
        </w:r>
        <w:r>
          <w:rPr>
            <w:webHidden/>
          </w:rPr>
          <w:tab/>
        </w:r>
        <w:r>
          <w:rPr>
            <w:webHidden/>
          </w:rPr>
          <w:fldChar w:fldCharType="begin"/>
        </w:r>
        <w:r>
          <w:rPr>
            <w:webHidden/>
          </w:rPr>
          <w:instrText xml:space="preserve"> PAGEREF _Toc530137762 \h </w:instrText>
        </w:r>
        <w:r>
          <w:rPr>
            <w:webHidden/>
          </w:rPr>
        </w:r>
        <w:r>
          <w:rPr>
            <w:webHidden/>
          </w:rPr>
          <w:fldChar w:fldCharType="separate"/>
        </w:r>
        <w:r>
          <w:rPr>
            <w:webHidden/>
          </w:rPr>
          <w:t>6</w:t>
        </w:r>
        <w:r>
          <w:rPr>
            <w:webHidden/>
          </w:rPr>
          <w:fldChar w:fldCharType="end"/>
        </w:r>
      </w:hyperlink>
    </w:p>
    <w:p w:rsidR="004662D1" w:rsidRDefault="004662D1">
      <w:pPr>
        <w:pStyle w:val="TOC2"/>
        <w:rPr>
          <w:rFonts w:asciiTheme="minorHAnsi" w:eastAsiaTheme="minorEastAsia" w:hAnsiTheme="minorHAnsi" w:cstheme="minorBidi"/>
          <w:b w:val="0"/>
          <w:color w:val="auto"/>
          <w:sz w:val="22"/>
          <w:szCs w:val="22"/>
          <w:lang w:eastAsia="en-AU"/>
        </w:rPr>
      </w:pPr>
      <w:hyperlink w:anchor="_Toc530137763" w:history="1">
        <w:r w:rsidRPr="00C842D3">
          <w:rPr>
            <w:rStyle w:val="Hyperlink"/>
          </w:rPr>
          <w:t>2.1</w:t>
        </w:r>
        <w:r>
          <w:rPr>
            <w:rFonts w:asciiTheme="minorHAnsi" w:eastAsiaTheme="minorEastAsia" w:hAnsiTheme="minorHAnsi" w:cstheme="minorBidi"/>
            <w:b w:val="0"/>
            <w:color w:val="auto"/>
            <w:sz w:val="22"/>
            <w:szCs w:val="22"/>
            <w:lang w:eastAsia="en-AU"/>
          </w:rPr>
          <w:tab/>
        </w:r>
        <w:r w:rsidRPr="00C842D3">
          <w:rPr>
            <w:rStyle w:val="Hyperlink"/>
          </w:rPr>
          <w:t>Commodities exported</w:t>
        </w:r>
        <w:r>
          <w:rPr>
            <w:webHidden/>
          </w:rPr>
          <w:tab/>
        </w:r>
        <w:r>
          <w:rPr>
            <w:webHidden/>
          </w:rPr>
          <w:fldChar w:fldCharType="begin"/>
        </w:r>
        <w:r>
          <w:rPr>
            <w:webHidden/>
          </w:rPr>
          <w:instrText xml:space="preserve"> PAGEREF _Toc530137763 \h </w:instrText>
        </w:r>
        <w:r>
          <w:rPr>
            <w:webHidden/>
          </w:rPr>
        </w:r>
        <w:r>
          <w:rPr>
            <w:webHidden/>
          </w:rPr>
          <w:fldChar w:fldCharType="separate"/>
        </w:r>
        <w:r>
          <w:rPr>
            <w:webHidden/>
          </w:rPr>
          <w:t>6</w:t>
        </w:r>
        <w:r>
          <w:rPr>
            <w:webHidden/>
          </w:rPr>
          <w:fldChar w:fldCharType="end"/>
        </w:r>
      </w:hyperlink>
    </w:p>
    <w:p w:rsidR="004662D1" w:rsidRDefault="004662D1">
      <w:pPr>
        <w:pStyle w:val="TOC2"/>
        <w:rPr>
          <w:rFonts w:asciiTheme="minorHAnsi" w:eastAsiaTheme="minorEastAsia" w:hAnsiTheme="minorHAnsi" w:cstheme="minorBidi"/>
          <w:b w:val="0"/>
          <w:color w:val="auto"/>
          <w:sz w:val="22"/>
          <w:szCs w:val="22"/>
          <w:lang w:eastAsia="en-AU"/>
        </w:rPr>
      </w:pPr>
      <w:hyperlink w:anchor="_Toc530137764" w:history="1">
        <w:r w:rsidRPr="00C842D3">
          <w:rPr>
            <w:rStyle w:val="Hyperlink"/>
          </w:rPr>
          <w:t>2.2</w:t>
        </w:r>
        <w:r>
          <w:rPr>
            <w:rFonts w:asciiTheme="minorHAnsi" w:eastAsiaTheme="minorEastAsia" w:hAnsiTheme="minorHAnsi" w:cstheme="minorBidi"/>
            <w:b w:val="0"/>
            <w:color w:val="auto"/>
            <w:sz w:val="22"/>
            <w:szCs w:val="22"/>
            <w:lang w:eastAsia="en-AU"/>
          </w:rPr>
          <w:tab/>
        </w:r>
        <w:r w:rsidRPr="00C842D3">
          <w:rPr>
            <w:rStyle w:val="Hyperlink"/>
          </w:rPr>
          <w:t>Destination and value of exports</w:t>
        </w:r>
        <w:r>
          <w:rPr>
            <w:webHidden/>
          </w:rPr>
          <w:tab/>
        </w:r>
        <w:r>
          <w:rPr>
            <w:webHidden/>
          </w:rPr>
          <w:fldChar w:fldCharType="begin"/>
        </w:r>
        <w:r>
          <w:rPr>
            <w:webHidden/>
          </w:rPr>
          <w:instrText xml:space="preserve"> PAGEREF _Toc530137764 \h </w:instrText>
        </w:r>
        <w:r>
          <w:rPr>
            <w:webHidden/>
          </w:rPr>
        </w:r>
        <w:r>
          <w:rPr>
            <w:webHidden/>
          </w:rPr>
          <w:fldChar w:fldCharType="separate"/>
        </w:r>
        <w:r>
          <w:rPr>
            <w:webHidden/>
          </w:rPr>
          <w:t>6</w:t>
        </w:r>
        <w:r>
          <w:rPr>
            <w:webHidden/>
          </w:rPr>
          <w:fldChar w:fldCharType="end"/>
        </w:r>
      </w:hyperlink>
    </w:p>
    <w:p w:rsidR="004662D1" w:rsidRDefault="004662D1">
      <w:pPr>
        <w:pStyle w:val="TOC2"/>
        <w:rPr>
          <w:rFonts w:asciiTheme="minorHAnsi" w:eastAsiaTheme="minorEastAsia" w:hAnsiTheme="minorHAnsi" w:cstheme="minorBidi"/>
          <w:b w:val="0"/>
          <w:color w:val="auto"/>
          <w:sz w:val="22"/>
          <w:szCs w:val="22"/>
          <w:lang w:eastAsia="en-AU"/>
        </w:rPr>
      </w:pPr>
      <w:hyperlink w:anchor="_Toc530137765" w:history="1">
        <w:r w:rsidRPr="00C842D3">
          <w:rPr>
            <w:rStyle w:val="Hyperlink"/>
          </w:rPr>
          <w:t>2.3</w:t>
        </w:r>
        <w:r>
          <w:rPr>
            <w:rFonts w:asciiTheme="minorHAnsi" w:eastAsiaTheme="minorEastAsia" w:hAnsiTheme="minorHAnsi" w:cstheme="minorBidi"/>
            <w:b w:val="0"/>
            <w:color w:val="auto"/>
            <w:sz w:val="22"/>
            <w:szCs w:val="22"/>
            <w:lang w:eastAsia="en-AU"/>
          </w:rPr>
          <w:tab/>
        </w:r>
        <w:r w:rsidRPr="00C842D3">
          <w:rPr>
            <w:rStyle w:val="Hyperlink"/>
          </w:rPr>
          <w:t>Proposed Australian use-pattern</w:t>
        </w:r>
        <w:r>
          <w:rPr>
            <w:webHidden/>
          </w:rPr>
          <w:tab/>
        </w:r>
        <w:r>
          <w:rPr>
            <w:webHidden/>
          </w:rPr>
          <w:fldChar w:fldCharType="begin"/>
        </w:r>
        <w:r>
          <w:rPr>
            <w:webHidden/>
          </w:rPr>
          <w:instrText xml:space="preserve"> PAGEREF _Toc530137765 \h </w:instrText>
        </w:r>
        <w:r>
          <w:rPr>
            <w:webHidden/>
          </w:rPr>
        </w:r>
        <w:r>
          <w:rPr>
            <w:webHidden/>
          </w:rPr>
          <w:fldChar w:fldCharType="separate"/>
        </w:r>
        <w:r>
          <w:rPr>
            <w:webHidden/>
          </w:rPr>
          <w:t>7</w:t>
        </w:r>
        <w:r>
          <w:rPr>
            <w:webHidden/>
          </w:rPr>
          <w:fldChar w:fldCharType="end"/>
        </w:r>
      </w:hyperlink>
    </w:p>
    <w:p w:rsidR="004662D1" w:rsidRDefault="004662D1">
      <w:pPr>
        <w:pStyle w:val="TOC2"/>
        <w:rPr>
          <w:rFonts w:asciiTheme="minorHAnsi" w:eastAsiaTheme="minorEastAsia" w:hAnsiTheme="minorHAnsi" w:cstheme="minorBidi"/>
          <w:b w:val="0"/>
          <w:color w:val="auto"/>
          <w:sz w:val="22"/>
          <w:szCs w:val="22"/>
          <w:lang w:eastAsia="en-AU"/>
        </w:rPr>
      </w:pPr>
      <w:hyperlink w:anchor="_Toc530137766" w:history="1">
        <w:r w:rsidRPr="00C842D3">
          <w:rPr>
            <w:rStyle w:val="Hyperlink"/>
          </w:rPr>
          <w:t>2.4</w:t>
        </w:r>
        <w:r>
          <w:rPr>
            <w:rFonts w:asciiTheme="minorHAnsi" w:eastAsiaTheme="minorEastAsia" w:hAnsiTheme="minorHAnsi" w:cstheme="minorBidi"/>
            <w:b w:val="0"/>
            <w:color w:val="auto"/>
            <w:sz w:val="22"/>
            <w:szCs w:val="22"/>
            <w:lang w:eastAsia="en-AU"/>
          </w:rPr>
          <w:tab/>
        </w:r>
        <w:r w:rsidRPr="00C842D3">
          <w:rPr>
            <w:rStyle w:val="Hyperlink"/>
          </w:rPr>
          <w:t>Results from residues trials presented to the APVMA</w:t>
        </w:r>
        <w:r>
          <w:rPr>
            <w:webHidden/>
          </w:rPr>
          <w:tab/>
        </w:r>
        <w:r>
          <w:rPr>
            <w:webHidden/>
          </w:rPr>
          <w:fldChar w:fldCharType="begin"/>
        </w:r>
        <w:r>
          <w:rPr>
            <w:webHidden/>
          </w:rPr>
          <w:instrText xml:space="preserve"> PAGEREF _Toc530137766 \h </w:instrText>
        </w:r>
        <w:r>
          <w:rPr>
            <w:webHidden/>
          </w:rPr>
        </w:r>
        <w:r>
          <w:rPr>
            <w:webHidden/>
          </w:rPr>
          <w:fldChar w:fldCharType="separate"/>
        </w:r>
        <w:r>
          <w:rPr>
            <w:webHidden/>
          </w:rPr>
          <w:t>8</w:t>
        </w:r>
        <w:r>
          <w:rPr>
            <w:webHidden/>
          </w:rPr>
          <w:fldChar w:fldCharType="end"/>
        </w:r>
      </w:hyperlink>
    </w:p>
    <w:p w:rsidR="004662D1" w:rsidRDefault="004662D1">
      <w:pPr>
        <w:pStyle w:val="TOC2"/>
        <w:rPr>
          <w:rFonts w:asciiTheme="minorHAnsi" w:eastAsiaTheme="minorEastAsia" w:hAnsiTheme="minorHAnsi" w:cstheme="minorBidi"/>
          <w:b w:val="0"/>
          <w:color w:val="auto"/>
          <w:sz w:val="22"/>
          <w:szCs w:val="22"/>
          <w:lang w:eastAsia="en-AU"/>
        </w:rPr>
      </w:pPr>
      <w:hyperlink w:anchor="_Toc530137767" w:history="1">
        <w:r w:rsidRPr="00C842D3">
          <w:rPr>
            <w:rStyle w:val="Hyperlink"/>
          </w:rPr>
          <w:t>2.5</w:t>
        </w:r>
        <w:r>
          <w:rPr>
            <w:rFonts w:asciiTheme="minorHAnsi" w:eastAsiaTheme="minorEastAsia" w:hAnsiTheme="minorHAnsi" w:cstheme="minorBidi"/>
            <w:b w:val="0"/>
            <w:color w:val="auto"/>
            <w:sz w:val="22"/>
            <w:szCs w:val="22"/>
            <w:lang w:eastAsia="en-AU"/>
          </w:rPr>
          <w:tab/>
        </w:r>
        <w:r w:rsidRPr="00C842D3">
          <w:rPr>
            <w:rStyle w:val="Hyperlink"/>
          </w:rPr>
          <w:t>Overseas registration and approved label instructions</w:t>
        </w:r>
        <w:r>
          <w:rPr>
            <w:webHidden/>
          </w:rPr>
          <w:tab/>
        </w:r>
        <w:r>
          <w:rPr>
            <w:webHidden/>
          </w:rPr>
          <w:fldChar w:fldCharType="begin"/>
        </w:r>
        <w:r>
          <w:rPr>
            <w:webHidden/>
          </w:rPr>
          <w:instrText xml:space="preserve"> PAGEREF _Toc530137767 \h </w:instrText>
        </w:r>
        <w:r>
          <w:rPr>
            <w:webHidden/>
          </w:rPr>
        </w:r>
        <w:r>
          <w:rPr>
            <w:webHidden/>
          </w:rPr>
          <w:fldChar w:fldCharType="separate"/>
        </w:r>
        <w:r>
          <w:rPr>
            <w:webHidden/>
          </w:rPr>
          <w:t>9</w:t>
        </w:r>
        <w:r>
          <w:rPr>
            <w:webHidden/>
          </w:rPr>
          <w:fldChar w:fldCharType="end"/>
        </w:r>
      </w:hyperlink>
    </w:p>
    <w:p w:rsidR="004662D1" w:rsidRDefault="004662D1">
      <w:pPr>
        <w:pStyle w:val="TOC2"/>
        <w:rPr>
          <w:rFonts w:asciiTheme="minorHAnsi" w:eastAsiaTheme="minorEastAsia" w:hAnsiTheme="minorHAnsi" w:cstheme="minorBidi"/>
          <w:b w:val="0"/>
          <w:color w:val="auto"/>
          <w:sz w:val="22"/>
          <w:szCs w:val="22"/>
          <w:lang w:eastAsia="en-AU"/>
        </w:rPr>
      </w:pPr>
      <w:hyperlink w:anchor="_Toc530137768" w:history="1">
        <w:r w:rsidRPr="00C842D3">
          <w:rPr>
            <w:rStyle w:val="Hyperlink"/>
          </w:rPr>
          <w:t>2.6</w:t>
        </w:r>
        <w:r>
          <w:rPr>
            <w:rFonts w:asciiTheme="minorHAnsi" w:eastAsiaTheme="minorEastAsia" w:hAnsiTheme="minorHAnsi" w:cstheme="minorBidi"/>
            <w:b w:val="0"/>
            <w:color w:val="auto"/>
            <w:sz w:val="22"/>
            <w:szCs w:val="22"/>
            <w:lang w:eastAsia="en-AU"/>
          </w:rPr>
          <w:tab/>
        </w:r>
        <w:r w:rsidRPr="00C842D3">
          <w:rPr>
            <w:rStyle w:val="Hyperlink"/>
          </w:rPr>
          <w:t>Codex alimentarius commission and overseas MRLs</w:t>
        </w:r>
        <w:r>
          <w:rPr>
            <w:webHidden/>
          </w:rPr>
          <w:tab/>
        </w:r>
        <w:r>
          <w:rPr>
            <w:webHidden/>
          </w:rPr>
          <w:fldChar w:fldCharType="begin"/>
        </w:r>
        <w:r>
          <w:rPr>
            <w:webHidden/>
          </w:rPr>
          <w:instrText xml:space="preserve"> PAGEREF _Toc530137768 \h </w:instrText>
        </w:r>
        <w:r>
          <w:rPr>
            <w:webHidden/>
          </w:rPr>
        </w:r>
        <w:r>
          <w:rPr>
            <w:webHidden/>
          </w:rPr>
          <w:fldChar w:fldCharType="separate"/>
        </w:r>
        <w:r>
          <w:rPr>
            <w:webHidden/>
          </w:rPr>
          <w:t>9</w:t>
        </w:r>
        <w:r>
          <w:rPr>
            <w:webHidden/>
          </w:rPr>
          <w:fldChar w:fldCharType="end"/>
        </w:r>
      </w:hyperlink>
    </w:p>
    <w:p w:rsidR="004662D1" w:rsidRDefault="004662D1">
      <w:pPr>
        <w:pStyle w:val="TOC2"/>
        <w:rPr>
          <w:rFonts w:asciiTheme="minorHAnsi" w:eastAsiaTheme="minorEastAsia" w:hAnsiTheme="minorHAnsi" w:cstheme="minorBidi"/>
          <w:b w:val="0"/>
          <w:color w:val="auto"/>
          <w:sz w:val="22"/>
          <w:szCs w:val="22"/>
          <w:lang w:eastAsia="en-AU"/>
        </w:rPr>
      </w:pPr>
      <w:hyperlink w:anchor="_Toc530137769" w:history="1">
        <w:r w:rsidRPr="00C842D3">
          <w:rPr>
            <w:rStyle w:val="Hyperlink"/>
          </w:rPr>
          <w:t>2.7</w:t>
        </w:r>
        <w:r>
          <w:rPr>
            <w:rFonts w:asciiTheme="minorHAnsi" w:eastAsiaTheme="minorEastAsia" w:hAnsiTheme="minorHAnsi" w:cstheme="minorBidi"/>
            <w:b w:val="0"/>
            <w:color w:val="auto"/>
            <w:sz w:val="22"/>
            <w:szCs w:val="22"/>
            <w:lang w:eastAsia="en-AU"/>
          </w:rPr>
          <w:tab/>
        </w:r>
        <w:r w:rsidRPr="00C842D3">
          <w:rPr>
            <w:rStyle w:val="Hyperlink"/>
          </w:rPr>
          <w:t>Current and proposed Australian MRLs for difenoconazole</w:t>
        </w:r>
        <w:r>
          <w:rPr>
            <w:webHidden/>
          </w:rPr>
          <w:tab/>
        </w:r>
        <w:r>
          <w:rPr>
            <w:webHidden/>
          </w:rPr>
          <w:fldChar w:fldCharType="begin"/>
        </w:r>
        <w:r>
          <w:rPr>
            <w:webHidden/>
          </w:rPr>
          <w:instrText xml:space="preserve"> PAGEREF _Toc530137769 \h </w:instrText>
        </w:r>
        <w:r>
          <w:rPr>
            <w:webHidden/>
          </w:rPr>
        </w:r>
        <w:r>
          <w:rPr>
            <w:webHidden/>
          </w:rPr>
          <w:fldChar w:fldCharType="separate"/>
        </w:r>
        <w:r>
          <w:rPr>
            <w:webHidden/>
          </w:rPr>
          <w:t>11</w:t>
        </w:r>
        <w:r>
          <w:rPr>
            <w:webHidden/>
          </w:rPr>
          <w:fldChar w:fldCharType="end"/>
        </w:r>
      </w:hyperlink>
    </w:p>
    <w:p w:rsidR="004662D1" w:rsidRDefault="004662D1">
      <w:pPr>
        <w:pStyle w:val="TOC2"/>
        <w:rPr>
          <w:rFonts w:asciiTheme="minorHAnsi" w:eastAsiaTheme="minorEastAsia" w:hAnsiTheme="minorHAnsi" w:cstheme="minorBidi"/>
          <w:b w:val="0"/>
          <w:color w:val="auto"/>
          <w:sz w:val="22"/>
          <w:szCs w:val="22"/>
          <w:lang w:eastAsia="en-AU"/>
        </w:rPr>
      </w:pPr>
      <w:hyperlink w:anchor="_Toc530137770" w:history="1">
        <w:r w:rsidRPr="00C842D3">
          <w:rPr>
            <w:rStyle w:val="Hyperlink"/>
          </w:rPr>
          <w:t>2.8</w:t>
        </w:r>
        <w:r>
          <w:rPr>
            <w:rFonts w:asciiTheme="minorHAnsi" w:eastAsiaTheme="minorEastAsia" w:hAnsiTheme="minorHAnsi" w:cstheme="minorBidi"/>
            <w:b w:val="0"/>
            <w:color w:val="auto"/>
            <w:sz w:val="22"/>
            <w:szCs w:val="22"/>
            <w:lang w:eastAsia="en-AU"/>
          </w:rPr>
          <w:tab/>
        </w:r>
        <w:r w:rsidRPr="00C842D3">
          <w:rPr>
            <w:rStyle w:val="Hyperlink"/>
          </w:rPr>
          <w:t>Potential risk to trade</w:t>
        </w:r>
        <w:r>
          <w:rPr>
            <w:webHidden/>
          </w:rPr>
          <w:tab/>
        </w:r>
        <w:r>
          <w:rPr>
            <w:webHidden/>
          </w:rPr>
          <w:fldChar w:fldCharType="begin"/>
        </w:r>
        <w:r>
          <w:rPr>
            <w:webHidden/>
          </w:rPr>
          <w:instrText xml:space="preserve"> PAGEREF _Toc530137770 \h </w:instrText>
        </w:r>
        <w:r>
          <w:rPr>
            <w:webHidden/>
          </w:rPr>
        </w:r>
        <w:r>
          <w:rPr>
            <w:webHidden/>
          </w:rPr>
          <w:fldChar w:fldCharType="separate"/>
        </w:r>
        <w:r>
          <w:rPr>
            <w:webHidden/>
          </w:rPr>
          <w:t>12</w:t>
        </w:r>
        <w:r>
          <w:rPr>
            <w:webHidden/>
          </w:rPr>
          <w:fldChar w:fldCharType="end"/>
        </w:r>
      </w:hyperlink>
    </w:p>
    <w:p w:rsidR="004662D1" w:rsidRDefault="004662D1">
      <w:pPr>
        <w:pStyle w:val="TOC1"/>
        <w:rPr>
          <w:rFonts w:asciiTheme="minorHAnsi" w:eastAsiaTheme="minorEastAsia" w:hAnsiTheme="minorHAnsi" w:cstheme="minorBidi"/>
          <w:b w:val="0"/>
          <w:bCs w:val="0"/>
          <w:caps w:val="0"/>
          <w:color w:val="auto"/>
          <w:sz w:val="22"/>
          <w:szCs w:val="22"/>
          <w:lang w:eastAsia="en-AU"/>
        </w:rPr>
      </w:pPr>
      <w:hyperlink w:anchor="_Toc530137771" w:history="1">
        <w:r w:rsidRPr="00C842D3">
          <w:rPr>
            <w:rStyle w:val="Hyperlink"/>
          </w:rPr>
          <w:t>3</w:t>
        </w:r>
        <w:r>
          <w:rPr>
            <w:rFonts w:asciiTheme="minorHAnsi" w:eastAsiaTheme="minorEastAsia" w:hAnsiTheme="minorHAnsi" w:cstheme="minorBidi"/>
            <w:b w:val="0"/>
            <w:bCs w:val="0"/>
            <w:caps w:val="0"/>
            <w:color w:val="auto"/>
            <w:sz w:val="22"/>
            <w:szCs w:val="22"/>
            <w:lang w:eastAsia="en-AU"/>
          </w:rPr>
          <w:tab/>
        </w:r>
        <w:r w:rsidRPr="00C842D3">
          <w:rPr>
            <w:rStyle w:val="Hyperlink"/>
          </w:rPr>
          <w:t>Conclusions</w:t>
        </w:r>
        <w:r>
          <w:rPr>
            <w:webHidden/>
          </w:rPr>
          <w:tab/>
        </w:r>
        <w:r>
          <w:rPr>
            <w:webHidden/>
          </w:rPr>
          <w:fldChar w:fldCharType="begin"/>
        </w:r>
        <w:r>
          <w:rPr>
            <w:webHidden/>
          </w:rPr>
          <w:instrText xml:space="preserve"> PAGEREF _Toc530137771 \h </w:instrText>
        </w:r>
        <w:r>
          <w:rPr>
            <w:webHidden/>
          </w:rPr>
        </w:r>
        <w:r>
          <w:rPr>
            <w:webHidden/>
          </w:rPr>
          <w:fldChar w:fldCharType="separate"/>
        </w:r>
        <w:r>
          <w:rPr>
            <w:webHidden/>
          </w:rPr>
          <w:t>12</w:t>
        </w:r>
        <w:r>
          <w:rPr>
            <w:webHidden/>
          </w:rPr>
          <w:fldChar w:fldCharType="end"/>
        </w:r>
      </w:hyperlink>
    </w:p>
    <w:p w:rsidR="000B63A6" w:rsidRDefault="00E44DCB">
      <w:pPr>
        <w:pStyle w:val="TOAHeading"/>
        <w:rPr>
          <w:noProof/>
          <w:sz w:val="20"/>
          <w:szCs w:val="30"/>
        </w:rPr>
      </w:pPr>
      <w:r>
        <w:rPr>
          <w:noProof/>
          <w:sz w:val="20"/>
          <w:szCs w:val="30"/>
        </w:rPr>
        <w:fldChar w:fldCharType="end"/>
      </w:r>
    </w:p>
    <w:p w:rsidR="008E32AE" w:rsidRDefault="00E44DCB">
      <w:pPr>
        <w:pStyle w:val="TOAHeading"/>
        <w:rPr>
          <w:noProof/>
        </w:rPr>
      </w:pPr>
      <w:r>
        <w:rPr>
          <w:noProof/>
        </w:rPr>
        <w:t>List of tables</w:t>
      </w:r>
      <w:r>
        <w:rPr>
          <w:noProof/>
        </w:rPr>
        <w:fldChar w:fldCharType="begin"/>
      </w:r>
      <w:r>
        <w:rPr>
          <w:noProof/>
        </w:rPr>
        <w:instrText xml:space="preserve"> TOC \h \z \t "Caption,APVMA_Caption" \c </w:instrText>
      </w:r>
      <w:r>
        <w:rPr>
          <w:noProof/>
        </w:rPr>
        <w:fldChar w:fldCharType="separate"/>
      </w:r>
    </w:p>
    <w:p w:rsidR="008E32AE" w:rsidRDefault="00AD0096">
      <w:pPr>
        <w:pStyle w:val="TableofFigures"/>
        <w:rPr>
          <w:rFonts w:asciiTheme="minorHAnsi" w:eastAsiaTheme="minorEastAsia" w:hAnsiTheme="minorHAnsi" w:cstheme="minorBidi"/>
          <w:sz w:val="22"/>
          <w:szCs w:val="22"/>
          <w:lang w:eastAsia="en-AU"/>
        </w:rPr>
      </w:pPr>
      <w:hyperlink w:anchor="_Toc529794431" w:history="1">
        <w:r w:rsidR="008E32AE" w:rsidRPr="00BF53CF">
          <w:rPr>
            <w:rStyle w:val="Hyperlink"/>
          </w:rPr>
          <w:t>Table 1:</w:t>
        </w:r>
        <w:r w:rsidR="008E32AE">
          <w:rPr>
            <w:rFonts w:asciiTheme="minorHAnsi" w:eastAsiaTheme="minorEastAsia" w:hAnsiTheme="minorHAnsi" w:cstheme="minorBidi"/>
            <w:sz w:val="22"/>
            <w:szCs w:val="22"/>
            <w:lang w:eastAsia="en-AU"/>
          </w:rPr>
          <w:tab/>
        </w:r>
        <w:r w:rsidR="008E32AE" w:rsidRPr="00BF53CF">
          <w:rPr>
            <w:rStyle w:val="Hyperlink"/>
            <w:rFonts w:cs="Arial"/>
            <w:spacing w:val="6"/>
            <w:u w:color="000000"/>
          </w:rPr>
          <w:t>Major destinations for Australian wine</w:t>
        </w:r>
        <w:r w:rsidR="008E32AE">
          <w:rPr>
            <w:webHidden/>
          </w:rPr>
          <w:tab/>
        </w:r>
        <w:r w:rsidR="008E32AE">
          <w:rPr>
            <w:webHidden/>
          </w:rPr>
          <w:fldChar w:fldCharType="begin"/>
        </w:r>
        <w:r w:rsidR="008E32AE">
          <w:rPr>
            <w:webHidden/>
          </w:rPr>
          <w:instrText xml:space="preserve"> PAGEREF _Toc529794431 \h </w:instrText>
        </w:r>
        <w:r w:rsidR="008E32AE">
          <w:rPr>
            <w:webHidden/>
          </w:rPr>
        </w:r>
        <w:r w:rsidR="008E32AE">
          <w:rPr>
            <w:webHidden/>
          </w:rPr>
          <w:fldChar w:fldCharType="separate"/>
        </w:r>
        <w:r w:rsidR="00920F00">
          <w:rPr>
            <w:webHidden/>
          </w:rPr>
          <w:t>6</w:t>
        </w:r>
        <w:r w:rsidR="008E32AE">
          <w:rPr>
            <w:webHidden/>
          </w:rPr>
          <w:fldChar w:fldCharType="end"/>
        </w:r>
      </w:hyperlink>
    </w:p>
    <w:p w:rsidR="008E32AE" w:rsidRDefault="00AD0096">
      <w:pPr>
        <w:pStyle w:val="TableofFigures"/>
        <w:rPr>
          <w:rFonts w:asciiTheme="minorHAnsi" w:eastAsiaTheme="minorEastAsia" w:hAnsiTheme="minorHAnsi" w:cstheme="minorBidi"/>
          <w:sz w:val="22"/>
          <w:szCs w:val="22"/>
          <w:lang w:eastAsia="en-AU"/>
        </w:rPr>
      </w:pPr>
      <w:hyperlink w:anchor="_Toc529794432" w:history="1">
        <w:r w:rsidR="008E32AE" w:rsidRPr="00BF53CF">
          <w:rPr>
            <w:rStyle w:val="Hyperlink"/>
          </w:rPr>
          <w:t xml:space="preserve">Table 2: </w:t>
        </w:r>
        <w:r w:rsidR="008E32AE">
          <w:rPr>
            <w:rStyle w:val="Hyperlink"/>
          </w:rPr>
          <w:t xml:space="preserve">   </w:t>
        </w:r>
        <w:r w:rsidR="008E32AE" w:rsidRPr="00BF53CF">
          <w:rPr>
            <w:rStyle w:val="Hyperlink"/>
          </w:rPr>
          <w:t>Current and proposed Australian and overseas MRLs/tolerances for difenoconazole</w:t>
        </w:r>
        <w:r w:rsidR="008E32AE">
          <w:rPr>
            <w:webHidden/>
          </w:rPr>
          <w:tab/>
        </w:r>
        <w:r w:rsidR="008E32AE">
          <w:rPr>
            <w:webHidden/>
          </w:rPr>
          <w:fldChar w:fldCharType="begin"/>
        </w:r>
        <w:r w:rsidR="008E32AE">
          <w:rPr>
            <w:webHidden/>
          </w:rPr>
          <w:instrText xml:space="preserve"> PAGEREF _Toc529794432 \h </w:instrText>
        </w:r>
        <w:r w:rsidR="008E32AE">
          <w:rPr>
            <w:webHidden/>
          </w:rPr>
        </w:r>
        <w:r w:rsidR="008E32AE">
          <w:rPr>
            <w:webHidden/>
          </w:rPr>
          <w:fldChar w:fldCharType="separate"/>
        </w:r>
        <w:r w:rsidR="00920F00">
          <w:rPr>
            <w:webHidden/>
          </w:rPr>
          <w:t>10</w:t>
        </w:r>
        <w:r w:rsidR="008E32AE">
          <w:rPr>
            <w:webHidden/>
          </w:rPr>
          <w:fldChar w:fldCharType="end"/>
        </w:r>
      </w:hyperlink>
    </w:p>
    <w:p w:rsidR="008E32AE" w:rsidRDefault="00AD0096">
      <w:pPr>
        <w:pStyle w:val="TableofFigures"/>
        <w:rPr>
          <w:rFonts w:asciiTheme="minorHAnsi" w:eastAsiaTheme="minorEastAsia" w:hAnsiTheme="minorHAnsi" w:cstheme="minorBidi"/>
          <w:sz w:val="22"/>
          <w:szCs w:val="22"/>
          <w:lang w:eastAsia="en-AU"/>
        </w:rPr>
      </w:pPr>
      <w:hyperlink w:anchor="_Toc529794433" w:history="1">
        <w:r w:rsidR="008E32AE" w:rsidRPr="00BF53CF">
          <w:rPr>
            <w:rStyle w:val="Hyperlink"/>
          </w:rPr>
          <w:t>Table 3:</w:t>
        </w:r>
        <w:r w:rsidR="008E32AE">
          <w:rPr>
            <w:rFonts w:asciiTheme="minorHAnsi" w:eastAsiaTheme="minorEastAsia" w:hAnsiTheme="minorHAnsi" w:cstheme="minorBidi"/>
            <w:sz w:val="22"/>
            <w:szCs w:val="22"/>
            <w:lang w:eastAsia="en-AU"/>
          </w:rPr>
          <w:tab/>
        </w:r>
        <w:r w:rsidR="008E32AE" w:rsidRPr="00BF53CF">
          <w:rPr>
            <w:rStyle w:val="Hyperlink"/>
          </w:rPr>
          <w:t>Current MRL Standard – Table1</w:t>
        </w:r>
        <w:r w:rsidR="008E32AE">
          <w:rPr>
            <w:webHidden/>
          </w:rPr>
          <w:tab/>
        </w:r>
        <w:r w:rsidR="008E32AE">
          <w:rPr>
            <w:webHidden/>
          </w:rPr>
          <w:fldChar w:fldCharType="begin"/>
        </w:r>
        <w:r w:rsidR="008E32AE">
          <w:rPr>
            <w:webHidden/>
          </w:rPr>
          <w:instrText xml:space="preserve"> PAGEREF _Toc529794433 \h </w:instrText>
        </w:r>
        <w:r w:rsidR="008E32AE">
          <w:rPr>
            <w:webHidden/>
          </w:rPr>
        </w:r>
        <w:r w:rsidR="008E32AE">
          <w:rPr>
            <w:webHidden/>
          </w:rPr>
          <w:fldChar w:fldCharType="separate"/>
        </w:r>
        <w:r w:rsidR="00920F00">
          <w:rPr>
            <w:webHidden/>
          </w:rPr>
          <w:t>11</w:t>
        </w:r>
        <w:r w:rsidR="008E32AE">
          <w:rPr>
            <w:webHidden/>
          </w:rPr>
          <w:fldChar w:fldCharType="end"/>
        </w:r>
      </w:hyperlink>
    </w:p>
    <w:p w:rsidR="008E32AE" w:rsidRDefault="00AD0096">
      <w:pPr>
        <w:pStyle w:val="TableofFigures"/>
        <w:rPr>
          <w:rFonts w:asciiTheme="minorHAnsi" w:eastAsiaTheme="minorEastAsia" w:hAnsiTheme="minorHAnsi" w:cstheme="minorBidi"/>
          <w:sz w:val="22"/>
          <w:szCs w:val="22"/>
          <w:lang w:eastAsia="en-AU"/>
        </w:rPr>
      </w:pPr>
      <w:hyperlink w:anchor="_Toc529794434" w:history="1">
        <w:r w:rsidR="008E32AE" w:rsidRPr="00BF53CF">
          <w:rPr>
            <w:rStyle w:val="Hyperlink"/>
          </w:rPr>
          <w:t>Table 4:</w:t>
        </w:r>
        <w:r w:rsidR="008E32AE">
          <w:rPr>
            <w:rFonts w:asciiTheme="minorHAnsi" w:eastAsiaTheme="minorEastAsia" w:hAnsiTheme="minorHAnsi" w:cstheme="minorBidi"/>
            <w:sz w:val="22"/>
            <w:szCs w:val="22"/>
            <w:lang w:eastAsia="en-AU"/>
          </w:rPr>
          <w:tab/>
        </w:r>
        <w:r w:rsidR="008E32AE" w:rsidRPr="00BF53CF">
          <w:rPr>
            <w:rStyle w:val="Hyperlink"/>
          </w:rPr>
          <w:t>Proposed MRL Standard – Table1</w:t>
        </w:r>
        <w:r w:rsidR="008E32AE">
          <w:rPr>
            <w:webHidden/>
          </w:rPr>
          <w:tab/>
        </w:r>
        <w:r w:rsidR="008E32AE">
          <w:rPr>
            <w:webHidden/>
          </w:rPr>
          <w:fldChar w:fldCharType="begin"/>
        </w:r>
        <w:r w:rsidR="008E32AE">
          <w:rPr>
            <w:webHidden/>
          </w:rPr>
          <w:instrText xml:space="preserve"> PAGEREF _Toc529794434 \h </w:instrText>
        </w:r>
        <w:r w:rsidR="008E32AE">
          <w:rPr>
            <w:webHidden/>
          </w:rPr>
        </w:r>
        <w:r w:rsidR="008E32AE">
          <w:rPr>
            <w:webHidden/>
          </w:rPr>
          <w:fldChar w:fldCharType="separate"/>
        </w:r>
        <w:r w:rsidR="00920F00">
          <w:rPr>
            <w:webHidden/>
          </w:rPr>
          <w:t>11</w:t>
        </w:r>
        <w:r w:rsidR="008E32AE">
          <w:rPr>
            <w:webHidden/>
          </w:rPr>
          <w:fldChar w:fldCharType="end"/>
        </w:r>
      </w:hyperlink>
    </w:p>
    <w:p w:rsidR="000B63A6" w:rsidRDefault="00E44DCB" w:rsidP="00914508">
      <w:pPr>
        <w:pStyle w:val="APVMAText"/>
        <w:rPr>
          <w:noProof/>
        </w:rPr>
        <w:sectPr w:rsidR="000B63A6">
          <w:headerReference w:type="even" r:id="rId19"/>
          <w:headerReference w:type="default" r:id="rId20"/>
          <w:pgSz w:w="11906" w:h="16838" w:code="9"/>
          <w:pgMar w:top="2835" w:right="1134" w:bottom="1134" w:left="1134" w:header="1701" w:footer="680" w:gutter="0"/>
          <w:pgNumType w:fmt="lowerRoman"/>
          <w:cols w:space="708"/>
          <w:docGrid w:linePitch="360"/>
        </w:sectPr>
      </w:pPr>
      <w:r>
        <w:rPr>
          <w:rFonts w:ascii="Trebuchet MS" w:hAnsi="Trebuchet MS"/>
          <w:b/>
          <w:bCs/>
          <w:caps/>
          <w:noProof/>
          <w:color w:val="365860"/>
          <w:sz w:val="32"/>
          <w:szCs w:val="20"/>
        </w:rPr>
        <w:fldChar w:fldCharType="end"/>
      </w:r>
    </w:p>
    <w:p w:rsidR="000B63A6" w:rsidRDefault="00E44DCB">
      <w:pPr>
        <w:pStyle w:val="APVMAPreliminariesH1"/>
      </w:pPr>
      <w:bookmarkStart w:id="2" w:name="_Toc530137757"/>
      <w:r>
        <w:lastRenderedPageBreak/>
        <w:t>Preface</w:t>
      </w:r>
      <w:bookmarkEnd w:id="2"/>
    </w:p>
    <w:p w:rsidR="000B63A6" w:rsidRDefault="00E44DCB">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rsidR="000B63A6" w:rsidRDefault="00E44DCB">
      <w:pPr>
        <w:pStyle w:val="APVMAText"/>
      </w:pPr>
      <w:r>
        <w:t>In undertaking this task, the APVMA works in close cooperation with advisory agencies, including the Department of Health, Department of the Environment</w:t>
      </w:r>
      <w:r w:rsidR="007C0F89">
        <w:t xml:space="preserve"> and Energy</w:t>
      </w:r>
      <w:r>
        <w:t>, and State Departments of Primary Industry.</w:t>
      </w:r>
    </w:p>
    <w:p w:rsidR="000B63A6" w:rsidRDefault="00E44DCB">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rsidR="000B63A6" w:rsidRDefault="00E44DCB">
      <w:pPr>
        <w:pStyle w:val="APVMAText"/>
      </w:pPr>
      <w:r>
        <w:t>The information and technical data required by the APVMA to assess the safety of new chemical products and the methods of assessment must be undertaken according to accepted scientific principles. Details are outl</w:t>
      </w:r>
      <w:r w:rsidR="007C0F89">
        <w:t>ined in regulatory guidance published on the APVMA website</w:t>
      </w:r>
      <w:r w:rsidR="00914508">
        <w:t>.</w:t>
      </w:r>
    </w:p>
    <w:p w:rsidR="000B63A6" w:rsidRDefault="00E44DCB">
      <w:pPr>
        <w:pStyle w:val="APVMAPreliminariesH2"/>
      </w:pPr>
      <w:bookmarkStart w:id="3" w:name="_Toc530137758"/>
      <w:r>
        <w:t>About this document</w:t>
      </w:r>
      <w:bookmarkEnd w:id="3"/>
    </w:p>
    <w:p w:rsidR="000B63A6" w:rsidRDefault="00E44DCB">
      <w:pPr>
        <w:pStyle w:val="APVMAText"/>
        <w:tabs>
          <w:tab w:val="left" w:pos="1361"/>
        </w:tabs>
        <w:rPr>
          <w:lang w:val="en-US"/>
        </w:rPr>
      </w:pPr>
      <w:r>
        <w:rPr>
          <w:lang w:val="en-US"/>
        </w:rPr>
        <w:t>This</w:t>
      </w:r>
      <w:r w:rsidR="00914508">
        <w:rPr>
          <w:lang w:val="en-US"/>
        </w:rPr>
        <w:t xml:space="preserve"> is a Trade Advice Notice.</w:t>
      </w:r>
    </w:p>
    <w:p w:rsidR="000B63A6" w:rsidRDefault="00E44DCB">
      <w:pPr>
        <w:pStyle w:val="APVMAText"/>
        <w:tabs>
          <w:tab w:val="left" w:pos="1361"/>
        </w:tabs>
        <w:rPr>
          <w:lang w:val="en-US"/>
        </w:rPr>
      </w:pPr>
      <w:r>
        <w:rPr>
          <w:lang w:val="en-US"/>
        </w:rPr>
        <w:t>It indicates that the Australian Pesticides and Veterinary Medicines Authority (APVMA) is considering an application to vary the use of an existing registered agricultural or veterinary chemical. It provides a summary of the APVMA’s residue and trade assessment.</w:t>
      </w:r>
    </w:p>
    <w:p w:rsidR="000B63A6" w:rsidRDefault="00E44DCB">
      <w:pPr>
        <w:pStyle w:val="APVMAText"/>
        <w:tabs>
          <w:tab w:val="left" w:pos="1361"/>
        </w:tabs>
        <w:rPr>
          <w:lang w:val="en-US"/>
        </w:rPr>
      </w:pPr>
      <w:r>
        <w:rPr>
          <w:lang w:val="en-US"/>
        </w:rPr>
        <w:t>Comment is sought from industry groups and stakeholders on the information contained within this document.</w:t>
      </w:r>
    </w:p>
    <w:p w:rsidR="000B63A6" w:rsidRDefault="00E44DCB">
      <w:pPr>
        <w:pStyle w:val="APVMAPreliminariesH2"/>
      </w:pPr>
      <w:bookmarkStart w:id="4" w:name="_Toc530137759"/>
      <w:r>
        <w:t>Making a submission</w:t>
      </w:r>
      <w:bookmarkEnd w:id="4"/>
    </w:p>
    <w:p w:rsidR="000B63A6" w:rsidRDefault="00E44DCB">
      <w:pPr>
        <w:pStyle w:val="APVMAText"/>
        <w:rPr>
          <w:b/>
          <w:bCs/>
        </w:rPr>
      </w:pPr>
      <w:r>
        <w:t xml:space="preserve">The APVMA invites any person to submit a relevant written submission as to whether the application to vary the registration of </w:t>
      </w:r>
      <w:proofErr w:type="spellStart"/>
      <w:r w:rsidR="00C01EEB">
        <w:t>Nufarm</w:t>
      </w:r>
      <w:proofErr w:type="spellEnd"/>
      <w:r w:rsidR="00C01EEB">
        <w:t xml:space="preserve"> Digger Fungicide</w:t>
      </w:r>
      <w:r>
        <w:rPr>
          <w:rFonts w:ascii="Arial Bold" w:hAnsi="Arial Bold"/>
          <w:b/>
        </w:rPr>
        <w:t xml:space="preserve"> </w:t>
      </w:r>
      <w:r>
        <w:t xml:space="preserve">should be granted.  Submissions should relate only to matters that the APVMA is required by legislation to take into account in deciding whether to grant the application. These grounds relate to </w:t>
      </w:r>
      <w:r>
        <w:rPr>
          <w:lang w:val="en-US"/>
        </w:rPr>
        <w:t xml:space="preserve">the </w:t>
      </w:r>
      <w:r>
        <w:rPr>
          <w:b/>
          <w:lang w:val="en-US"/>
        </w:rPr>
        <w:t>trade implications</w:t>
      </w:r>
      <w:r>
        <w:rPr>
          <w:lang w:val="en-US"/>
        </w:rPr>
        <w:t xml:space="preserve"> of the extended use of the product</w:t>
      </w:r>
      <w:r>
        <w:t>. Submissions should state the grounds on which they are based. Comments received outside these grounds cannot be considered by the APVMA.</w:t>
      </w:r>
    </w:p>
    <w:p w:rsidR="000B63A6" w:rsidRDefault="00E44DCB">
      <w:pPr>
        <w:pStyle w:val="APVMAText"/>
      </w:pPr>
      <w:r>
        <w:t xml:space="preserve">Submissions must be received by the APVMA by close of </w:t>
      </w:r>
      <w:r w:rsidRPr="00FA16F9">
        <w:t xml:space="preserve">business on </w:t>
      </w:r>
      <w:r w:rsidR="00FA16F9" w:rsidRPr="00FA16F9">
        <w:rPr>
          <w:rFonts w:ascii="Arial Bold" w:hAnsi="Arial Bold"/>
          <w:b/>
        </w:rPr>
        <w:t>Friday</w:t>
      </w:r>
      <w:r w:rsidR="00372609" w:rsidRPr="00FA16F9">
        <w:rPr>
          <w:rFonts w:ascii="Arial Bold" w:hAnsi="Arial Bold"/>
          <w:b/>
        </w:rPr>
        <w:t xml:space="preserve">, </w:t>
      </w:r>
      <w:r w:rsidR="00FA16F9" w:rsidRPr="00FA16F9">
        <w:rPr>
          <w:rFonts w:ascii="Arial Bold" w:hAnsi="Arial Bold"/>
          <w:b/>
        </w:rPr>
        <w:t>14</w:t>
      </w:r>
      <w:r w:rsidR="00372609" w:rsidRPr="00FA16F9">
        <w:rPr>
          <w:rFonts w:ascii="Arial Bold" w:hAnsi="Arial Bold"/>
          <w:b/>
        </w:rPr>
        <w:t xml:space="preserve"> December 2018</w:t>
      </w:r>
      <w:r w:rsidRPr="00FA16F9">
        <w:t xml:space="preserve"> and be directed to the contact listed below. All submissions to the APVMA will be acknowledged in writing via email</w:t>
      </w:r>
      <w:r>
        <w:t xml:space="preserve"> or by post.</w:t>
      </w:r>
    </w:p>
    <w:p w:rsidR="00914508" w:rsidRDefault="00E44DCB" w:rsidP="00914508">
      <w:pPr>
        <w:pStyle w:val="APVMAText"/>
        <w:rPr>
          <w:lang w:val="en-US"/>
        </w:rPr>
      </w:pPr>
      <w:r>
        <w:t xml:space="preserve">Relevant comments </w:t>
      </w:r>
      <w:r>
        <w:rPr>
          <w:lang w:val="en-US"/>
        </w:rPr>
        <w:t>will be taken into account by the APVMA in deciding whether to grant the application and in determining appropriate conditions of registration and product</w:t>
      </w:r>
      <w:r>
        <w:t xml:space="preserve"> labelling</w:t>
      </w:r>
      <w:r>
        <w:rPr>
          <w:lang w:val="en-US"/>
        </w:rPr>
        <w:t xml:space="preserve">. </w:t>
      </w:r>
    </w:p>
    <w:p w:rsidR="00914508" w:rsidRDefault="00914508">
      <w:pPr>
        <w:rPr>
          <w:rFonts w:cs="Arial"/>
          <w:u w:color="000000"/>
          <w:lang w:val="en-US"/>
        </w:rPr>
      </w:pPr>
      <w:r>
        <w:rPr>
          <w:lang w:val="en-US"/>
        </w:rPr>
        <w:br w:type="page"/>
      </w:r>
    </w:p>
    <w:p w:rsidR="000B63A6" w:rsidRDefault="00E44DCB">
      <w:pPr>
        <w:pStyle w:val="APVMAText"/>
        <w:rPr>
          <w:lang w:val="en-US"/>
        </w:rPr>
      </w:pPr>
      <w:r>
        <w:rPr>
          <w:lang w:val="en-US"/>
        </w:rPr>
        <w:lastRenderedPageBreak/>
        <w:t>When making a submission please include:</w:t>
      </w:r>
    </w:p>
    <w:p w:rsidR="000B63A6" w:rsidRDefault="00E44DCB">
      <w:pPr>
        <w:pStyle w:val="APVMAText"/>
        <w:numPr>
          <w:ilvl w:val="0"/>
          <w:numId w:val="24"/>
        </w:numPr>
        <w:spacing w:before="0" w:after="120" w:line="240" w:lineRule="exact"/>
      </w:pPr>
      <w:r>
        <w:t>Contact name</w:t>
      </w:r>
    </w:p>
    <w:p w:rsidR="000B63A6" w:rsidRDefault="00E44DCB">
      <w:pPr>
        <w:pStyle w:val="APVMAText"/>
        <w:numPr>
          <w:ilvl w:val="0"/>
          <w:numId w:val="24"/>
        </w:numPr>
        <w:spacing w:before="0" w:after="120" w:line="240" w:lineRule="exact"/>
      </w:pPr>
      <w:r>
        <w:t>Company or Group name (if relevant)</w:t>
      </w:r>
    </w:p>
    <w:p w:rsidR="000B63A6" w:rsidRDefault="00E44DCB">
      <w:pPr>
        <w:pStyle w:val="APVMAText"/>
        <w:numPr>
          <w:ilvl w:val="0"/>
          <w:numId w:val="24"/>
        </w:numPr>
        <w:spacing w:before="0" w:after="120" w:line="240" w:lineRule="exact"/>
      </w:pPr>
      <w:r>
        <w:t>Postal Address</w:t>
      </w:r>
    </w:p>
    <w:p w:rsidR="000B63A6" w:rsidRDefault="00E44DCB">
      <w:pPr>
        <w:pStyle w:val="APVMAText"/>
        <w:numPr>
          <w:ilvl w:val="0"/>
          <w:numId w:val="24"/>
        </w:numPr>
        <w:spacing w:before="0" w:after="120" w:line="240" w:lineRule="exact"/>
      </w:pPr>
      <w:r>
        <w:t>Email Address (if available)</w:t>
      </w:r>
    </w:p>
    <w:p w:rsidR="000B63A6" w:rsidRDefault="00E44DCB">
      <w:pPr>
        <w:pStyle w:val="APVMAText"/>
        <w:numPr>
          <w:ilvl w:val="0"/>
          <w:numId w:val="24"/>
        </w:numPr>
        <w:spacing w:before="0" w:after="120" w:line="240" w:lineRule="exact"/>
      </w:pPr>
      <w:r>
        <w:t>The date you made the submission.</w:t>
      </w:r>
    </w:p>
    <w:p w:rsidR="000B63A6" w:rsidRDefault="00E44DCB">
      <w:pPr>
        <w:pStyle w:val="APVMAText"/>
      </w:pPr>
      <w:r>
        <w:t xml:space="preserve">All personal and </w:t>
      </w:r>
      <w:r>
        <w:rPr>
          <w:b/>
          <w:bCs/>
          <w:i/>
          <w:iCs/>
        </w:rPr>
        <w:t xml:space="preserve">confidential commercial information </w:t>
      </w:r>
      <w:r>
        <w:rPr>
          <w:b/>
          <w:i/>
        </w:rPr>
        <w:t>(CCI)</w:t>
      </w:r>
      <w:r>
        <w:rPr>
          <w:rStyle w:val="FootnoteReference"/>
          <w:b/>
          <w:i/>
        </w:rPr>
        <w:footnoteReference w:id="2"/>
      </w:r>
      <w:r>
        <w:t xml:space="preserve"> material contained in submissions </w:t>
      </w:r>
      <w:r w:rsidR="00914508">
        <w:t>will be treated confidentially.</w:t>
      </w:r>
    </w:p>
    <w:p w:rsidR="000B63A6" w:rsidRDefault="00E44DCB">
      <w:pPr>
        <w:pStyle w:val="APVMAText"/>
      </w:pPr>
      <w:r>
        <w:t xml:space="preserve">Written submissions on the APVMA’s proposal to grant the application for registration that relate to the </w:t>
      </w:r>
      <w:r>
        <w:rPr>
          <w:b/>
        </w:rPr>
        <w:t>grounds for registration</w:t>
      </w:r>
      <w:r>
        <w:t xml:space="preserve"> sho</w:t>
      </w:r>
      <w:r w:rsidR="00914508">
        <w:t>uld be addressed in writing to:</w:t>
      </w:r>
    </w:p>
    <w:p w:rsidR="000B63A6" w:rsidRDefault="00BC16EB">
      <w:pPr>
        <w:pStyle w:val="APVMAAddress"/>
      </w:pPr>
      <w:r>
        <w:t>Residues and Trade</w:t>
      </w:r>
    </w:p>
    <w:p w:rsidR="000B63A6" w:rsidRDefault="00BC16EB">
      <w:pPr>
        <w:pStyle w:val="APVMAAddress"/>
      </w:pPr>
      <w:r>
        <w:t>Scientific Assessment and Chemical Review</w:t>
      </w:r>
    </w:p>
    <w:p w:rsidR="000B63A6" w:rsidRDefault="00E44DCB">
      <w:pPr>
        <w:pStyle w:val="APVMAAddress"/>
      </w:pPr>
      <w:r>
        <w:t>Australian Pesticides and Veterinary Medicines Authority</w:t>
      </w:r>
    </w:p>
    <w:p w:rsidR="000B63A6" w:rsidRDefault="00E44DCB">
      <w:pPr>
        <w:pStyle w:val="APVMAAddress"/>
      </w:pPr>
      <w:r>
        <w:t>PO Box 6182</w:t>
      </w:r>
    </w:p>
    <w:p w:rsidR="000B63A6" w:rsidRDefault="004C35E9" w:rsidP="00914508">
      <w:pPr>
        <w:pStyle w:val="APVMAAddress"/>
      </w:pPr>
      <w:r>
        <w:t>Kingston</w:t>
      </w:r>
      <w:r w:rsidR="00E44DCB">
        <w:t xml:space="preserve"> ACT 260</w:t>
      </w:r>
      <w:r>
        <w:t>4</w:t>
      </w:r>
    </w:p>
    <w:p w:rsidR="000B63A6" w:rsidRDefault="00E44DCB">
      <w:pPr>
        <w:pStyle w:val="APVMAAddress"/>
      </w:pPr>
      <w:r>
        <w:rPr>
          <w:b/>
        </w:rPr>
        <w:t>Phone:</w:t>
      </w:r>
      <w:r w:rsidR="00BC16EB">
        <w:tab/>
      </w:r>
      <w:r w:rsidR="00914508">
        <w:t>+61 2</w:t>
      </w:r>
      <w:r w:rsidR="00BC16EB">
        <w:t xml:space="preserve"> 6210 4701</w:t>
      </w:r>
    </w:p>
    <w:p w:rsidR="000B63A6" w:rsidRDefault="00E44DCB">
      <w:pPr>
        <w:pStyle w:val="APVMAAddress"/>
      </w:pPr>
      <w:r>
        <w:rPr>
          <w:b/>
        </w:rPr>
        <w:t>Email:</w:t>
      </w:r>
      <w:r w:rsidR="00914508">
        <w:t xml:space="preserve"> </w:t>
      </w:r>
      <w:hyperlink r:id="rId21" w:history="1">
        <w:r w:rsidR="00BC16EB" w:rsidRPr="00914508">
          <w:rPr>
            <w:rStyle w:val="Hyperlink"/>
          </w:rPr>
          <w:t>enquiries</w:t>
        </w:r>
        <w:r w:rsidRPr="00914508">
          <w:rPr>
            <w:rStyle w:val="Hyperlink"/>
          </w:rPr>
          <w:t>@apvma.gov.au</w:t>
        </w:r>
      </w:hyperlink>
    </w:p>
    <w:p w:rsidR="000B63A6" w:rsidRDefault="00E44DCB">
      <w:pPr>
        <w:pStyle w:val="APVMAPreliminariesH2"/>
      </w:pPr>
      <w:bookmarkStart w:id="5" w:name="_Toc530137760"/>
      <w:r>
        <w:t>Further information</w:t>
      </w:r>
      <w:bookmarkEnd w:id="5"/>
    </w:p>
    <w:p w:rsidR="000B63A6" w:rsidRDefault="00E44DCB">
      <w:pPr>
        <w:pStyle w:val="APVMAText"/>
      </w:pPr>
      <w:r>
        <w:t xml:space="preserve">Further information can be obtained via the contact details provided above. </w:t>
      </w:r>
    </w:p>
    <w:p w:rsidR="000B63A6" w:rsidRDefault="00E44DCB">
      <w:pPr>
        <w:pStyle w:val="APVMAText"/>
      </w:pPr>
      <w:r>
        <w:t>Further information on public release summaries can be found on the APVMA website:</w:t>
      </w:r>
      <w:r>
        <w:rPr>
          <w:color w:val="0000FF"/>
          <w:lang w:val="en-US"/>
        </w:rPr>
        <w:t xml:space="preserve"> </w:t>
      </w:r>
      <w:hyperlink r:id="rId22" w:history="1">
        <w:r>
          <w:rPr>
            <w:rStyle w:val="Hyperlink"/>
          </w:rPr>
          <w:t>http://www.apvma.gov.au</w:t>
        </w:r>
      </w:hyperlink>
    </w:p>
    <w:p w:rsidR="000B63A6" w:rsidRDefault="000B63A6">
      <w:pPr>
        <w:pStyle w:val="APVMAText"/>
        <w:sectPr w:rsidR="000B63A6">
          <w:headerReference w:type="even" r:id="rId23"/>
          <w:headerReference w:type="default" r:id="rId24"/>
          <w:pgSz w:w="11906" w:h="16838" w:code="9"/>
          <w:pgMar w:top="2835" w:right="1134" w:bottom="1134" w:left="1134" w:header="1701" w:footer="680" w:gutter="0"/>
          <w:pgNumType w:fmt="lowerRoman"/>
          <w:cols w:space="708"/>
          <w:docGrid w:linePitch="360"/>
        </w:sectPr>
      </w:pPr>
    </w:p>
    <w:p w:rsidR="000B63A6" w:rsidRDefault="00E44DCB">
      <w:pPr>
        <w:pStyle w:val="Heading1"/>
      </w:pPr>
      <w:bookmarkStart w:id="6" w:name="_Toc530137761"/>
      <w:r>
        <w:lastRenderedPageBreak/>
        <w:t>Introduction</w:t>
      </w:r>
      <w:bookmarkEnd w:id="6"/>
    </w:p>
    <w:p w:rsidR="000B63A6" w:rsidRDefault="00E44DCB">
      <w:pPr>
        <w:pStyle w:val="APVMAText"/>
      </w:pPr>
      <w:r>
        <w:t>The Australian Pesticides and Veterinary Medicines Authority (APVMA) has before it an application from</w:t>
      </w:r>
      <w:r w:rsidR="00271BBC">
        <w:t xml:space="preserve"> </w:t>
      </w:r>
      <w:proofErr w:type="spellStart"/>
      <w:r w:rsidR="00271BBC">
        <w:t>Nufarm</w:t>
      </w:r>
      <w:proofErr w:type="spellEnd"/>
      <w:r w:rsidR="00271BBC">
        <w:t xml:space="preserve"> Australia Limited</w:t>
      </w:r>
      <w:r>
        <w:t xml:space="preserve">, to vary the registration of </w:t>
      </w:r>
      <w:proofErr w:type="spellStart"/>
      <w:r w:rsidR="00C01EEB">
        <w:t>Nufarm</w:t>
      </w:r>
      <w:proofErr w:type="spellEnd"/>
      <w:r w:rsidR="00C01EEB">
        <w:t xml:space="preserve"> Digger Fungicide</w:t>
      </w:r>
      <w:r>
        <w:t xml:space="preserve"> to </w:t>
      </w:r>
      <w:r w:rsidR="001C656F">
        <w:t>change</w:t>
      </w:r>
      <w:r w:rsidR="00C01EEB">
        <w:t xml:space="preserve"> </w:t>
      </w:r>
      <w:r w:rsidR="00914508">
        <w:t>the use pattern on wine grapes.</w:t>
      </w:r>
    </w:p>
    <w:p w:rsidR="001C656F" w:rsidRDefault="00B121F6">
      <w:pPr>
        <w:pStyle w:val="APVMAText"/>
      </w:pPr>
      <w:proofErr w:type="spellStart"/>
      <w:r>
        <w:t>Nufarm</w:t>
      </w:r>
      <w:proofErr w:type="spellEnd"/>
      <w:r>
        <w:t xml:space="preserve"> Digger Fungicide is currently approved for use on wine grapes with applica</w:t>
      </w:r>
      <w:r w:rsidR="002C06EA">
        <w:t>tion up to growth stage EL 25 (8</w:t>
      </w:r>
      <w:r>
        <w:t xml:space="preserve">0% cap fall) and table grapes with application up to EL 32 (beginning of bunch closure). It is currently proposed to change the wine grape use to be the same as </w:t>
      </w:r>
      <w:r w:rsidR="00914508">
        <w:t>that approved for table grapes.</w:t>
      </w:r>
    </w:p>
    <w:p w:rsidR="00B121F6" w:rsidRDefault="00B121F6">
      <w:pPr>
        <w:pStyle w:val="APVMAText"/>
      </w:pPr>
      <w:r>
        <w:t>No change to the registered use on table grapes or dried grapes is proposed and therefore these commodities</w:t>
      </w:r>
      <w:r w:rsidR="00914508">
        <w:t xml:space="preserve"> will not be discussed further.</w:t>
      </w:r>
    </w:p>
    <w:p w:rsidR="000B63A6" w:rsidRDefault="00E44DCB" w:rsidP="00C01EEB">
      <w:pPr>
        <w:pStyle w:val="Heading1"/>
        <w:keepNext w:val="0"/>
        <w:keepLines w:val="0"/>
        <w:pageBreakBefore w:val="0"/>
        <w:widowControl w:val="0"/>
        <w:suppressAutoHyphens w:val="0"/>
      </w:pPr>
      <w:bookmarkStart w:id="7" w:name="_Toc530137762"/>
      <w:r>
        <w:t>Trade Considerations</w:t>
      </w:r>
      <w:bookmarkEnd w:id="7"/>
    </w:p>
    <w:p w:rsidR="000B63A6" w:rsidRDefault="00E44DCB">
      <w:pPr>
        <w:pStyle w:val="Heading2"/>
      </w:pPr>
      <w:bookmarkStart w:id="8" w:name="_Toc530137763"/>
      <w:r>
        <w:t>Commodities exported</w:t>
      </w:r>
      <w:bookmarkEnd w:id="8"/>
    </w:p>
    <w:p w:rsidR="00041226" w:rsidRDefault="00B121F6" w:rsidP="00271BBC">
      <w:pPr>
        <w:pStyle w:val="BODYTEXT"/>
        <w:widowControl w:val="0"/>
        <w:spacing w:before="240" w:after="120" w:line="280" w:lineRule="exact"/>
        <w:rPr>
          <w:rFonts w:ascii="Arial" w:hAnsi="Arial" w:cs="Arial"/>
          <w:sz w:val="20"/>
        </w:rPr>
      </w:pPr>
      <w:r>
        <w:rPr>
          <w:rFonts w:ascii="Arial" w:hAnsi="Arial" w:cs="Arial"/>
          <w:sz w:val="20"/>
        </w:rPr>
        <w:t xml:space="preserve">Grapes </w:t>
      </w:r>
      <w:r w:rsidR="00041226" w:rsidRPr="00041226">
        <w:rPr>
          <w:rFonts w:ascii="Arial" w:hAnsi="Arial" w:cs="Arial"/>
          <w:sz w:val="20"/>
        </w:rPr>
        <w:t>and wine are considered to be major export commodities</w:t>
      </w:r>
      <w:r w:rsidR="00041226" w:rsidRPr="00B121F6">
        <w:rPr>
          <w:rFonts w:ascii="Arial" w:hAnsi="Arial" w:cs="Arial"/>
          <w:sz w:val="20"/>
          <w:vertAlign w:val="superscript"/>
        </w:rPr>
        <w:t>2</w:t>
      </w:r>
      <w:r w:rsidR="00041226" w:rsidRPr="00041226">
        <w:rPr>
          <w:rFonts w:ascii="Arial" w:hAnsi="Arial" w:cs="Arial"/>
          <w:sz w:val="20"/>
        </w:rPr>
        <w:t>, as are commodities of animal origin, such as meat, offal and dairy products, which may be derived from livestock fed feeds produced from grape pomace from treated crops</w:t>
      </w:r>
      <w:r w:rsidR="00041226">
        <w:rPr>
          <w:rFonts w:ascii="Arial" w:hAnsi="Arial" w:cs="Arial"/>
          <w:sz w:val="20"/>
        </w:rPr>
        <w:t>.</w:t>
      </w:r>
    </w:p>
    <w:p w:rsidR="000B63A6" w:rsidRDefault="00E44DCB">
      <w:pPr>
        <w:pStyle w:val="Heading2"/>
      </w:pPr>
      <w:bookmarkStart w:id="9" w:name="_Toc231889745"/>
      <w:bookmarkStart w:id="10" w:name="_Toc530137764"/>
      <w:r>
        <w:t>Destination and value of exports</w:t>
      </w:r>
      <w:bookmarkEnd w:id="9"/>
      <w:bookmarkEnd w:id="10"/>
    </w:p>
    <w:p w:rsidR="00C01EEB" w:rsidRPr="00C01EEB" w:rsidRDefault="00B121F6" w:rsidP="00041226">
      <w:pPr>
        <w:pStyle w:val="BODYTEXT"/>
        <w:widowControl w:val="0"/>
        <w:spacing w:before="240" w:after="120" w:line="280" w:lineRule="exact"/>
        <w:rPr>
          <w:rFonts w:ascii="Arial" w:hAnsi="Arial" w:cs="Arial"/>
          <w:sz w:val="20"/>
        </w:rPr>
      </w:pPr>
      <w:r>
        <w:rPr>
          <w:rFonts w:ascii="Arial" w:hAnsi="Arial" w:cs="Arial"/>
          <w:sz w:val="20"/>
        </w:rPr>
        <w:t>Wine is</w:t>
      </w:r>
      <w:r w:rsidR="00041226">
        <w:rPr>
          <w:rFonts w:ascii="Arial" w:hAnsi="Arial" w:cs="Arial"/>
          <w:sz w:val="20"/>
        </w:rPr>
        <w:t xml:space="preserve"> a significant export</w:t>
      </w:r>
      <w:r>
        <w:rPr>
          <w:rFonts w:ascii="Arial" w:hAnsi="Arial" w:cs="Arial"/>
          <w:sz w:val="20"/>
        </w:rPr>
        <w:t xml:space="preserve"> commodity. </w:t>
      </w:r>
      <w:r w:rsidR="00041226">
        <w:rPr>
          <w:rFonts w:ascii="Arial" w:hAnsi="Arial" w:cs="Arial"/>
          <w:sz w:val="20"/>
        </w:rPr>
        <w:t xml:space="preserve">In 2016–17 Australia exported 789 ML of wine worth </w:t>
      </w:r>
      <w:r w:rsidR="00041226" w:rsidRPr="00C01EEB">
        <w:rPr>
          <w:rFonts w:ascii="Arial" w:hAnsi="Arial" w:cs="Arial"/>
          <w:sz w:val="20"/>
        </w:rPr>
        <w:t>$2</w:t>
      </w:r>
      <w:r w:rsidR="001C656F">
        <w:rPr>
          <w:rFonts w:ascii="Arial" w:hAnsi="Arial" w:cs="Arial"/>
          <w:sz w:val="20"/>
        </w:rPr>
        <w:t>.4 b</w:t>
      </w:r>
      <w:r w:rsidR="00041226" w:rsidRPr="00C01EEB">
        <w:rPr>
          <w:rFonts w:ascii="Arial" w:hAnsi="Arial" w:cs="Arial"/>
          <w:sz w:val="20"/>
        </w:rPr>
        <w:t>illion</w:t>
      </w:r>
      <w:r w:rsidR="00041226" w:rsidRPr="003C1F3F">
        <w:rPr>
          <w:rFonts w:ascii="Arial" w:hAnsi="Arial" w:cs="Arial"/>
          <w:sz w:val="20"/>
          <w:vertAlign w:val="superscript"/>
        </w:rPr>
        <w:footnoteReference w:id="3"/>
      </w:r>
      <w:r w:rsidR="00041226" w:rsidRPr="00C01EEB">
        <w:rPr>
          <w:rFonts w:ascii="Arial" w:hAnsi="Arial" w:cs="Arial"/>
          <w:sz w:val="20"/>
        </w:rPr>
        <w:t>.</w:t>
      </w:r>
      <w:r w:rsidR="00041226">
        <w:rPr>
          <w:rFonts w:ascii="Arial" w:hAnsi="Arial" w:cs="Arial"/>
          <w:sz w:val="20"/>
        </w:rPr>
        <w:t xml:space="preserve"> </w:t>
      </w:r>
    </w:p>
    <w:p w:rsidR="00C01EEB" w:rsidRDefault="00E44DCB">
      <w:pPr>
        <w:pStyle w:val="Caption"/>
        <w:rPr>
          <w:rFonts w:cs="Arial"/>
          <w:spacing w:val="6"/>
          <w:szCs w:val="20"/>
          <w:u w:color="000000"/>
          <w:vertAlign w:val="superscript"/>
        </w:rPr>
      </w:pPr>
      <w:bookmarkStart w:id="11" w:name="_Toc529794431"/>
      <w:r>
        <w:t>Table 1:</w:t>
      </w:r>
      <w:r>
        <w:tab/>
      </w:r>
      <w:r w:rsidR="00C01EEB" w:rsidRPr="00C01EEB">
        <w:rPr>
          <w:rFonts w:ascii="Arial" w:hAnsi="Arial" w:cs="Arial"/>
          <w:spacing w:val="6"/>
          <w:szCs w:val="20"/>
          <w:u w:color="000000"/>
        </w:rPr>
        <w:t>Major destinations for Australian wine</w:t>
      </w:r>
      <w:r w:rsidR="00C01EEB" w:rsidRPr="00C01EEB">
        <w:rPr>
          <w:rFonts w:cs="Arial"/>
          <w:spacing w:val="6"/>
          <w:szCs w:val="20"/>
          <w:u w:color="000000"/>
          <w:vertAlign w:val="superscript"/>
        </w:rPr>
        <w:t>2</w:t>
      </w:r>
      <w:bookmarkEnd w:id="11"/>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608"/>
        <w:gridCol w:w="7009"/>
      </w:tblGrid>
      <w:tr w:rsidR="00C01EEB" w:rsidRPr="00C01EEB" w:rsidTr="00B139E6">
        <w:trPr>
          <w:trHeight w:val="373"/>
          <w:tblHeader/>
        </w:trPr>
        <w:tc>
          <w:tcPr>
            <w:tcW w:w="2608" w:type="dxa"/>
            <w:tcBorders>
              <w:bottom w:val="single" w:sz="4" w:space="0" w:color="auto"/>
            </w:tcBorders>
            <w:shd w:val="clear" w:color="auto" w:fill="E6E6E6"/>
            <w:vAlign w:val="bottom"/>
          </w:tcPr>
          <w:p w:rsidR="00C01EEB" w:rsidRPr="00C01EEB" w:rsidRDefault="00C01EEB" w:rsidP="00E5170C">
            <w:pPr>
              <w:keepNext/>
              <w:keepLines/>
              <w:suppressAutoHyphens/>
              <w:spacing w:before="60" w:after="60" w:line="240" w:lineRule="exact"/>
              <w:rPr>
                <w:rFonts w:cs="Arial"/>
                <w:b/>
                <w:bCs/>
                <w:caps/>
                <w:color w:val="365860"/>
                <w:spacing w:val="6"/>
                <w:szCs w:val="20"/>
                <w:u w:color="000000"/>
              </w:rPr>
            </w:pPr>
            <w:r w:rsidRPr="00C01EEB">
              <w:rPr>
                <w:rFonts w:cs="Arial"/>
                <w:b/>
                <w:bCs/>
                <w:caps/>
                <w:color w:val="365860"/>
                <w:spacing w:val="6"/>
                <w:szCs w:val="20"/>
                <w:u w:color="000000"/>
              </w:rPr>
              <w:t>Crop</w:t>
            </w:r>
          </w:p>
        </w:tc>
        <w:tc>
          <w:tcPr>
            <w:tcW w:w="7009" w:type="dxa"/>
            <w:tcBorders>
              <w:bottom w:val="single" w:sz="4" w:space="0" w:color="auto"/>
            </w:tcBorders>
            <w:shd w:val="clear" w:color="auto" w:fill="E6E6E6"/>
            <w:vAlign w:val="bottom"/>
          </w:tcPr>
          <w:p w:rsidR="00C01EEB" w:rsidRPr="00C01EEB" w:rsidRDefault="00C01EEB" w:rsidP="00E5170C">
            <w:pPr>
              <w:keepNext/>
              <w:keepLines/>
              <w:suppressAutoHyphens/>
              <w:spacing w:before="60" w:after="60" w:line="240" w:lineRule="exact"/>
              <w:jc w:val="right"/>
              <w:rPr>
                <w:rFonts w:cs="Arial"/>
                <w:b/>
                <w:bCs/>
                <w:caps/>
                <w:color w:val="365860"/>
                <w:spacing w:val="6"/>
                <w:szCs w:val="20"/>
                <w:u w:color="000000"/>
              </w:rPr>
            </w:pPr>
            <w:r w:rsidRPr="00C01EEB">
              <w:rPr>
                <w:rFonts w:cs="Arial"/>
                <w:b/>
                <w:bCs/>
                <w:caps/>
                <w:color w:val="365860"/>
                <w:spacing w:val="6"/>
                <w:szCs w:val="20"/>
                <w:u w:color="000000"/>
              </w:rPr>
              <w:t>major destinations</w:t>
            </w:r>
          </w:p>
        </w:tc>
      </w:tr>
      <w:tr w:rsidR="00C01EEB" w:rsidRPr="00C01EEB" w:rsidTr="00B139E6">
        <w:trPr>
          <w:trHeight w:val="350"/>
        </w:trPr>
        <w:tc>
          <w:tcPr>
            <w:tcW w:w="2608" w:type="dxa"/>
            <w:tcBorders>
              <w:bottom w:val="single" w:sz="4" w:space="0" w:color="auto"/>
            </w:tcBorders>
          </w:tcPr>
          <w:p w:rsidR="00C01EEB" w:rsidRPr="003C1F3F" w:rsidRDefault="00C01EEB" w:rsidP="00271BBC">
            <w:pPr>
              <w:suppressAutoHyphens/>
              <w:spacing w:before="120"/>
              <w:rPr>
                <w:rFonts w:cs="Arial"/>
                <w:sz w:val="18"/>
                <w:szCs w:val="18"/>
                <w:u w:color="000000"/>
              </w:rPr>
            </w:pPr>
            <w:r w:rsidRPr="003C1F3F">
              <w:rPr>
                <w:rFonts w:cs="Arial"/>
                <w:sz w:val="18"/>
                <w:szCs w:val="18"/>
                <w:u w:color="000000"/>
              </w:rPr>
              <w:t>Wine</w:t>
            </w:r>
          </w:p>
        </w:tc>
        <w:tc>
          <w:tcPr>
            <w:tcW w:w="7009" w:type="dxa"/>
            <w:tcBorders>
              <w:bottom w:val="single" w:sz="4" w:space="0" w:color="auto"/>
            </w:tcBorders>
          </w:tcPr>
          <w:p w:rsidR="00C01EEB" w:rsidRPr="003C1F3F" w:rsidRDefault="00C01EEB" w:rsidP="00271BBC">
            <w:pPr>
              <w:suppressAutoHyphens/>
              <w:spacing w:before="120"/>
              <w:jc w:val="right"/>
              <w:rPr>
                <w:rFonts w:cs="Arial"/>
                <w:sz w:val="18"/>
                <w:szCs w:val="18"/>
                <w:u w:color="000000"/>
              </w:rPr>
            </w:pPr>
            <w:r w:rsidRPr="003C1F3F">
              <w:rPr>
                <w:rFonts w:cs="Arial"/>
                <w:sz w:val="18"/>
                <w:szCs w:val="18"/>
                <w:u w:color="000000"/>
              </w:rPr>
              <w:t>China, United States, United Kingdom, Canada, Hong Kong, New Zealand, Singapore, Netherlands, Malaysia and Japan</w:t>
            </w:r>
          </w:p>
        </w:tc>
      </w:tr>
    </w:tbl>
    <w:p w:rsidR="00B139E6" w:rsidRDefault="00041226" w:rsidP="00041226">
      <w:pPr>
        <w:pStyle w:val="APVMAText"/>
      </w:pPr>
      <w:r>
        <w:t xml:space="preserve">The significant export markets for Australian beef, sheep, pig meat and offal are listed in the APVMA Regulatory Guidelines—Data Guidelines: Agricultural—Overseas trade (Part 5B). </w:t>
      </w:r>
    </w:p>
    <w:p w:rsidR="00914508" w:rsidRDefault="00914508">
      <w:pPr>
        <w:rPr>
          <w:rFonts w:ascii="Trebuchet MS" w:hAnsi="Trebuchet MS" w:cs="Arial"/>
          <w:b/>
          <w:color w:val="365860"/>
          <w:sz w:val="28"/>
          <w:szCs w:val="28"/>
          <w:u w:color="000000"/>
        </w:rPr>
      </w:pPr>
      <w:bookmarkStart w:id="12" w:name="_Toc231889746"/>
      <w:r>
        <w:br w:type="page"/>
      </w:r>
    </w:p>
    <w:p w:rsidR="000B63A6" w:rsidRDefault="00E44DCB" w:rsidP="00C01EEB">
      <w:pPr>
        <w:pStyle w:val="Heading2"/>
        <w:keepNext w:val="0"/>
        <w:keepLines w:val="0"/>
        <w:widowControl w:val="0"/>
        <w:suppressAutoHyphens w:val="0"/>
      </w:pPr>
      <w:bookmarkStart w:id="13" w:name="_Toc530137765"/>
      <w:r>
        <w:lastRenderedPageBreak/>
        <w:t>Proposed Australian use-pattern</w:t>
      </w:r>
      <w:bookmarkEnd w:id="12"/>
      <w:bookmarkEnd w:id="13"/>
    </w:p>
    <w:p w:rsidR="002238F1" w:rsidRDefault="008E52A7" w:rsidP="007B156E">
      <w:pPr>
        <w:pStyle w:val="APVMATableHead"/>
        <w:keepNext w:val="0"/>
        <w:keepLines w:val="0"/>
        <w:widowControl w:val="0"/>
        <w:suppressAutoHyphens w:val="0"/>
        <w:spacing w:before="240"/>
      </w:pPr>
      <w:r>
        <w:t xml:space="preserve">nufarm digger fungicide (250 </w:t>
      </w:r>
      <w:r w:rsidRPr="008E52A7">
        <w:rPr>
          <w:caps w:val="0"/>
        </w:rPr>
        <w:t>g</w:t>
      </w:r>
      <w:r>
        <w:t>/l difenoconazole)</w:t>
      </w:r>
    </w:p>
    <w:tbl>
      <w:tblPr>
        <w:tblW w:w="5000" w:type="pct"/>
        <w:tblBorders>
          <w:bottom w:val="dotted" w:sz="2" w:space="0" w:color="auto"/>
          <w:insideH w:val="dotted" w:sz="2" w:space="0" w:color="auto"/>
        </w:tblBorders>
        <w:tblLook w:val="0000" w:firstRow="0" w:lastRow="0" w:firstColumn="0" w:lastColumn="0" w:noHBand="0" w:noVBand="0"/>
      </w:tblPr>
      <w:tblGrid>
        <w:gridCol w:w="1303"/>
        <w:gridCol w:w="1224"/>
        <w:gridCol w:w="3244"/>
        <w:gridCol w:w="3867"/>
      </w:tblGrid>
      <w:tr w:rsidR="002238F1" w:rsidTr="002238F1">
        <w:trPr>
          <w:tblHeader/>
        </w:trPr>
        <w:tc>
          <w:tcPr>
            <w:tcW w:w="676" w:type="pct"/>
            <w:tcBorders>
              <w:bottom w:val="single" w:sz="4" w:space="0" w:color="auto"/>
            </w:tcBorders>
            <w:shd w:val="clear" w:color="auto" w:fill="E6E6E6"/>
            <w:vAlign w:val="bottom"/>
          </w:tcPr>
          <w:p w:rsidR="002238F1" w:rsidRDefault="002238F1" w:rsidP="00E5170C">
            <w:pPr>
              <w:pStyle w:val="APVMATableHead"/>
            </w:pPr>
            <w:r>
              <w:t>Crop</w:t>
            </w:r>
          </w:p>
        </w:tc>
        <w:tc>
          <w:tcPr>
            <w:tcW w:w="635" w:type="pct"/>
            <w:tcBorders>
              <w:bottom w:val="single" w:sz="4" w:space="0" w:color="auto"/>
            </w:tcBorders>
            <w:shd w:val="clear" w:color="auto" w:fill="E6E6E6"/>
            <w:vAlign w:val="bottom"/>
          </w:tcPr>
          <w:p w:rsidR="002238F1" w:rsidRDefault="002238F1" w:rsidP="00E5170C">
            <w:pPr>
              <w:pStyle w:val="APVMATableHead"/>
            </w:pPr>
            <w:r>
              <w:t>Pest</w:t>
            </w:r>
          </w:p>
        </w:tc>
        <w:tc>
          <w:tcPr>
            <w:tcW w:w="1683" w:type="pct"/>
            <w:tcBorders>
              <w:bottom w:val="single" w:sz="4" w:space="0" w:color="auto"/>
            </w:tcBorders>
            <w:shd w:val="clear" w:color="auto" w:fill="E6E6E6"/>
            <w:vAlign w:val="bottom"/>
          </w:tcPr>
          <w:p w:rsidR="002238F1" w:rsidRDefault="002238F1" w:rsidP="00E5170C">
            <w:pPr>
              <w:pStyle w:val="APVMATableHeadRight"/>
              <w:jc w:val="left"/>
            </w:pPr>
            <w:r>
              <w:t>Rate/ CONCENTRATION</w:t>
            </w:r>
          </w:p>
        </w:tc>
        <w:tc>
          <w:tcPr>
            <w:tcW w:w="2006" w:type="pct"/>
            <w:tcBorders>
              <w:bottom w:val="single" w:sz="4" w:space="0" w:color="auto"/>
            </w:tcBorders>
            <w:shd w:val="clear" w:color="auto" w:fill="E6E6E6"/>
          </w:tcPr>
          <w:p w:rsidR="002238F1" w:rsidRDefault="002238F1" w:rsidP="00E5170C">
            <w:pPr>
              <w:pStyle w:val="APVMATableHead"/>
            </w:pPr>
            <w:r>
              <w:t>Critical Comments</w:t>
            </w:r>
          </w:p>
        </w:tc>
      </w:tr>
      <w:tr w:rsidR="008E52A7" w:rsidTr="002238F1">
        <w:trPr>
          <w:cantSplit/>
        </w:trPr>
        <w:tc>
          <w:tcPr>
            <w:tcW w:w="676" w:type="pct"/>
            <w:tcBorders>
              <w:top w:val="single" w:sz="4" w:space="0" w:color="auto"/>
              <w:bottom w:val="single" w:sz="4" w:space="0" w:color="auto"/>
            </w:tcBorders>
          </w:tcPr>
          <w:p w:rsidR="008E52A7" w:rsidRPr="008E52A7" w:rsidRDefault="008E52A7" w:rsidP="008E52A7">
            <w:pPr>
              <w:rPr>
                <w:sz w:val="17"/>
                <w:szCs w:val="17"/>
              </w:rPr>
            </w:pPr>
            <w:r w:rsidRPr="008E52A7">
              <w:rPr>
                <w:sz w:val="17"/>
                <w:szCs w:val="17"/>
              </w:rPr>
              <w:t>Grapes</w:t>
            </w:r>
          </w:p>
          <w:p w:rsidR="008E52A7" w:rsidRPr="008E52A7" w:rsidRDefault="008E52A7" w:rsidP="008E52A7">
            <w:pPr>
              <w:rPr>
                <w:sz w:val="17"/>
                <w:szCs w:val="17"/>
              </w:rPr>
            </w:pPr>
            <w:r w:rsidRPr="008E52A7">
              <w:rPr>
                <w:sz w:val="17"/>
                <w:szCs w:val="17"/>
              </w:rPr>
              <w:t>- Including Table, Wine and dried</w:t>
            </w:r>
          </w:p>
        </w:tc>
        <w:tc>
          <w:tcPr>
            <w:tcW w:w="635" w:type="pct"/>
            <w:tcBorders>
              <w:top w:val="single" w:sz="4" w:space="0" w:color="auto"/>
              <w:bottom w:val="single" w:sz="4" w:space="0" w:color="auto"/>
            </w:tcBorders>
          </w:tcPr>
          <w:p w:rsidR="008E52A7" w:rsidRPr="008E52A7" w:rsidRDefault="008E52A7" w:rsidP="008E52A7">
            <w:pPr>
              <w:rPr>
                <w:sz w:val="17"/>
                <w:szCs w:val="17"/>
              </w:rPr>
            </w:pPr>
            <w:r w:rsidRPr="008E52A7">
              <w:rPr>
                <w:sz w:val="17"/>
                <w:szCs w:val="17"/>
              </w:rPr>
              <w:t xml:space="preserve">Powdery mildew </w:t>
            </w:r>
          </w:p>
          <w:p w:rsidR="008E52A7" w:rsidRPr="008E52A7" w:rsidRDefault="008E52A7" w:rsidP="008E52A7">
            <w:pPr>
              <w:rPr>
                <w:sz w:val="17"/>
                <w:szCs w:val="17"/>
              </w:rPr>
            </w:pPr>
            <w:r w:rsidRPr="008E52A7">
              <w:rPr>
                <w:sz w:val="17"/>
                <w:szCs w:val="17"/>
              </w:rPr>
              <w:t>(</w:t>
            </w:r>
            <w:proofErr w:type="spellStart"/>
            <w:r w:rsidRPr="008E52A7">
              <w:rPr>
                <w:sz w:val="17"/>
                <w:szCs w:val="17"/>
              </w:rPr>
              <w:t>Erysiphe</w:t>
            </w:r>
            <w:proofErr w:type="spellEnd"/>
            <w:r w:rsidRPr="008E52A7">
              <w:rPr>
                <w:sz w:val="17"/>
                <w:szCs w:val="17"/>
              </w:rPr>
              <w:t xml:space="preserve"> </w:t>
            </w:r>
            <w:proofErr w:type="spellStart"/>
            <w:r w:rsidRPr="008E52A7">
              <w:rPr>
                <w:sz w:val="17"/>
                <w:szCs w:val="17"/>
              </w:rPr>
              <w:t>necator</w:t>
            </w:r>
            <w:proofErr w:type="spellEnd"/>
            <w:r w:rsidRPr="008E52A7">
              <w:rPr>
                <w:sz w:val="17"/>
                <w:szCs w:val="17"/>
              </w:rPr>
              <w:t>)</w:t>
            </w:r>
          </w:p>
        </w:tc>
        <w:tc>
          <w:tcPr>
            <w:tcW w:w="1683" w:type="pct"/>
            <w:tcBorders>
              <w:top w:val="single" w:sz="4" w:space="0" w:color="auto"/>
              <w:bottom w:val="single" w:sz="4" w:space="0" w:color="auto"/>
            </w:tcBorders>
          </w:tcPr>
          <w:p w:rsidR="008E52A7" w:rsidRPr="008E52A7" w:rsidRDefault="008E52A7" w:rsidP="008E52A7">
            <w:pPr>
              <w:rPr>
                <w:sz w:val="17"/>
                <w:szCs w:val="17"/>
              </w:rPr>
            </w:pPr>
            <w:r w:rsidRPr="008E52A7">
              <w:rPr>
                <w:sz w:val="17"/>
                <w:szCs w:val="17"/>
              </w:rPr>
              <w:t>Dilute spraying:</w:t>
            </w:r>
          </w:p>
          <w:p w:rsidR="008E52A7" w:rsidRPr="008E52A7" w:rsidRDefault="008E52A7" w:rsidP="008E52A7">
            <w:pPr>
              <w:rPr>
                <w:sz w:val="17"/>
                <w:szCs w:val="17"/>
              </w:rPr>
            </w:pPr>
            <w:r w:rsidRPr="008E52A7">
              <w:rPr>
                <w:sz w:val="17"/>
                <w:szCs w:val="17"/>
              </w:rPr>
              <w:t>25 mL/100L</w:t>
            </w:r>
          </w:p>
          <w:p w:rsidR="008E52A7" w:rsidRPr="008E52A7" w:rsidRDefault="008E52A7" w:rsidP="008E52A7">
            <w:pPr>
              <w:rPr>
                <w:sz w:val="17"/>
                <w:szCs w:val="17"/>
              </w:rPr>
            </w:pPr>
          </w:p>
          <w:p w:rsidR="008E52A7" w:rsidRPr="008E52A7" w:rsidRDefault="008E52A7" w:rsidP="008E52A7">
            <w:pPr>
              <w:rPr>
                <w:sz w:val="17"/>
                <w:szCs w:val="17"/>
              </w:rPr>
            </w:pPr>
            <w:r w:rsidRPr="008E52A7">
              <w:rPr>
                <w:sz w:val="17"/>
                <w:szCs w:val="17"/>
              </w:rPr>
              <w:t xml:space="preserve">(6.25 g </w:t>
            </w:r>
            <w:proofErr w:type="spellStart"/>
            <w:r w:rsidRPr="008E52A7">
              <w:rPr>
                <w:sz w:val="17"/>
                <w:szCs w:val="17"/>
              </w:rPr>
              <w:t>ai</w:t>
            </w:r>
            <w:proofErr w:type="spellEnd"/>
            <w:r w:rsidRPr="008E52A7">
              <w:rPr>
                <w:sz w:val="17"/>
                <w:szCs w:val="17"/>
              </w:rPr>
              <w:t xml:space="preserve">/100L) </w:t>
            </w:r>
          </w:p>
          <w:p w:rsidR="008E52A7" w:rsidRPr="008E52A7" w:rsidRDefault="008E52A7" w:rsidP="008E52A7">
            <w:pPr>
              <w:rPr>
                <w:sz w:val="17"/>
                <w:szCs w:val="17"/>
              </w:rPr>
            </w:pPr>
          </w:p>
          <w:p w:rsidR="008E52A7" w:rsidRPr="008E52A7" w:rsidRDefault="008E52A7" w:rsidP="008E52A7">
            <w:pPr>
              <w:rPr>
                <w:sz w:val="17"/>
                <w:szCs w:val="17"/>
              </w:rPr>
            </w:pPr>
            <w:r w:rsidRPr="008E52A7">
              <w:rPr>
                <w:sz w:val="17"/>
                <w:szCs w:val="17"/>
              </w:rPr>
              <w:t>Concentrate spraying:</w:t>
            </w:r>
          </w:p>
          <w:p w:rsidR="008E52A7" w:rsidRPr="008E52A7" w:rsidRDefault="008E52A7" w:rsidP="008E52A7">
            <w:pPr>
              <w:rPr>
                <w:sz w:val="17"/>
                <w:szCs w:val="17"/>
              </w:rPr>
            </w:pPr>
            <w:r w:rsidRPr="008E52A7">
              <w:rPr>
                <w:sz w:val="17"/>
                <w:szCs w:val="17"/>
              </w:rPr>
              <w:t>Refer to the Application section</w:t>
            </w:r>
          </w:p>
        </w:tc>
        <w:tc>
          <w:tcPr>
            <w:tcW w:w="2006" w:type="pct"/>
            <w:tcBorders>
              <w:top w:val="single" w:sz="4" w:space="0" w:color="auto"/>
              <w:bottom w:val="single" w:sz="4" w:space="0" w:color="auto"/>
            </w:tcBorders>
          </w:tcPr>
          <w:p w:rsidR="008E52A7" w:rsidRPr="008E52A7" w:rsidRDefault="008E52A7" w:rsidP="008E52A7">
            <w:pPr>
              <w:rPr>
                <w:sz w:val="17"/>
                <w:szCs w:val="17"/>
              </w:rPr>
            </w:pPr>
            <w:r w:rsidRPr="008E52A7">
              <w:rPr>
                <w:sz w:val="17"/>
                <w:szCs w:val="17"/>
              </w:rPr>
              <w:t>Apply as part of a five spray programme:</w:t>
            </w:r>
          </w:p>
          <w:p w:rsidR="008E52A7" w:rsidRPr="008E52A7" w:rsidRDefault="008E52A7" w:rsidP="008E52A7">
            <w:pPr>
              <w:rPr>
                <w:sz w:val="17"/>
                <w:szCs w:val="17"/>
              </w:rPr>
            </w:pPr>
            <w:r w:rsidRPr="008E52A7">
              <w:rPr>
                <w:sz w:val="17"/>
                <w:szCs w:val="17"/>
              </w:rPr>
              <w:t>When shoots are 10-20 cm long.</w:t>
            </w:r>
          </w:p>
          <w:p w:rsidR="008E52A7" w:rsidRPr="008E52A7" w:rsidRDefault="008E52A7" w:rsidP="008E52A7">
            <w:pPr>
              <w:rPr>
                <w:sz w:val="17"/>
                <w:szCs w:val="17"/>
              </w:rPr>
            </w:pPr>
            <w:r w:rsidRPr="008E52A7">
              <w:rPr>
                <w:sz w:val="17"/>
                <w:szCs w:val="17"/>
              </w:rPr>
              <w:t>Pre-flowering.</w:t>
            </w:r>
          </w:p>
          <w:p w:rsidR="008E52A7" w:rsidRPr="008E52A7" w:rsidRDefault="008E52A7" w:rsidP="008E52A7">
            <w:pPr>
              <w:rPr>
                <w:sz w:val="17"/>
                <w:szCs w:val="17"/>
              </w:rPr>
            </w:pPr>
            <w:r w:rsidRPr="008E52A7">
              <w:rPr>
                <w:sz w:val="17"/>
                <w:szCs w:val="17"/>
              </w:rPr>
              <w:t>Flowering</w:t>
            </w:r>
          </w:p>
          <w:p w:rsidR="008E52A7" w:rsidRPr="008E52A7" w:rsidRDefault="008E52A7" w:rsidP="008E52A7">
            <w:pPr>
              <w:rPr>
                <w:sz w:val="17"/>
                <w:szCs w:val="17"/>
              </w:rPr>
            </w:pPr>
            <w:r w:rsidRPr="008E52A7">
              <w:rPr>
                <w:sz w:val="17"/>
                <w:szCs w:val="17"/>
              </w:rPr>
              <w:t>After fruit set.</w:t>
            </w:r>
          </w:p>
          <w:p w:rsidR="008E52A7" w:rsidRPr="008E52A7" w:rsidRDefault="008E52A7" w:rsidP="008E52A7">
            <w:pPr>
              <w:rPr>
                <w:sz w:val="17"/>
                <w:szCs w:val="17"/>
              </w:rPr>
            </w:pPr>
            <w:r w:rsidRPr="008E52A7">
              <w:rPr>
                <w:sz w:val="17"/>
                <w:szCs w:val="17"/>
              </w:rPr>
              <w:t>Before bunch closure.</w:t>
            </w:r>
          </w:p>
          <w:p w:rsidR="008E52A7" w:rsidRPr="008E52A7" w:rsidRDefault="008E52A7" w:rsidP="008E52A7">
            <w:pPr>
              <w:rPr>
                <w:sz w:val="17"/>
                <w:szCs w:val="17"/>
              </w:rPr>
            </w:pPr>
            <w:r w:rsidRPr="008E52A7">
              <w:rPr>
                <w:sz w:val="17"/>
                <w:szCs w:val="17"/>
              </w:rPr>
              <w:t xml:space="preserve">Do not allow spray intervals to exceed 21 days.  In some seasons, additional non-schedule sprays may be necessary later in the season. </w:t>
            </w:r>
          </w:p>
          <w:p w:rsidR="008E52A7" w:rsidRPr="008E52A7" w:rsidRDefault="008E52A7" w:rsidP="008E52A7">
            <w:pPr>
              <w:rPr>
                <w:sz w:val="17"/>
                <w:szCs w:val="17"/>
              </w:rPr>
            </w:pPr>
          </w:p>
          <w:p w:rsidR="008E52A7" w:rsidRPr="008E52A7" w:rsidRDefault="008E52A7" w:rsidP="008E52A7">
            <w:pPr>
              <w:rPr>
                <w:sz w:val="17"/>
                <w:szCs w:val="17"/>
              </w:rPr>
            </w:pPr>
            <w:r w:rsidRPr="008E52A7">
              <w:rPr>
                <w:sz w:val="17"/>
                <w:szCs w:val="17"/>
              </w:rPr>
              <w:t xml:space="preserve">This use is subject to a </w:t>
            </w:r>
            <w:proofErr w:type="spellStart"/>
            <w:r w:rsidRPr="008E52A7">
              <w:rPr>
                <w:sz w:val="17"/>
                <w:szCs w:val="17"/>
              </w:rPr>
              <w:t>CropLife</w:t>
            </w:r>
            <w:proofErr w:type="spellEnd"/>
            <w:r w:rsidRPr="008E52A7">
              <w:rPr>
                <w:sz w:val="17"/>
                <w:szCs w:val="17"/>
              </w:rPr>
              <w:t xml:space="preserve"> Australia Fungicide Resistance Management Strategy: </w:t>
            </w:r>
          </w:p>
          <w:p w:rsidR="008E52A7" w:rsidRPr="008E52A7" w:rsidRDefault="008E52A7" w:rsidP="008E52A7">
            <w:pPr>
              <w:rPr>
                <w:sz w:val="17"/>
                <w:szCs w:val="17"/>
              </w:rPr>
            </w:pPr>
            <w:r w:rsidRPr="008E52A7">
              <w:rPr>
                <w:sz w:val="17"/>
                <w:szCs w:val="17"/>
              </w:rPr>
              <w:t xml:space="preserve">DO NOT apply more than two consecutive sprays of a Group 3 fungicide. </w:t>
            </w:r>
          </w:p>
          <w:p w:rsidR="008E52A7" w:rsidRPr="008E52A7" w:rsidRDefault="008E52A7" w:rsidP="008E52A7">
            <w:pPr>
              <w:rPr>
                <w:sz w:val="17"/>
                <w:szCs w:val="17"/>
              </w:rPr>
            </w:pPr>
            <w:r w:rsidRPr="008E52A7">
              <w:rPr>
                <w:sz w:val="17"/>
                <w:szCs w:val="17"/>
              </w:rPr>
              <w:t xml:space="preserve">DO NOT apply more than three Group 3 sprays per season. </w:t>
            </w:r>
          </w:p>
          <w:p w:rsidR="008E52A7" w:rsidRPr="008E52A7" w:rsidRDefault="008E52A7" w:rsidP="008E52A7">
            <w:pPr>
              <w:rPr>
                <w:sz w:val="17"/>
                <w:szCs w:val="17"/>
              </w:rPr>
            </w:pPr>
            <w:r w:rsidRPr="008E52A7">
              <w:rPr>
                <w:sz w:val="17"/>
                <w:szCs w:val="17"/>
              </w:rPr>
              <w:t xml:space="preserve">DO NOT use Group 3 fungicides curatively. </w:t>
            </w:r>
          </w:p>
          <w:p w:rsidR="008E52A7" w:rsidRPr="008E52A7" w:rsidRDefault="008E52A7" w:rsidP="008E52A7">
            <w:pPr>
              <w:rPr>
                <w:sz w:val="17"/>
                <w:szCs w:val="17"/>
              </w:rPr>
            </w:pPr>
          </w:p>
          <w:p w:rsidR="008E52A7" w:rsidRDefault="008E52A7" w:rsidP="008E52A7">
            <w:pPr>
              <w:rPr>
                <w:sz w:val="17"/>
                <w:szCs w:val="17"/>
              </w:rPr>
            </w:pPr>
            <w:r w:rsidRPr="008E52A7">
              <w:rPr>
                <w:sz w:val="17"/>
                <w:szCs w:val="17"/>
              </w:rPr>
              <w:t xml:space="preserve">Apply by dilute or concentrate spraying equipment.  Apply the same total amount of product to the target crop whether applying this product by dilute or concentrate spraying methods.  Do not use in equipment that requires rates greater than 125mL of chemical/100L water (5x).  </w:t>
            </w:r>
          </w:p>
          <w:p w:rsidR="00D42C43" w:rsidRPr="008E52A7" w:rsidRDefault="00D42C43" w:rsidP="008E52A7">
            <w:pPr>
              <w:rPr>
                <w:sz w:val="17"/>
                <w:szCs w:val="17"/>
              </w:rPr>
            </w:pPr>
          </w:p>
          <w:p w:rsidR="008E52A7" w:rsidRPr="008E52A7" w:rsidRDefault="008E52A7" w:rsidP="008E52A7">
            <w:pPr>
              <w:rPr>
                <w:sz w:val="17"/>
                <w:szCs w:val="17"/>
              </w:rPr>
            </w:pPr>
            <w:r w:rsidRPr="008E52A7">
              <w:rPr>
                <w:sz w:val="17"/>
                <w:szCs w:val="17"/>
              </w:rPr>
              <w:t>Do not apply in volumes less than 250L/ha.</w:t>
            </w:r>
          </w:p>
        </w:tc>
      </w:tr>
    </w:tbl>
    <w:p w:rsidR="001C656F" w:rsidRDefault="00914508" w:rsidP="001C656F">
      <w:pPr>
        <w:spacing w:before="120" w:after="120"/>
      </w:pPr>
      <w:r>
        <w:t>Restraints:</w:t>
      </w:r>
    </w:p>
    <w:p w:rsidR="001C656F" w:rsidRDefault="001C656F" w:rsidP="001C656F">
      <w:pPr>
        <w:spacing w:before="120" w:after="120"/>
      </w:pPr>
      <w:r>
        <w:t xml:space="preserve">DO NOT apply more than the number of applications of Digger per season as indicated in the Critical </w:t>
      </w:r>
      <w:r w:rsidR="00914508">
        <w:t>Comments for the relevant crop.</w:t>
      </w:r>
    </w:p>
    <w:p w:rsidR="001C656F" w:rsidRDefault="001C656F" w:rsidP="001C656F">
      <w:pPr>
        <w:spacing w:before="120" w:after="120"/>
      </w:pPr>
      <w:r>
        <w:t>The effect of Digger could be diminished if rain falls</w:t>
      </w:r>
      <w:r w:rsidR="00914508">
        <w:t xml:space="preserve"> within 2 hours of application.</w:t>
      </w:r>
    </w:p>
    <w:p w:rsidR="001C656F" w:rsidRDefault="001C656F" w:rsidP="001C656F">
      <w:pPr>
        <w:spacing w:before="120" w:after="120"/>
      </w:pPr>
      <w:r>
        <w:t>DO NOT a</w:t>
      </w:r>
      <w:r w:rsidR="00914508">
        <w:t>pply by aircraft to grapevines.</w:t>
      </w:r>
    </w:p>
    <w:p w:rsidR="002238F1" w:rsidRDefault="002238F1" w:rsidP="002238F1">
      <w:pPr>
        <w:pStyle w:val="APVMAText"/>
      </w:pPr>
      <w:r>
        <w:t>Withholding periods:</w:t>
      </w:r>
    </w:p>
    <w:p w:rsidR="008E52A7" w:rsidRDefault="002238F1" w:rsidP="008E52A7">
      <w:pPr>
        <w:spacing w:before="120" w:after="120"/>
      </w:pPr>
      <w:r>
        <w:t xml:space="preserve">Harvest: </w:t>
      </w:r>
      <w:r>
        <w:tab/>
      </w:r>
      <w:r w:rsidR="001C656F">
        <w:t xml:space="preserve">DO NOT </w:t>
      </w:r>
      <w:r w:rsidR="008E52A7">
        <w:t xml:space="preserve">harvest for 4 </w:t>
      </w:r>
      <w:r w:rsidR="00914508">
        <w:t>weeks after application.</w:t>
      </w:r>
    </w:p>
    <w:p w:rsidR="002238F1" w:rsidRDefault="008E52A7" w:rsidP="002238F1">
      <w:r>
        <w:t xml:space="preserve">Grazing: </w:t>
      </w:r>
      <w:r>
        <w:tab/>
      </w:r>
      <w:r w:rsidR="001C656F" w:rsidRPr="001C656F">
        <w:t>DO NOT allow livestock to graze treated vineyards</w:t>
      </w:r>
      <w:r w:rsidR="001C656F">
        <w:t xml:space="preserve"> for 2 days after application. L</w:t>
      </w:r>
      <w:r w:rsidR="001C656F" w:rsidRPr="001C656F">
        <w:t>ivestock used for grazing inter-rows or leaf plucking must then not be sent for slaughter until 6 weeks after removal from the vineyard.</w:t>
      </w:r>
    </w:p>
    <w:p w:rsidR="001C656F" w:rsidRDefault="002238F1">
      <w:pPr>
        <w:pStyle w:val="APVMAText"/>
      </w:pPr>
      <w:r>
        <w:t>Trade advice:</w:t>
      </w:r>
      <w:r w:rsidR="008E52A7">
        <w:t xml:space="preserve"> </w:t>
      </w:r>
      <w:r w:rsidR="001C656F">
        <w:t xml:space="preserve"> </w:t>
      </w:r>
      <w:r w:rsidR="008E52A7" w:rsidRPr="008E52A7">
        <w:t>EXPORT OF TREATED FRUIT OR WINE</w:t>
      </w:r>
    </w:p>
    <w:p w:rsidR="008E52A7" w:rsidRDefault="008E52A7">
      <w:pPr>
        <w:pStyle w:val="APVMAText"/>
      </w:pPr>
      <w:r w:rsidRPr="008E52A7">
        <w:t xml:space="preserve">Growers should note that suitable MRLs or import tolerances may not be established in all markets for produce treated with Digger. Additionally, some export markets have established MRLs different to those in Australia. If growing fruit for export (either fresh, dried or for wine production) please check with your industry representative or </w:t>
      </w:r>
      <w:proofErr w:type="spellStart"/>
      <w:r w:rsidRPr="008E52A7">
        <w:t>Nufarm</w:t>
      </w:r>
      <w:proofErr w:type="spellEnd"/>
      <w:r w:rsidRPr="008E52A7">
        <w:t xml:space="preserve"> Australia Ltd. If growing wine grapes, contact the Australian Wine Research Institute www.awri.com.au for the latest information on MRLs and overseas import tolerances BEFORE using Digger</w:t>
      </w:r>
      <w:r w:rsidRPr="007147B7">
        <w:t>.</w:t>
      </w:r>
    </w:p>
    <w:p w:rsidR="000B63A6" w:rsidRDefault="00E44DCB">
      <w:pPr>
        <w:pStyle w:val="Heading2"/>
      </w:pPr>
      <w:bookmarkStart w:id="14" w:name="_Toc231889747"/>
      <w:bookmarkStart w:id="15" w:name="_Toc530137766"/>
      <w:r>
        <w:lastRenderedPageBreak/>
        <w:t>Results from residues trials presented to the APVMA</w:t>
      </w:r>
      <w:bookmarkEnd w:id="14"/>
      <w:bookmarkEnd w:id="15"/>
    </w:p>
    <w:p w:rsidR="007B156E" w:rsidRPr="007B156E" w:rsidRDefault="007B156E" w:rsidP="009B65B1">
      <w:pPr>
        <w:pStyle w:val="BODYTEXT"/>
        <w:widowControl w:val="0"/>
        <w:spacing w:before="240" w:after="120" w:line="280" w:lineRule="exact"/>
        <w:rPr>
          <w:rFonts w:ascii="Arial" w:hAnsi="Arial" w:cs="Arial"/>
          <w:sz w:val="20"/>
        </w:rPr>
      </w:pPr>
      <w:r w:rsidRPr="007B156E">
        <w:rPr>
          <w:rFonts w:ascii="Arial" w:hAnsi="Arial" w:cs="Arial"/>
          <w:sz w:val="20"/>
        </w:rPr>
        <w:t xml:space="preserve">The proposed use allows a maximum of three applications at 6.25 g </w:t>
      </w:r>
      <w:proofErr w:type="spellStart"/>
      <w:r w:rsidRPr="007B156E">
        <w:rPr>
          <w:rFonts w:ascii="Arial" w:hAnsi="Arial" w:cs="Arial"/>
          <w:sz w:val="20"/>
        </w:rPr>
        <w:t>ai</w:t>
      </w:r>
      <w:proofErr w:type="spellEnd"/>
      <w:r w:rsidRPr="007B156E">
        <w:rPr>
          <w:rFonts w:ascii="Arial" w:hAnsi="Arial" w:cs="Arial"/>
          <w:sz w:val="20"/>
        </w:rPr>
        <w:t>/100L on wine grapes with</w:t>
      </w:r>
      <w:r w:rsidR="00FA16F9">
        <w:rPr>
          <w:rFonts w:ascii="Arial" w:hAnsi="Arial" w:cs="Arial"/>
          <w:sz w:val="20"/>
        </w:rPr>
        <w:t xml:space="preserve"> a</w:t>
      </w:r>
      <w:r w:rsidRPr="007B156E">
        <w:rPr>
          <w:rFonts w:ascii="Arial" w:hAnsi="Arial" w:cs="Arial"/>
          <w:sz w:val="20"/>
        </w:rPr>
        <w:t xml:space="preserve"> harvest </w:t>
      </w:r>
      <w:r w:rsidR="001C656F">
        <w:rPr>
          <w:rFonts w:ascii="Arial" w:hAnsi="Arial" w:cs="Arial"/>
          <w:sz w:val="20"/>
        </w:rPr>
        <w:t xml:space="preserve">withholding period of </w:t>
      </w:r>
      <w:r w:rsidRPr="007B156E">
        <w:rPr>
          <w:rFonts w:ascii="Arial" w:hAnsi="Arial" w:cs="Arial"/>
          <w:sz w:val="20"/>
        </w:rPr>
        <w:t>4 weeks.</w:t>
      </w:r>
    </w:p>
    <w:p w:rsidR="007B156E" w:rsidRPr="007B156E" w:rsidRDefault="007B156E" w:rsidP="009B65B1">
      <w:pPr>
        <w:pStyle w:val="BODYTEXT"/>
        <w:widowControl w:val="0"/>
        <w:spacing w:before="240" w:after="120" w:line="280" w:lineRule="exact"/>
        <w:rPr>
          <w:rFonts w:ascii="Arial" w:hAnsi="Arial" w:cs="Arial"/>
          <w:sz w:val="20"/>
        </w:rPr>
      </w:pPr>
      <w:r w:rsidRPr="007B156E">
        <w:rPr>
          <w:rFonts w:ascii="Arial" w:hAnsi="Arial" w:cs="Arial"/>
          <w:sz w:val="20"/>
        </w:rPr>
        <w:t>I</w:t>
      </w:r>
      <w:r w:rsidR="00B121F6">
        <w:rPr>
          <w:rFonts w:ascii="Arial" w:hAnsi="Arial" w:cs="Arial"/>
          <w:sz w:val="20"/>
        </w:rPr>
        <w:t xml:space="preserve">n support of the proposed use, </w:t>
      </w:r>
      <w:r w:rsidRPr="007B156E">
        <w:rPr>
          <w:rFonts w:ascii="Arial" w:hAnsi="Arial" w:cs="Arial"/>
          <w:sz w:val="20"/>
        </w:rPr>
        <w:t xml:space="preserve">six Australian GLP residue trials conducted </w:t>
      </w:r>
      <w:r w:rsidR="00B121F6">
        <w:rPr>
          <w:rFonts w:ascii="Arial" w:hAnsi="Arial" w:cs="Arial"/>
          <w:sz w:val="20"/>
        </w:rPr>
        <w:t xml:space="preserve">according </w:t>
      </w:r>
      <w:r w:rsidRPr="007B156E">
        <w:rPr>
          <w:rFonts w:ascii="Arial" w:hAnsi="Arial" w:cs="Arial"/>
          <w:sz w:val="20"/>
        </w:rPr>
        <w:t xml:space="preserve">to GAP </w:t>
      </w:r>
      <w:r w:rsidR="00B121F6">
        <w:rPr>
          <w:rFonts w:ascii="Arial" w:hAnsi="Arial" w:cs="Arial"/>
          <w:sz w:val="20"/>
        </w:rPr>
        <w:t>were assessed. Four of the trials investigated</w:t>
      </w:r>
      <w:r w:rsidR="00B121F6" w:rsidRPr="007B156E">
        <w:rPr>
          <w:rFonts w:ascii="Arial" w:hAnsi="Arial" w:cs="Arial"/>
          <w:sz w:val="20"/>
        </w:rPr>
        <w:t xml:space="preserve"> difenoconazole</w:t>
      </w:r>
      <w:r w:rsidRPr="007B156E">
        <w:rPr>
          <w:rFonts w:ascii="Arial" w:hAnsi="Arial" w:cs="Arial"/>
          <w:sz w:val="20"/>
        </w:rPr>
        <w:t xml:space="preserve"> residues </w:t>
      </w:r>
      <w:r w:rsidR="00B121F6">
        <w:rPr>
          <w:rFonts w:ascii="Arial" w:hAnsi="Arial" w:cs="Arial"/>
          <w:sz w:val="20"/>
        </w:rPr>
        <w:t>in grapes</w:t>
      </w:r>
      <w:r w:rsidRPr="007B156E">
        <w:rPr>
          <w:rFonts w:ascii="Arial" w:hAnsi="Arial" w:cs="Arial"/>
          <w:sz w:val="20"/>
        </w:rPr>
        <w:t xml:space="preserve">, wine, juice and pomace. </w:t>
      </w:r>
    </w:p>
    <w:p w:rsidR="007B156E" w:rsidRPr="007B156E" w:rsidRDefault="007B156E" w:rsidP="009B65B1">
      <w:pPr>
        <w:pStyle w:val="BODYTEXT"/>
        <w:widowControl w:val="0"/>
        <w:spacing w:before="240" w:after="120" w:line="280" w:lineRule="exact"/>
        <w:rPr>
          <w:rFonts w:ascii="Arial" w:hAnsi="Arial" w:cs="Arial"/>
          <w:sz w:val="20"/>
        </w:rPr>
      </w:pPr>
      <w:r w:rsidRPr="007B156E">
        <w:rPr>
          <w:rFonts w:ascii="Arial" w:hAnsi="Arial" w:cs="Arial"/>
          <w:sz w:val="20"/>
        </w:rPr>
        <w:t xml:space="preserve">Residues of difenoconazole in grapes at the proposed rate and withholding period of 28 days were (n = 6): 0.18, 0.19, 0.42, 0.66, 0.71 and 1.0 mg/kg. At 2× the proposed </w:t>
      </w:r>
      <w:r w:rsidR="00271BBC">
        <w:rPr>
          <w:rFonts w:ascii="Arial" w:hAnsi="Arial" w:cs="Arial"/>
          <w:sz w:val="20"/>
        </w:rPr>
        <w:t>rate</w:t>
      </w:r>
      <w:r w:rsidRPr="007B156E">
        <w:rPr>
          <w:rFonts w:ascii="Arial" w:hAnsi="Arial" w:cs="Arial"/>
          <w:sz w:val="20"/>
        </w:rPr>
        <w:t>, the highest residue reported after 28 days was 1.6 mg/kg.</w:t>
      </w:r>
    </w:p>
    <w:p w:rsidR="007B156E" w:rsidRPr="007B156E" w:rsidRDefault="007B156E" w:rsidP="009B65B1">
      <w:pPr>
        <w:pStyle w:val="BODYTEXT"/>
        <w:widowControl w:val="0"/>
        <w:spacing w:before="240" w:after="120" w:line="280" w:lineRule="exact"/>
        <w:rPr>
          <w:rFonts w:ascii="Arial" w:hAnsi="Arial" w:cs="Arial"/>
          <w:sz w:val="20"/>
        </w:rPr>
      </w:pPr>
      <w:r w:rsidRPr="007B156E">
        <w:rPr>
          <w:rFonts w:ascii="Arial" w:hAnsi="Arial" w:cs="Arial"/>
          <w:sz w:val="20"/>
        </w:rPr>
        <w:t>Supporting data from the 2007 JMPR on wine grapes in France and Italy was also considered. The highest residue of 0.07 mg/kg was reported for samples taken at 28 days after 4 applications at 0.8× the proposed concentration and similar spray volumes to those used in Australia.</w:t>
      </w:r>
    </w:p>
    <w:p w:rsidR="007B156E" w:rsidRPr="007B156E" w:rsidRDefault="007B156E" w:rsidP="009B65B1">
      <w:pPr>
        <w:pStyle w:val="BODYTEXT"/>
        <w:widowControl w:val="0"/>
        <w:spacing w:before="240" w:after="120" w:line="280" w:lineRule="exact"/>
        <w:rPr>
          <w:rFonts w:ascii="Arial" w:hAnsi="Arial" w:cs="Arial"/>
          <w:sz w:val="20"/>
        </w:rPr>
      </w:pPr>
      <w:r w:rsidRPr="007B156E">
        <w:rPr>
          <w:rFonts w:ascii="Arial" w:hAnsi="Arial" w:cs="Arial"/>
          <w:sz w:val="20"/>
        </w:rPr>
        <w:t xml:space="preserve">In wine, difenoconazole residues from grapes treated with 1x the proposed concentration with a 28 day PHI were &lt;0.005 (2), 0.010 and 0.013 mg/kg. The processing factors from these trials in wine were ≤0.03×. Based on the HR of </w:t>
      </w:r>
      <w:r w:rsidR="007E78E9">
        <w:rPr>
          <w:rFonts w:ascii="Arial" w:hAnsi="Arial" w:cs="Arial"/>
          <w:sz w:val="20"/>
        </w:rPr>
        <w:t>1.0</w:t>
      </w:r>
      <w:r w:rsidRPr="007B156E">
        <w:rPr>
          <w:rFonts w:ascii="Arial" w:hAnsi="Arial" w:cs="Arial"/>
          <w:sz w:val="20"/>
        </w:rPr>
        <w:t xml:space="preserve"> mg/kg, the HR-P for wine is ~0.03 mg/kg. As residues should not concentrate in wine, a separate MRL is not required.</w:t>
      </w:r>
    </w:p>
    <w:p w:rsidR="007B156E" w:rsidRPr="007B156E" w:rsidRDefault="007B156E" w:rsidP="009B65B1">
      <w:pPr>
        <w:pStyle w:val="BODYTEXT"/>
        <w:widowControl w:val="0"/>
        <w:spacing w:before="240" w:after="120" w:line="280" w:lineRule="exact"/>
        <w:rPr>
          <w:rFonts w:ascii="Arial" w:hAnsi="Arial" w:cs="Arial"/>
          <w:sz w:val="20"/>
        </w:rPr>
      </w:pPr>
      <w:r w:rsidRPr="007B156E">
        <w:rPr>
          <w:rFonts w:ascii="Arial" w:hAnsi="Arial" w:cs="Arial"/>
          <w:sz w:val="20"/>
        </w:rPr>
        <w:t xml:space="preserve">In grape juice, difenoconazole residues from grapes treated with 1x the proposed concentration with a 28 day PHI were 0.006, 0.009, 0.015 (2) mg/kg. The processing factors from these trials in juice were ≤0.04×. Based on the HR of </w:t>
      </w:r>
      <w:r w:rsidR="007E78E9">
        <w:rPr>
          <w:rFonts w:ascii="Arial" w:hAnsi="Arial" w:cs="Arial"/>
          <w:sz w:val="20"/>
        </w:rPr>
        <w:t>1.0</w:t>
      </w:r>
      <w:r w:rsidRPr="007B156E">
        <w:rPr>
          <w:rFonts w:ascii="Arial" w:hAnsi="Arial" w:cs="Arial"/>
          <w:sz w:val="20"/>
        </w:rPr>
        <w:t xml:space="preserve"> mg/kg, the HR-P for juice is ~0.04 mg/kg. As residues should not concentrate in juice, a separate MRL is not required.</w:t>
      </w:r>
    </w:p>
    <w:p w:rsidR="006A6A89" w:rsidRDefault="007B156E" w:rsidP="009B65B1">
      <w:pPr>
        <w:pStyle w:val="BODYTEXT"/>
        <w:widowControl w:val="0"/>
        <w:spacing w:before="240" w:after="120" w:line="280" w:lineRule="exact"/>
        <w:rPr>
          <w:rFonts w:ascii="Arial" w:hAnsi="Arial" w:cs="Arial"/>
          <w:sz w:val="20"/>
        </w:rPr>
      </w:pPr>
      <w:r w:rsidRPr="007B156E">
        <w:rPr>
          <w:rFonts w:ascii="Arial" w:hAnsi="Arial" w:cs="Arial"/>
          <w:sz w:val="20"/>
        </w:rPr>
        <w:t>In dry grape pomace, difenoconazole residues from grapes treated with 1x the proposed concentration with a 28 day PHI were 0.19, 1.4, 2.2 and 3.4 mg/kg. The processing factors from these trials in dry po</w:t>
      </w:r>
      <w:r w:rsidR="006A3B1A">
        <w:rPr>
          <w:rFonts w:ascii="Arial" w:hAnsi="Arial" w:cs="Arial"/>
          <w:sz w:val="20"/>
        </w:rPr>
        <w:t>mace were 4.1, 4.7, 5.4 and 8.2x</w:t>
      </w:r>
      <w:r w:rsidRPr="007B156E">
        <w:rPr>
          <w:rFonts w:ascii="Arial" w:hAnsi="Arial" w:cs="Arial"/>
          <w:sz w:val="20"/>
        </w:rPr>
        <w:t xml:space="preserve"> (median = 5.1×). Based on the highest residue in grapes (</w:t>
      </w:r>
      <w:r w:rsidR="007E78E9">
        <w:rPr>
          <w:rFonts w:ascii="Arial" w:hAnsi="Arial" w:cs="Arial"/>
          <w:sz w:val="20"/>
        </w:rPr>
        <w:t>1.0</w:t>
      </w:r>
      <w:r w:rsidRPr="007B156E">
        <w:rPr>
          <w:rFonts w:ascii="Arial" w:hAnsi="Arial" w:cs="Arial"/>
          <w:sz w:val="20"/>
        </w:rPr>
        <w:t xml:space="preserve"> mg/kg), and the highest dry grape</w:t>
      </w:r>
      <w:r w:rsidR="006A3B1A">
        <w:rPr>
          <w:rFonts w:ascii="Arial" w:hAnsi="Arial" w:cs="Arial"/>
          <w:sz w:val="20"/>
        </w:rPr>
        <w:t xml:space="preserve"> pomace processing factor of 8.2x</w:t>
      </w:r>
      <w:r w:rsidRPr="007B156E">
        <w:rPr>
          <w:rFonts w:ascii="Arial" w:hAnsi="Arial" w:cs="Arial"/>
          <w:sz w:val="20"/>
        </w:rPr>
        <w:t>, the highest predicted residue value (</w:t>
      </w:r>
      <w:r w:rsidR="006A3B1A">
        <w:rPr>
          <w:rFonts w:ascii="Arial" w:hAnsi="Arial" w:cs="Arial"/>
          <w:sz w:val="20"/>
        </w:rPr>
        <w:t>HR-P) in dry grape pomace was 8.2</w:t>
      </w:r>
      <w:r w:rsidRPr="007B156E">
        <w:rPr>
          <w:rFonts w:ascii="Arial" w:hAnsi="Arial" w:cs="Arial"/>
          <w:sz w:val="20"/>
        </w:rPr>
        <w:t xml:space="preserve"> mg/kg and therefore a MRL for grape </w:t>
      </w:r>
      <w:r w:rsidR="00914508">
        <w:rPr>
          <w:rFonts w:ascii="Arial" w:hAnsi="Arial" w:cs="Arial"/>
          <w:sz w:val="20"/>
        </w:rPr>
        <w:t>pomace at 10 mg/kg is proposed.</w:t>
      </w:r>
    </w:p>
    <w:p w:rsidR="006A6A89" w:rsidRDefault="006A6A89" w:rsidP="009B65B1">
      <w:pPr>
        <w:pStyle w:val="BODYTEXT"/>
        <w:widowControl w:val="0"/>
        <w:spacing w:before="240" w:after="120" w:line="280" w:lineRule="exact"/>
        <w:rPr>
          <w:rFonts w:ascii="Arial" w:hAnsi="Arial" w:cs="Arial"/>
          <w:sz w:val="20"/>
        </w:rPr>
      </w:pPr>
      <w:r>
        <w:rPr>
          <w:rFonts w:ascii="Arial" w:hAnsi="Arial" w:cs="Arial"/>
          <w:sz w:val="20"/>
        </w:rPr>
        <w:t>Grape pomace can form 20% of the diet for beef and dairy cattle in Australia. An STMR-P of 2.76 mg/kg (0.541 x 5.1</w:t>
      </w:r>
      <w:r w:rsidR="001C656F" w:rsidRPr="007B156E">
        <w:rPr>
          <w:rFonts w:ascii="Arial" w:hAnsi="Arial" w:cs="Arial"/>
          <w:sz w:val="20"/>
        </w:rPr>
        <w:t>×</w:t>
      </w:r>
      <w:r>
        <w:rPr>
          <w:rFonts w:ascii="Arial" w:hAnsi="Arial" w:cs="Arial"/>
          <w:sz w:val="20"/>
        </w:rPr>
        <w:t>) for grape pomace gives an estimated dietary burden of 0.6 ppm. In a dairy cattle feeding study evaluated by the 2007 JMPR, difenoconazole residues in milk, liver, muscle, fa</w:t>
      </w:r>
      <w:r w:rsidR="009A2BB5">
        <w:rPr>
          <w:rFonts w:ascii="Arial" w:hAnsi="Arial" w:cs="Arial"/>
          <w:sz w:val="20"/>
        </w:rPr>
        <w:t xml:space="preserve">t and kidney did not exceed </w:t>
      </w:r>
      <w:r w:rsidR="00B121F6">
        <w:rPr>
          <w:rFonts w:ascii="Arial" w:hAnsi="Arial" w:cs="Arial"/>
          <w:sz w:val="20"/>
        </w:rPr>
        <w:t>the LOQ of 0.01</w:t>
      </w:r>
      <w:r>
        <w:rPr>
          <w:rFonts w:ascii="Arial" w:hAnsi="Arial" w:cs="Arial"/>
          <w:sz w:val="20"/>
        </w:rPr>
        <w:t xml:space="preserve"> </w:t>
      </w:r>
      <w:r w:rsidR="00B51E6E">
        <w:rPr>
          <w:rFonts w:ascii="Arial" w:hAnsi="Arial" w:cs="Arial"/>
          <w:sz w:val="20"/>
        </w:rPr>
        <w:t xml:space="preserve">mg/kg (tissues and fat) </w:t>
      </w:r>
      <w:r w:rsidR="00B121F6">
        <w:rPr>
          <w:rFonts w:ascii="Arial" w:hAnsi="Arial" w:cs="Arial"/>
          <w:sz w:val="20"/>
        </w:rPr>
        <w:t xml:space="preserve">and 0.005 </w:t>
      </w:r>
      <w:r>
        <w:rPr>
          <w:rFonts w:ascii="Arial" w:hAnsi="Arial" w:cs="Arial"/>
          <w:sz w:val="20"/>
        </w:rPr>
        <w:t xml:space="preserve">mg/kg (milk) at a level of 1 ppm in the </w:t>
      </w:r>
      <w:r w:rsidR="00B121F6">
        <w:rPr>
          <w:rFonts w:ascii="Arial" w:hAnsi="Arial" w:cs="Arial"/>
          <w:sz w:val="20"/>
        </w:rPr>
        <w:t>feed</w:t>
      </w:r>
      <w:r w:rsidR="00B51E6E">
        <w:rPr>
          <w:rFonts w:ascii="Arial" w:hAnsi="Arial" w:cs="Arial"/>
          <w:sz w:val="20"/>
        </w:rPr>
        <w:t>. Consumption of grape pomace containing difenoconazole residues as a result of proposed use should not result in residues above current animal commodity MRLs</w:t>
      </w:r>
      <w:r w:rsidR="00B121F6">
        <w:rPr>
          <w:rFonts w:ascii="Arial" w:hAnsi="Arial" w:cs="Arial"/>
          <w:sz w:val="20"/>
        </w:rPr>
        <w:t xml:space="preserve"> of *0.05 mg/kg for edible offal (mammalian) and meat (mammalian) or *0.01 mg/kg for milk</w:t>
      </w:r>
      <w:r w:rsidR="00914508">
        <w:rPr>
          <w:rFonts w:ascii="Arial" w:hAnsi="Arial" w:cs="Arial"/>
          <w:sz w:val="20"/>
        </w:rPr>
        <w:t>.</w:t>
      </w:r>
    </w:p>
    <w:p w:rsidR="00372609" w:rsidRPr="007B156E" w:rsidRDefault="00372609" w:rsidP="009B65B1">
      <w:pPr>
        <w:pStyle w:val="BODYTEXT"/>
        <w:widowControl w:val="0"/>
        <w:spacing w:before="240" w:after="120" w:line="280" w:lineRule="exact"/>
        <w:rPr>
          <w:rFonts w:ascii="Arial" w:hAnsi="Arial" w:cs="Arial"/>
          <w:sz w:val="20"/>
        </w:rPr>
      </w:pPr>
      <w:r>
        <w:rPr>
          <w:rFonts w:ascii="Arial" w:hAnsi="Arial" w:cs="Arial"/>
          <w:sz w:val="20"/>
        </w:rPr>
        <w:t xml:space="preserve">In a submitted study, difenoconazole was applied to grapes with 4 applications at 62.5 g </w:t>
      </w:r>
      <w:proofErr w:type="spellStart"/>
      <w:r>
        <w:rPr>
          <w:rFonts w:ascii="Arial" w:hAnsi="Arial" w:cs="Arial"/>
          <w:sz w:val="20"/>
        </w:rPr>
        <w:t>ai</w:t>
      </w:r>
      <w:proofErr w:type="spellEnd"/>
      <w:r>
        <w:rPr>
          <w:rFonts w:ascii="Arial" w:hAnsi="Arial" w:cs="Arial"/>
          <w:sz w:val="20"/>
        </w:rPr>
        <w:t>/ha before s</w:t>
      </w:r>
      <w:r w:rsidRPr="00372609">
        <w:rPr>
          <w:rFonts w:ascii="Arial" w:hAnsi="Arial" w:cs="Arial"/>
          <w:sz w:val="20"/>
        </w:rPr>
        <w:t>heep grazed the treated vineyard from 2-16 days after treatment and were sacrificed 6, 7 and 8 weeks after removal from the treated vineyard.</w:t>
      </w:r>
      <w:r>
        <w:rPr>
          <w:rFonts w:ascii="Arial" w:hAnsi="Arial" w:cs="Arial"/>
          <w:sz w:val="20"/>
        </w:rPr>
        <w:t xml:space="preserve"> </w:t>
      </w:r>
      <w:r w:rsidRPr="00372609">
        <w:rPr>
          <w:rFonts w:ascii="Arial" w:hAnsi="Arial" w:cs="Arial"/>
          <w:sz w:val="20"/>
        </w:rPr>
        <w:t>No residues were detected (&lt;0.01) in muscle, liver, kidney, peri-renal fat and subcutaneous fat from the samples collected</w:t>
      </w:r>
      <w:r>
        <w:rPr>
          <w:rFonts w:ascii="Arial" w:hAnsi="Arial" w:cs="Arial"/>
          <w:sz w:val="20"/>
        </w:rPr>
        <w:t xml:space="preserve"> 6, 7 and 8 weeks after removal from the treated vineyard. </w:t>
      </w:r>
      <w:r w:rsidRPr="00372609">
        <w:rPr>
          <w:rFonts w:ascii="Arial" w:hAnsi="Arial" w:cs="Arial"/>
          <w:sz w:val="20"/>
        </w:rPr>
        <w:t xml:space="preserve">The recommended 6 week clean feed interval for animals </w:t>
      </w:r>
      <w:r>
        <w:rPr>
          <w:rFonts w:ascii="Arial" w:hAnsi="Arial" w:cs="Arial"/>
          <w:sz w:val="20"/>
        </w:rPr>
        <w:t>that</w:t>
      </w:r>
      <w:r w:rsidRPr="00372609">
        <w:rPr>
          <w:rFonts w:ascii="Arial" w:hAnsi="Arial" w:cs="Arial"/>
          <w:sz w:val="20"/>
        </w:rPr>
        <w:t xml:space="preserve"> have grazed treated vineyards should </w:t>
      </w:r>
      <w:r>
        <w:rPr>
          <w:rFonts w:ascii="Arial" w:hAnsi="Arial" w:cs="Arial"/>
          <w:sz w:val="20"/>
        </w:rPr>
        <w:t>prevent</w:t>
      </w:r>
      <w:r w:rsidRPr="00372609">
        <w:rPr>
          <w:rFonts w:ascii="Arial" w:hAnsi="Arial" w:cs="Arial"/>
          <w:sz w:val="20"/>
        </w:rPr>
        <w:t xml:space="preserve"> detectable residues in animal commodities.</w:t>
      </w:r>
    </w:p>
    <w:p w:rsidR="000B63A6" w:rsidRDefault="00E44DCB" w:rsidP="009B65B1">
      <w:pPr>
        <w:pStyle w:val="Heading2"/>
      </w:pPr>
      <w:bookmarkStart w:id="16" w:name="_Toc231889748"/>
      <w:bookmarkStart w:id="17" w:name="_Toc530137767"/>
      <w:r>
        <w:lastRenderedPageBreak/>
        <w:t>Overseas registration and approved label instructions</w:t>
      </w:r>
      <w:bookmarkEnd w:id="16"/>
      <w:bookmarkEnd w:id="17"/>
    </w:p>
    <w:p w:rsidR="007B156E" w:rsidRDefault="007B156E" w:rsidP="009B65B1">
      <w:pPr>
        <w:pStyle w:val="BODYTEXT"/>
        <w:widowControl w:val="0"/>
        <w:spacing w:before="240" w:after="120" w:line="280" w:lineRule="exact"/>
        <w:rPr>
          <w:rFonts w:ascii="Arial" w:hAnsi="Arial" w:cs="Arial"/>
          <w:sz w:val="20"/>
        </w:rPr>
      </w:pPr>
      <w:r w:rsidRPr="007B156E">
        <w:rPr>
          <w:rFonts w:ascii="Arial" w:hAnsi="Arial" w:cs="Arial"/>
          <w:sz w:val="20"/>
        </w:rPr>
        <w:t xml:space="preserve">The applicant </w:t>
      </w:r>
      <w:r w:rsidR="00B121F6">
        <w:rPr>
          <w:rFonts w:ascii="Arial" w:hAnsi="Arial" w:cs="Arial"/>
          <w:sz w:val="20"/>
        </w:rPr>
        <w:t>has</w:t>
      </w:r>
      <w:r w:rsidRPr="007B156E">
        <w:rPr>
          <w:rFonts w:ascii="Arial" w:hAnsi="Arial" w:cs="Arial"/>
          <w:sz w:val="20"/>
        </w:rPr>
        <w:t xml:space="preserve"> indicated that difenoconazole products are registered for use on grapevines in the USA to control powdery mildew and other diseases at a rate of 91 – 128 g </w:t>
      </w:r>
      <w:proofErr w:type="spellStart"/>
      <w:r w:rsidRPr="007B156E">
        <w:rPr>
          <w:rFonts w:ascii="Arial" w:hAnsi="Arial" w:cs="Arial"/>
          <w:sz w:val="20"/>
        </w:rPr>
        <w:t>ai</w:t>
      </w:r>
      <w:proofErr w:type="spellEnd"/>
      <w:r w:rsidRPr="007B156E">
        <w:rPr>
          <w:rFonts w:ascii="Arial" w:hAnsi="Arial" w:cs="Arial"/>
          <w:sz w:val="20"/>
        </w:rPr>
        <w:t xml:space="preserve">/ha (7 day WHP). Difenoconazole products are also registered in Canada and the EU (France, Germany, Italy) to control powdery mildew on grapes at 73 g </w:t>
      </w:r>
      <w:proofErr w:type="spellStart"/>
      <w:r w:rsidRPr="007B156E">
        <w:rPr>
          <w:rFonts w:ascii="Arial" w:hAnsi="Arial" w:cs="Arial"/>
          <w:sz w:val="20"/>
        </w:rPr>
        <w:t>ai</w:t>
      </w:r>
      <w:proofErr w:type="spellEnd"/>
      <w:r w:rsidRPr="007B156E">
        <w:rPr>
          <w:rFonts w:ascii="Arial" w:hAnsi="Arial" w:cs="Arial"/>
          <w:sz w:val="20"/>
        </w:rPr>
        <w:t>/ha (7 day WHP).</w:t>
      </w:r>
    </w:p>
    <w:p w:rsidR="009B65B1" w:rsidRDefault="009B65B1" w:rsidP="009B65B1">
      <w:pPr>
        <w:pStyle w:val="Heading2"/>
        <w:keepNext w:val="0"/>
        <w:keepLines w:val="0"/>
        <w:widowControl w:val="0"/>
        <w:suppressAutoHyphens w:val="0"/>
      </w:pPr>
      <w:bookmarkStart w:id="18" w:name="_Toc231889749"/>
      <w:bookmarkStart w:id="19" w:name="_Toc530137768"/>
      <w:r>
        <w:t xml:space="preserve">Codex </w:t>
      </w:r>
      <w:proofErr w:type="spellStart"/>
      <w:r>
        <w:t>alimentarius</w:t>
      </w:r>
      <w:proofErr w:type="spellEnd"/>
      <w:r>
        <w:t xml:space="preserve"> commission and overseas MRLs</w:t>
      </w:r>
      <w:bookmarkEnd w:id="18"/>
      <w:bookmarkEnd w:id="19"/>
    </w:p>
    <w:p w:rsidR="009B65B1" w:rsidRDefault="009B65B1" w:rsidP="009B65B1">
      <w:pPr>
        <w:pStyle w:val="APVMAText"/>
      </w:pPr>
      <w:r>
        <w:t xml:space="preserve">The Codex </w:t>
      </w:r>
      <w:proofErr w:type="spellStart"/>
      <w:r>
        <w:t>Alimentarius</w:t>
      </w:r>
      <w:proofErr w:type="spellEnd"/>
      <w:r>
        <w:t xml:space="preserve"> Commission (Codex) is responsible for establishing Codex Maximum Residue</w:t>
      </w:r>
      <w:r w:rsidR="00D840D7">
        <w:t xml:space="preserve"> Limits (CXLs) for pesticides. </w:t>
      </w:r>
      <w:r>
        <w:t>Codex CXLs are primarily intended to facilitate international trade, and accommodate differences in Good Agricultural Practice (GAP) employed by various countries.  Some countries may accept Co</w:t>
      </w:r>
      <w:r w:rsidR="00D840D7">
        <w:t xml:space="preserve">dex CXLs when importing foods. </w:t>
      </w:r>
      <w:proofErr w:type="spellStart"/>
      <w:r w:rsidRPr="00143F2B">
        <w:t>Difenoconazole</w:t>
      </w:r>
      <w:proofErr w:type="spellEnd"/>
      <w:r w:rsidRPr="00143F2B">
        <w:t xml:space="preserve"> has been considered by Codex.  The following relevant international MRLs have been </w:t>
      </w:r>
      <w:r w:rsidRPr="00853306">
        <w:t>established for difenoconazole</w:t>
      </w:r>
      <w:r>
        <w:t>.</w:t>
      </w:r>
    </w:p>
    <w:p w:rsidR="009B65B1" w:rsidRDefault="009B65B1" w:rsidP="009B65B1">
      <w:pPr>
        <w:pStyle w:val="BODYTEXT"/>
        <w:widowControl w:val="0"/>
        <w:spacing w:before="240" w:after="120" w:line="280" w:lineRule="exact"/>
        <w:rPr>
          <w:rFonts w:ascii="Arial" w:hAnsi="Arial" w:cs="Arial"/>
          <w:sz w:val="20"/>
        </w:rPr>
        <w:sectPr w:rsidR="009B65B1">
          <w:headerReference w:type="default" r:id="rId25"/>
          <w:pgSz w:w="11906" w:h="16838" w:code="9"/>
          <w:pgMar w:top="2835" w:right="1134" w:bottom="1134" w:left="1134" w:header="1701" w:footer="680" w:gutter="0"/>
          <w:cols w:space="708"/>
          <w:docGrid w:linePitch="360"/>
        </w:sectPr>
      </w:pPr>
    </w:p>
    <w:p w:rsidR="007B156E" w:rsidRPr="007B156E" w:rsidRDefault="007B156E" w:rsidP="007B156E">
      <w:pPr>
        <w:pStyle w:val="Caption"/>
      </w:pPr>
      <w:bookmarkStart w:id="20" w:name="_Toc388958809"/>
      <w:bookmarkStart w:id="21" w:name="_Toc529794432"/>
      <w:r>
        <w:lastRenderedPageBreak/>
        <w:t xml:space="preserve">Table </w:t>
      </w:r>
      <w:r w:rsidR="008E32AE">
        <w:t>2</w:t>
      </w:r>
      <w:r>
        <w:t xml:space="preserve">: </w:t>
      </w:r>
      <w:r w:rsidRPr="007B156E">
        <w:t xml:space="preserve">Current and proposed Australian and overseas MRLs/tolerances for </w:t>
      </w:r>
      <w:bookmarkEnd w:id="20"/>
      <w:r w:rsidRPr="007B156E">
        <w:t>difenoconazole</w:t>
      </w:r>
      <w:bookmarkEnd w:id="21"/>
    </w:p>
    <w:tbl>
      <w:tblPr>
        <w:tblW w:w="5099"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6"/>
        <w:gridCol w:w="1627"/>
        <w:gridCol w:w="1478"/>
        <w:gridCol w:w="1998"/>
        <w:gridCol w:w="1852"/>
        <w:gridCol w:w="2280"/>
        <w:gridCol w:w="2351"/>
        <w:gridCol w:w="1636"/>
      </w:tblGrid>
      <w:tr w:rsidR="00A50108" w:rsidRPr="00B179EA" w:rsidTr="009B65B1">
        <w:trPr>
          <w:trHeight w:val="472"/>
          <w:tblHeader/>
        </w:trPr>
        <w:tc>
          <w:tcPr>
            <w:tcW w:w="580" w:type="pct"/>
            <w:vMerge w:val="restart"/>
            <w:tcBorders>
              <w:top w:val="single" w:sz="4" w:space="0" w:color="auto"/>
              <w:left w:val="single" w:sz="4" w:space="0" w:color="auto"/>
              <w:bottom w:val="single" w:sz="4" w:space="0" w:color="1F3864" w:themeColor="accent5" w:themeShade="80"/>
              <w:right w:val="nil"/>
            </w:tcBorders>
            <w:shd w:val="clear" w:color="auto" w:fill="D0CECE" w:themeFill="background2" w:themeFillShade="E6"/>
            <w:vAlign w:val="center"/>
          </w:tcPr>
          <w:p w:rsidR="007B156E" w:rsidRPr="00B179EA" w:rsidRDefault="007B156E" w:rsidP="00E5170C">
            <w:pPr>
              <w:pStyle w:val="APVMATableText"/>
              <w:rPr>
                <w:szCs w:val="17"/>
              </w:rPr>
            </w:pPr>
            <w:r w:rsidRPr="00B179EA">
              <w:rPr>
                <w:szCs w:val="17"/>
              </w:rPr>
              <w:t>Commodity</w:t>
            </w:r>
          </w:p>
        </w:tc>
        <w:tc>
          <w:tcPr>
            <w:tcW w:w="3087" w:type="pct"/>
            <w:gridSpan w:val="5"/>
            <w:tcBorders>
              <w:top w:val="single" w:sz="4" w:space="0" w:color="auto"/>
              <w:left w:val="nil"/>
              <w:bottom w:val="single" w:sz="4" w:space="0" w:color="1F3864" w:themeColor="accent5" w:themeShade="80"/>
              <w:right w:val="nil"/>
            </w:tcBorders>
            <w:shd w:val="clear" w:color="auto" w:fill="D0CECE" w:themeFill="background2" w:themeFillShade="E6"/>
          </w:tcPr>
          <w:p w:rsidR="007B156E" w:rsidRPr="00B179EA" w:rsidRDefault="007B156E" w:rsidP="00E5170C">
            <w:pPr>
              <w:pStyle w:val="APVMATableText"/>
              <w:rPr>
                <w:szCs w:val="17"/>
              </w:rPr>
            </w:pPr>
            <w:r w:rsidRPr="00B179EA">
              <w:rPr>
                <w:szCs w:val="17"/>
              </w:rPr>
              <w:t>Tolerance for residues arising from the use of difenoconazole (mg/kg)</w:t>
            </w:r>
          </w:p>
        </w:tc>
        <w:tc>
          <w:tcPr>
            <w:tcW w:w="786" w:type="pct"/>
            <w:tcBorders>
              <w:top w:val="single" w:sz="4" w:space="0" w:color="auto"/>
              <w:left w:val="nil"/>
              <w:bottom w:val="single" w:sz="4" w:space="0" w:color="1F3864" w:themeColor="accent5" w:themeShade="80"/>
              <w:right w:val="nil"/>
            </w:tcBorders>
            <w:shd w:val="clear" w:color="auto" w:fill="D0CECE" w:themeFill="background2" w:themeFillShade="E6"/>
          </w:tcPr>
          <w:p w:rsidR="007B156E" w:rsidRPr="00B179EA" w:rsidRDefault="007B156E" w:rsidP="00E5170C">
            <w:pPr>
              <w:pStyle w:val="APVMATableText"/>
              <w:rPr>
                <w:szCs w:val="17"/>
              </w:rPr>
            </w:pPr>
          </w:p>
        </w:tc>
        <w:tc>
          <w:tcPr>
            <w:tcW w:w="547" w:type="pct"/>
            <w:tcBorders>
              <w:top w:val="single" w:sz="4" w:space="0" w:color="auto"/>
              <w:left w:val="nil"/>
              <w:bottom w:val="single" w:sz="4" w:space="0" w:color="1F3864" w:themeColor="accent5" w:themeShade="80"/>
              <w:right w:val="single" w:sz="4" w:space="0" w:color="auto"/>
            </w:tcBorders>
            <w:shd w:val="clear" w:color="auto" w:fill="D0CECE" w:themeFill="background2" w:themeFillShade="E6"/>
          </w:tcPr>
          <w:p w:rsidR="007B156E" w:rsidRPr="00B179EA" w:rsidRDefault="007B156E" w:rsidP="00E5170C">
            <w:pPr>
              <w:pStyle w:val="APVMATableText"/>
              <w:rPr>
                <w:szCs w:val="17"/>
              </w:rPr>
            </w:pPr>
          </w:p>
        </w:tc>
      </w:tr>
      <w:tr w:rsidR="009B65B1" w:rsidRPr="00B179EA" w:rsidTr="009B65B1">
        <w:trPr>
          <w:trHeight w:val="472"/>
          <w:tblHeader/>
        </w:trPr>
        <w:tc>
          <w:tcPr>
            <w:tcW w:w="580" w:type="pct"/>
            <w:vMerge/>
            <w:tcBorders>
              <w:top w:val="single" w:sz="4" w:space="0" w:color="1F3864" w:themeColor="accent5" w:themeShade="80"/>
              <w:left w:val="single" w:sz="4" w:space="0" w:color="auto"/>
              <w:bottom w:val="single" w:sz="4" w:space="0" w:color="auto"/>
              <w:right w:val="nil"/>
            </w:tcBorders>
            <w:shd w:val="clear" w:color="auto" w:fill="D0CECE" w:themeFill="background2" w:themeFillShade="E6"/>
          </w:tcPr>
          <w:p w:rsidR="007B156E" w:rsidRPr="00B179EA" w:rsidRDefault="007B156E" w:rsidP="00E5170C">
            <w:pPr>
              <w:pStyle w:val="APVMATableText"/>
              <w:rPr>
                <w:szCs w:val="17"/>
              </w:rPr>
            </w:pPr>
          </w:p>
        </w:tc>
        <w:tc>
          <w:tcPr>
            <w:tcW w:w="544" w:type="pct"/>
            <w:tcBorders>
              <w:top w:val="single" w:sz="4" w:space="0" w:color="1F3864" w:themeColor="accent5" w:themeShade="80"/>
              <w:left w:val="nil"/>
              <w:bottom w:val="single" w:sz="4" w:space="0" w:color="auto"/>
              <w:right w:val="nil"/>
            </w:tcBorders>
            <w:shd w:val="clear" w:color="auto" w:fill="D0CECE" w:themeFill="background2" w:themeFillShade="E6"/>
          </w:tcPr>
          <w:p w:rsidR="007B156E" w:rsidRPr="00B179EA" w:rsidRDefault="007B156E" w:rsidP="00E5170C">
            <w:pPr>
              <w:pStyle w:val="APVMATableText"/>
              <w:jc w:val="center"/>
              <w:rPr>
                <w:szCs w:val="17"/>
              </w:rPr>
            </w:pPr>
            <w:r w:rsidRPr="00B179EA">
              <w:rPr>
                <w:szCs w:val="17"/>
              </w:rPr>
              <w:t>Australia</w:t>
            </w:r>
          </w:p>
        </w:tc>
        <w:tc>
          <w:tcPr>
            <w:tcW w:w="494" w:type="pct"/>
            <w:tcBorders>
              <w:top w:val="single" w:sz="4" w:space="0" w:color="1F3864" w:themeColor="accent5" w:themeShade="80"/>
              <w:left w:val="nil"/>
              <w:bottom w:val="single" w:sz="4" w:space="0" w:color="auto"/>
              <w:right w:val="nil"/>
            </w:tcBorders>
            <w:shd w:val="clear" w:color="auto" w:fill="D0CECE" w:themeFill="background2" w:themeFillShade="E6"/>
          </w:tcPr>
          <w:p w:rsidR="007B156E" w:rsidRPr="00B179EA" w:rsidRDefault="007B156E" w:rsidP="00E5170C">
            <w:pPr>
              <w:pStyle w:val="APVMATableText"/>
              <w:jc w:val="center"/>
              <w:rPr>
                <w:szCs w:val="17"/>
              </w:rPr>
            </w:pPr>
            <w:r w:rsidRPr="00B179EA">
              <w:rPr>
                <w:szCs w:val="17"/>
              </w:rPr>
              <w:t>EU</w:t>
            </w:r>
            <w:r w:rsidRPr="00B179EA">
              <w:rPr>
                <w:rStyle w:val="FootnoteReference"/>
                <w:b/>
                <w:szCs w:val="17"/>
              </w:rPr>
              <w:footnoteReference w:id="4"/>
            </w:r>
          </w:p>
        </w:tc>
        <w:tc>
          <w:tcPr>
            <w:tcW w:w="668" w:type="pct"/>
            <w:tcBorders>
              <w:top w:val="single" w:sz="4" w:space="0" w:color="1F3864" w:themeColor="accent5" w:themeShade="80"/>
              <w:left w:val="nil"/>
              <w:bottom w:val="single" w:sz="4" w:space="0" w:color="auto"/>
              <w:right w:val="nil"/>
            </w:tcBorders>
            <w:shd w:val="clear" w:color="auto" w:fill="D0CECE" w:themeFill="background2" w:themeFillShade="E6"/>
          </w:tcPr>
          <w:p w:rsidR="007B156E" w:rsidRPr="00B179EA" w:rsidRDefault="007B156E" w:rsidP="00E5170C">
            <w:pPr>
              <w:pStyle w:val="APVMATableText"/>
              <w:jc w:val="center"/>
              <w:rPr>
                <w:szCs w:val="17"/>
              </w:rPr>
            </w:pPr>
            <w:r w:rsidRPr="00B179EA">
              <w:rPr>
                <w:szCs w:val="17"/>
              </w:rPr>
              <w:t>Japan</w:t>
            </w:r>
            <w:r w:rsidRPr="00B179EA">
              <w:rPr>
                <w:rStyle w:val="FootnoteReference"/>
                <w:b/>
                <w:szCs w:val="17"/>
              </w:rPr>
              <w:footnoteReference w:id="5"/>
            </w:r>
          </w:p>
        </w:tc>
        <w:tc>
          <w:tcPr>
            <w:tcW w:w="619" w:type="pct"/>
            <w:tcBorders>
              <w:top w:val="single" w:sz="4" w:space="0" w:color="1F3864" w:themeColor="accent5" w:themeShade="80"/>
              <w:left w:val="nil"/>
              <w:bottom w:val="single" w:sz="4" w:space="0" w:color="auto"/>
              <w:right w:val="nil"/>
            </w:tcBorders>
            <w:shd w:val="clear" w:color="auto" w:fill="D0CECE" w:themeFill="background2" w:themeFillShade="E6"/>
          </w:tcPr>
          <w:p w:rsidR="007B156E" w:rsidRPr="00B179EA" w:rsidRDefault="007B156E" w:rsidP="00E5170C">
            <w:pPr>
              <w:pStyle w:val="APVMATableText"/>
              <w:jc w:val="center"/>
              <w:rPr>
                <w:szCs w:val="17"/>
              </w:rPr>
            </w:pPr>
            <w:r w:rsidRPr="00B179EA">
              <w:rPr>
                <w:szCs w:val="17"/>
              </w:rPr>
              <w:t>Codex</w:t>
            </w:r>
            <w:r w:rsidRPr="00B179EA">
              <w:rPr>
                <w:rStyle w:val="FootnoteReference"/>
                <w:b/>
                <w:szCs w:val="17"/>
              </w:rPr>
              <w:footnoteReference w:id="6"/>
            </w:r>
          </w:p>
        </w:tc>
        <w:tc>
          <w:tcPr>
            <w:tcW w:w="762" w:type="pct"/>
            <w:tcBorders>
              <w:top w:val="single" w:sz="4" w:space="0" w:color="1F3864" w:themeColor="accent5" w:themeShade="80"/>
              <w:left w:val="nil"/>
              <w:bottom w:val="single" w:sz="4" w:space="0" w:color="auto"/>
              <w:right w:val="nil"/>
            </w:tcBorders>
            <w:shd w:val="clear" w:color="auto" w:fill="D0CECE" w:themeFill="background2" w:themeFillShade="E6"/>
          </w:tcPr>
          <w:p w:rsidR="007B156E" w:rsidRPr="00B179EA" w:rsidRDefault="007B156E" w:rsidP="00E5170C">
            <w:pPr>
              <w:pStyle w:val="APVMATableText"/>
              <w:jc w:val="center"/>
              <w:rPr>
                <w:szCs w:val="17"/>
              </w:rPr>
            </w:pPr>
            <w:r w:rsidRPr="00B179EA">
              <w:rPr>
                <w:szCs w:val="17"/>
              </w:rPr>
              <w:t>USA</w:t>
            </w:r>
            <w:r w:rsidRPr="00B179EA">
              <w:rPr>
                <w:rStyle w:val="FootnoteReference"/>
                <w:b/>
                <w:szCs w:val="17"/>
              </w:rPr>
              <w:footnoteReference w:id="7"/>
            </w:r>
          </w:p>
        </w:tc>
        <w:tc>
          <w:tcPr>
            <w:tcW w:w="786" w:type="pct"/>
            <w:tcBorders>
              <w:top w:val="single" w:sz="4" w:space="0" w:color="1F3864" w:themeColor="accent5" w:themeShade="80"/>
              <w:left w:val="nil"/>
              <w:bottom w:val="single" w:sz="4" w:space="0" w:color="auto"/>
              <w:right w:val="nil"/>
            </w:tcBorders>
            <w:shd w:val="clear" w:color="auto" w:fill="D0CECE" w:themeFill="background2" w:themeFillShade="E6"/>
          </w:tcPr>
          <w:p w:rsidR="007B156E" w:rsidRPr="00B179EA" w:rsidRDefault="007B156E" w:rsidP="00E5170C">
            <w:pPr>
              <w:pStyle w:val="APVMATableText"/>
              <w:jc w:val="center"/>
              <w:rPr>
                <w:szCs w:val="17"/>
              </w:rPr>
            </w:pPr>
            <w:r>
              <w:rPr>
                <w:szCs w:val="17"/>
              </w:rPr>
              <w:t>Canada</w:t>
            </w:r>
            <w:r>
              <w:rPr>
                <w:rStyle w:val="FootnoteReference"/>
                <w:szCs w:val="17"/>
              </w:rPr>
              <w:footnoteReference w:id="8"/>
            </w:r>
            <w:r w:rsidRPr="005F4433">
              <w:rPr>
                <w:szCs w:val="17"/>
                <w:vertAlign w:val="superscript"/>
              </w:rPr>
              <w:t>&amp;</w:t>
            </w:r>
            <w:r>
              <w:rPr>
                <w:rStyle w:val="FootnoteReference"/>
                <w:szCs w:val="17"/>
              </w:rPr>
              <w:footnoteReference w:id="9"/>
            </w:r>
          </w:p>
        </w:tc>
        <w:tc>
          <w:tcPr>
            <w:tcW w:w="547" w:type="pct"/>
            <w:tcBorders>
              <w:top w:val="single" w:sz="4" w:space="0" w:color="1F3864" w:themeColor="accent5" w:themeShade="80"/>
              <w:left w:val="nil"/>
              <w:bottom w:val="single" w:sz="4" w:space="0" w:color="auto"/>
              <w:right w:val="single" w:sz="4" w:space="0" w:color="auto"/>
            </w:tcBorders>
            <w:shd w:val="clear" w:color="auto" w:fill="D0CECE" w:themeFill="background2" w:themeFillShade="E6"/>
          </w:tcPr>
          <w:p w:rsidR="007B156E" w:rsidRPr="00B179EA" w:rsidRDefault="007B156E" w:rsidP="00E5170C">
            <w:pPr>
              <w:pStyle w:val="APVMATableText"/>
              <w:jc w:val="center"/>
              <w:rPr>
                <w:szCs w:val="17"/>
              </w:rPr>
            </w:pPr>
            <w:r w:rsidRPr="00B179EA">
              <w:rPr>
                <w:szCs w:val="17"/>
              </w:rPr>
              <w:t>China</w:t>
            </w:r>
          </w:p>
        </w:tc>
      </w:tr>
      <w:tr w:rsidR="009B65B1" w:rsidRPr="00B179EA" w:rsidTr="009B65B1">
        <w:trPr>
          <w:trHeight w:val="918"/>
        </w:trPr>
        <w:tc>
          <w:tcPr>
            <w:tcW w:w="580" w:type="pct"/>
            <w:tcBorders>
              <w:top w:val="single" w:sz="4" w:space="0" w:color="auto"/>
              <w:left w:val="single" w:sz="4" w:space="0" w:color="auto"/>
              <w:bottom w:val="single" w:sz="4" w:space="0" w:color="1F3864" w:themeColor="accent5" w:themeShade="80"/>
              <w:right w:val="nil"/>
            </w:tcBorders>
          </w:tcPr>
          <w:p w:rsidR="007B156E" w:rsidRPr="00B179EA" w:rsidRDefault="007B156E" w:rsidP="00E5170C">
            <w:pPr>
              <w:pStyle w:val="APVMATableText"/>
              <w:rPr>
                <w:szCs w:val="17"/>
              </w:rPr>
            </w:pPr>
            <w:r w:rsidRPr="00B179EA">
              <w:rPr>
                <w:szCs w:val="17"/>
              </w:rPr>
              <w:t>Residue Definition</w:t>
            </w:r>
          </w:p>
        </w:tc>
        <w:tc>
          <w:tcPr>
            <w:tcW w:w="544" w:type="pct"/>
            <w:tcBorders>
              <w:top w:val="single" w:sz="4" w:space="0" w:color="auto"/>
              <w:left w:val="nil"/>
              <w:bottom w:val="single" w:sz="4" w:space="0" w:color="1F3864" w:themeColor="accent5" w:themeShade="80"/>
              <w:right w:val="nil"/>
            </w:tcBorders>
          </w:tcPr>
          <w:p w:rsidR="007B156E" w:rsidRPr="00B179EA" w:rsidRDefault="007B156E" w:rsidP="00E5170C">
            <w:pPr>
              <w:pStyle w:val="APVMATableText"/>
              <w:rPr>
                <w:szCs w:val="17"/>
              </w:rPr>
            </w:pPr>
            <w:r w:rsidRPr="00B179EA">
              <w:rPr>
                <w:szCs w:val="17"/>
              </w:rPr>
              <w:t>difenoconazole</w:t>
            </w:r>
          </w:p>
        </w:tc>
        <w:tc>
          <w:tcPr>
            <w:tcW w:w="494" w:type="pct"/>
            <w:tcBorders>
              <w:top w:val="single" w:sz="4" w:space="0" w:color="auto"/>
              <w:left w:val="nil"/>
              <w:bottom w:val="single" w:sz="4" w:space="0" w:color="1F3864" w:themeColor="accent5" w:themeShade="80"/>
              <w:right w:val="nil"/>
            </w:tcBorders>
          </w:tcPr>
          <w:p w:rsidR="007B156E" w:rsidRPr="00B179EA" w:rsidRDefault="007B156E" w:rsidP="00E5170C">
            <w:pPr>
              <w:pStyle w:val="APVMATableText"/>
              <w:rPr>
                <w:szCs w:val="17"/>
              </w:rPr>
            </w:pPr>
            <w:r w:rsidRPr="00B179EA">
              <w:rPr>
                <w:szCs w:val="17"/>
              </w:rPr>
              <w:t>difenoconazole</w:t>
            </w:r>
          </w:p>
        </w:tc>
        <w:tc>
          <w:tcPr>
            <w:tcW w:w="668" w:type="pct"/>
            <w:tcBorders>
              <w:top w:val="single" w:sz="4" w:space="0" w:color="auto"/>
              <w:left w:val="nil"/>
              <w:bottom w:val="single" w:sz="4" w:space="0" w:color="1F3864" w:themeColor="accent5" w:themeShade="80"/>
              <w:right w:val="nil"/>
            </w:tcBorders>
          </w:tcPr>
          <w:p w:rsidR="007B156E" w:rsidRPr="00B179EA" w:rsidRDefault="007B156E" w:rsidP="00E5170C">
            <w:pPr>
              <w:pStyle w:val="APVMATableText"/>
              <w:rPr>
                <w:szCs w:val="17"/>
              </w:rPr>
            </w:pPr>
            <w:r w:rsidRPr="00B179EA">
              <w:rPr>
                <w:szCs w:val="17"/>
              </w:rPr>
              <w:t>Plant origin: difenoconazole</w:t>
            </w:r>
          </w:p>
          <w:p w:rsidR="007B156E" w:rsidRPr="00B179EA" w:rsidRDefault="007B156E" w:rsidP="00E5170C">
            <w:pPr>
              <w:pStyle w:val="APVMATableText"/>
              <w:rPr>
                <w:szCs w:val="17"/>
              </w:rPr>
            </w:pPr>
            <w:r w:rsidRPr="00B179EA">
              <w:rPr>
                <w:szCs w:val="17"/>
              </w:rPr>
              <w:t>Animal origin: sum of difenoconazole</w:t>
            </w:r>
            <w:r>
              <w:rPr>
                <w:szCs w:val="17"/>
              </w:rPr>
              <w:t xml:space="preserve"> and metabolite,</w:t>
            </w:r>
            <w:r w:rsidRPr="00B179EA">
              <w:rPr>
                <w:szCs w:val="17"/>
              </w:rPr>
              <w:t xml:space="preserve"> </w:t>
            </w:r>
            <w:r w:rsidRPr="001C4626">
              <w:rPr>
                <w:szCs w:val="17"/>
              </w:rPr>
              <w:t>1-[2-chloro-4-(4-chloro-phenoxy)phenyl]-2-[1,2,4]triazol-1-yl-ethanol</w:t>
            </w:r>
            <w:r>
              <w:rPr>
                <w:szCs w:val="17"/>
              </w:rPr>
              <w:t>, calculated as difenoconazole</w:t>
            </w:r>
          </w:p>
        </w:tc>
        <w:tc>
          <w:tcPr>
            <w:tcW w:w="619" w:type="pct"/>
            <w:tcBorders>
              <w:top w:val="single" w:sz="4" w:space="0" w:color="auto"/>
              <w:left w:val="nil"/>
              <w:bottom w:val="single" w:sz="4" w:space="0" w:color="1F3864" w:themeColor="accent5" w:themeShade="80"/>
              <w:right w:val="nil"/>
            </w:tcBorders>
          </w:tcPr>
          <w:p w:rsidR="007B156E" w:rsidRPr="00B179EA" w:rsidRDefault="007B156E" w:rsidP="00E5170C">
            <w:pPr>
              <w:pStyle w:val="APVMATableText"/>
              <w:rPr>
                <w:szCs w:val="17"/>
              </w:rPr>
            </w:pPr>
            <w:r w:rsidRPr="00B179EA">
              <w:rPr>
                <w:szCs w:val="17"/>
              </w:rPr>
              <w:t>Plant origin: difenoconazole</w:t>
            </w:r>
          </w:p>
          <w:p w:rsidR="007B156E" w:rsidRPr="00B179EA" w:rsidRDefault="007B156E" w:rsidP="00E5170C">
            <w:pPr>
              <w:pStyle w:val="APVMATableText"/>
              <w:rPr>
                <w:szCs w:val="17"/>
              </w:rPr>
            </w:pPr>
            <w:r w:rsidRPr="00B179EA">
              <w:rPr>
                <w:szCs w:val="17"/>
              </w:rPr>
              <w:t xml:space="preserve">Animal origin: </w:t>
            </w:r>
            <w:r w:rsidRPr="001C4626">
              <w:rPr>
                <w:szCs w:val="17"/>
              </w:rPr>
              <w:t>sum of difenoconazole and 1-[2-chloro-4-(4-chloro-phenoxy)- phenyl]-2-(1,2,4-triazol)-1-yl-ethanol), expressed as difenoconazole</w:t>
            </w:r>
          </w:p>
        </w:tc>
        <w:tc>
          <w:tcPr>
            <w:tcW w:w="762" w:type="pct"/>
            <w:tcBorders>
              <w:top w:val="single" w:sz="4" w:space="0" w:color="auto"/>
              <w:left w:val="nil"/>
              <w:bottom w:val="single" w:sz="4" w:space="0" w:color="1F3864" w:themeColor="accent5" w:themeShade="80"/>
              <w:right w:val="nil"/>
            </w:tcBorders>
          </w:tcPr>
          <w:p w:rsidR="007B156E" w:rsidRPr="00B179EA" w:rsidRDefault="007B156E" w:rsidP="00E5170C">
            <w:pPr>
              <w:pStyle w:val="APVMATableText"/>
              <w:rPr>
                <w:szCs w:val="17"/>
              </w:rPr>
            </w:pPr>
            <w:r w:rsidRPr="00B179EA">
              <w:rPr>
                <w:szCs w:val="17"/>
              </w:rPr>
              <w:t>Plant origin: difenoconazole</w:t>
            </w:r>
          </w:p>
          <w:p w:rsidR="007B156E" w:rsidRPr="00B179EA" w:rsidRDefault="007B156E" w:rsidP="00E5170C">
            <w:pPr>
              <w:pStyle w:val="APVMATableText"/>
              <w:rPr>
                <w:szCs w:val="17"/>
              </w:rPr>
            </w:pPr>
            <w:r w:rsidRPr="00B179EA">
              <w:rPr>
                <w:szCs w:val="17"/>
              </w:rPr>
              <w:t xml:space="preserve">Animal origin: </w:t>
            </w:r>
            <w:r w:rsidRPr="001C4626">
              <w:rPr>
                <w:szCs w:val="17"/>
              </w:rPr>
              <w:t>1-[2-[2-chloro-4-(4-chlorophenoxy)phenyl]-4-methyl-1,3-dioxolan-2-ylmethyl]-1H-1,2,4-triazole, and its metabolite, CGA-205375, 1-[2-chloro-4-(4-chloro-phenoxy)phenyl]-2-[1,2,4]triazol-1-yl-ethanol</w:t>
            </w:r>
          </w:p>
        </w:tc>
        <w:tc>
          <w:tcPr>
            <w:tcW w:w="786" w:type="pct"/>
            <w:tcBorders>
              <w:top w:val="single" w:sz="4" w:space="0" w:color="auto"/>
              <w:left w:val="nil"/>
              <w:bottom w:val="single" w:sz="4" w:space="0" w:color="1F3864" w:themeColor="accent5" w:themeShade="80"/>
              <w:right w:val="nil"/>
            </w:tcBorders>
          </w:tcPr>
          <w:p w:rsidR="007B156E" w:rsidRPr="00B179EA" w:rsidRDefault="007B156E" w:rsidP="00E5170C">
            <w:pPr>
              <w:pStyle w:val="APVMATableText"/>
              <w:rPr>
                <w:szCs w:val="17"/>
              </w:rPr>
            </w:pPr>
            <w:r w:rsidRPr="00B179EA">
              <w:rPr>
                <w:szCs w:val="17"/>
              </w:rPr>
              <w:t>Plant origin: difenoconazole</w:t>
            </w:r>
          </w:p>
          <w:p w:rsidR="007B156E" w:rsidRPr="00B179EA" w:rsidRDefault="007B156E" w:rsidP="00E5170C">
            <w:pPr>
              <w:pStyle w:val="APVMATableText"/>
              <w:rPr>
                <w:szCs w:val="17"/>
              </w:rPr>
            </w:pPr>
            <w:r w:rsidRPr="00B179EA">
              <w:rPr>
                <w:szCs w:val="17"/>
              </w:rPr>
              <w:t xml:space="preserve">Animal origin: </w:t>
            </w:r>
            <w:r>
              <w:rPr>
                <w:rFonts w:ascii="Helvetica" w:hAnsi="Helvetica"/>
                <w:color w:val="333333"/>
              </w:rPr>
              <w:t>1-[[2-[2-chloro-4-(4-chlorophenoxy)phenyl]-4-methyl-1,3-dioxolan-2-yl]methyl]-1</w:t>
            </w:r>
            <w:r>
              <w:rPr>
                <w:rStyle w:val="Emphasis"/>
                <w:rFonts w:ascii="Helvetica" w:hAnsi="Helvetica"/>
                <w:color w:val="333333"/>
              </w:rPr>
              <w:t>H</w:t>
            </w:r>
            <w:r>
              <w:rPr>
                <w:rFonts w:ascii="Helvetica" w:hAnsi="Helvetica"/>
                <w:color w:val="333333"/>
              </w:rPr>
              <w:t>-1,2,4-triazole, including the metabolite α -[2-chloro-4-(4-chlorophenoxy)phenyl]-1</w:t>
            </w:r>
            <w:r>
              <w:rPr>
                <w:rStyle w:val="Emphasis"/>
                <w:rFonts w:ascii="Helvetica" w:hAnsi="Helvetica"/>
                <w:color w:val="333333"/>
              </w:rPr>
              <w:t>H</w:t>
            </w:r>
            <w:r>
              <w:rPr>
                <w:rFonts w:ascii="Helvetica" w:hAnsi="Helvetica"/>
                <w:color w:val="333333"/>
              </w:rPr>
              <w:t>-1,2,4-triazole-1-ethanol</w:t>
            </w:r>
          </w:p>
        </w:tc>
        <w:tc>
          <w:tcPr>
            <w:tcW w:w="547" w:type="pct"/>
            <w:tcBorders>
              <w:top w:val="single" w:sz="4" w:space="0" w:color="auto"/>
              <w:left w:val="nil"/>
              <w:bottom w:val="single" w:sz="4" w:space="0" w:color="1F3864" w:themeColor="accent5" w:themeShade="80"/>
              <w:right w:val="single" w:sz="4" w:space="0" w:color="auto"/>
            </w:tcBorders>
          </w:tcPr>
          <w:p w:rsidR="007B156E" w:rsidRPr="00B179EA" w:rsidRDefault="007B156E" w:rsidP="00E5170C">
            <w:pPr>
              <w:pStyle w:val="APVMATableText"/>
              <w:rPr>
                <w:szCs w:val="17"/>
              </w:rPr>
            </w:pPr>
            <w:r w:rsidRPr="00B179EA">
              <w:rPr>
                <w:szCs w:val="17"/>
              </w:rPr>
              <w:t>difenoconazole</w:t>
            </w:r>
          </w:p>
        </w:tc>
      </w:tr>
      <w:tr w:rsidR="009B65B1" w:rsidRPr="00B179EA" w:rsidTr="009B65B1">
        <w:trPr>
          <w:trHeight w:val="678"/>
        </w:trPr>
        <w:tc>
          <w:tcPr>
            <w:tcW w:w="580" w:type="pct"/>
            <w:tcBorders>
              <w:top w:val="single" w:sz="4" w:space="0" w:color="1F3864" w:themeColor="accent5" w:themeShade="80"/>
              <w:left w:val="single" w:sz="4" w:space="0" w:color="auto"/>
              <w:bottom w:val="single" w:sz="4" w:space="0" w:color="1F3864" w:themeColor="accent5" w:themeShade="80"/>
              <w:right w:val="nil"/>
            </w:tcBorders>
            <w:vAlign w:val="center"/>
          </w:tcPr>
          <w:p w:rsidR="007B156E" w:rsidRPr="00B179EA" w:rsidRDefault="007B156E" w:rsidP="00E5170C">
            <w:pPr>
              <w:pStyle w:val="APVMATableText"/>
              <w:rPr>
                <w:szCs w:val="17"/>
              </w:rPr>
            </w:pPr>
            <w:r w:rsidRPr="00B179EA">
              <w:rPr>
                <w:szCs w:val="17"/>
              </w:rPr>
              <w:t xml:space="preserve">Grapes  </w:t>
            </w:r>
          </w:p>
        </w:tc>
        <w:tc>
          <w:tcPr>
            <w:tcW w:w="544" w:type="pct"/>
            <w:tcBorders>
              <w:top w:val="single" w:sz="4" w:space="0" w:color="1F3864" w:themeColor="accent5" w:themeShade="80"/>
              <w:left w:val="nil"/>
              <w:bottom w:val="single" w:sz="4" w:space="0" w:color="1F3864" w:themeColor="accent5" w:themeShade="80"/>
              <w:right w:val="nil"/>
            </w:tcBorders>
          </w:tcPr>
          <w:p w:rsidR="007B156E" w:rsidRPr="00B179EA" w:rsidRDefault="007B156E" w:rsidP="00E5170C">
            <w:pPr>
              <w:pStyle w:val="APVMATableText"/>
              <w:spacing w:before="0" w:after="0" w:line="240" w:lineRule="auto"/>
              <w:jc w:val="center"/>
              <w:rPr>
                <w:szCs w:val="17"/>
              </w:rPr>
            </w:pPr>
            <w:r w:rsidRPr="00B179EA">
              <w:rPr>
                <w:szCs w:val="17"/>
              </w:rPr>
              <w:t>Wine grapes 0.</w:t>
            </w:r>
            <w:r>
              <w:rPr>
                <w:szCs w:val="17"/>
              </w:rPr>
              <w:t>0</w:t>
            </w:r>
            <w:r w:rsidRPr="00B179EA">
              <w:rPr>
                <w:szCs w:val="17"/>
              </w:rPr>
              <w:t>2 (2 proposed)</w:t>
            </w:r>
          </w:p>
          <w:p w:rsidR="007B156E" w:rsidRPr="00B179EA" w:rsidRDefault="007B156E" w:rsidP="00E5170C">
            <w:pPr>
              <w:pStyle w:val="APVMATableText"/>
              <w:spacing w:before="0" w:after="0" w:line="240" w:lineRule="auto"/>
              <w:jc w:val="center"/>
              <w:rPr>
                <w:b/>
                <w:bCs/>
                <w:caps/>
                <w:szCs w:val="17"/>
              </w:rPr>
            </w:pPr>
            <w:r w:rsidRPr="00B179EA">
              <w:rPr>
                <w:szCs w:val="17"/>
              </w:rPr>
              <w:t>Table grapes 2</w:t>
            </w:r>
          </w:p>
        </w:tc>
        <w:tc>
          <w:tcPr>
            <w:tcW w:w="494"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0" w:after="0" w:line="240" w:lineRule="auto"/>
              <w:jc w:val="center"/>
              <w:rPr>
                <w:szCs w:val="17"/>
              </w:rPr>
            </w:pPr>
            <w:r>
              <w:rPr>
                <w:szCs w:val="17"/>
              </w:rPr>
              <w:t>3</w:t>
            </w:r>
          </w:p>
          <w:p w:rsidR="007B156E" w:rsidRPr="00B179EA" w:rsidRDefault="007B156E" w:rsidP="00E5170C">
            <w:pPr>
              <w:pStyle w:val="APVMATableText"/>
              <w:spacing w:before="0" w:after="0" w:line="240" w:lineRule="auto"/>
              <w:jc w:val="center"/>
              <w:rPr>
                <w:szCs w:val="17"/>
              </w:rPr>
            </w:pPr>
            <w:r>
              <w:rPr>
                <w:szCs w:val="17"/>
              </w:rPr>
              <w:t>(table and wine grapes)</w:t>
            </w:r>
          </w:p>
        </w:tc>
        <w:tc>
          <w:tcPr>
            <w:tcW w:w="668"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0" w:after="0" w:line="240" w:lineRule="auto"/>
              <w:jc w:val="center"/>
              <w:rPr>
                <w:szCs w:val="17"/>
              </w:rPr>
            </w:pPr>
            <w:r>
              <w:rPr>
                <w:szCs w:val="17"/>
              </w:rPr>
              <w:t>4</w:t>
            </w:r>
          </w:p>
          <w:p w:rsidR="007B156E" w:rsidRPr="00B179EA" w:rsidRDefault="007B156E" w:rsidP="00E5170C">
            <w:pPr>
              <w:pStyle w:val="APVMATableText"/>
              <w:spacing w:before="0" w:after="0" w:line="240" w:lineRule="auto"/>
              <w:jc w:val="center"/>
              <w:rPr>
                <w:szCs w:val="17"/>
              </w:rPr>
            </w:pPr>
            <w:r>
              <w:rPr>
                <w:szCs w:val="17"/>
              </w:rPr>
              <w:t>Grapes</w:t>
            </w:r>
          </w:p>
        </w:tc>
        <w:tc>
          <w:tcPr>
            <w:tcW w:w="619" w:type="pct"/>
            <w:tcBorders>
              <w:top w:val="single" w:sz="4" w:space="0" w:color="1F3864" w:themeColor="accent5" w:themeShade="80"/>
              <w:left w:val="nil"/>
              <w:bottom w:val="single" w:sz="4" w:space="0" w:color="1F3864" w:themeColor="accent5" w:themeShade="80"/>
              <w:right w:val="nil"/>
            </w:tcBorders>
          </w:tcPr>
          <w:p w:rsidR="007B156E" w:rsidRPr="008B6BE3" w:rsidRDefault="007B156E" w:rsidP="00E5170C">
            <w:pPr>
              <w:pStyle w:val="APVMATableText"/>
              <w:spacing w:before="0" w:after="0" w:line="240" w:lineRule="auto"/>
              <w:jc w:val="center"/>
              <w:rPr>
                <w:bCs/>
                <w:szCs w:val="17"/>
              </w:rPr>
            </w:pPr>
            <w:r w:rsidRPr="008B6BE3">
              <w:rPr>
                <w:bCs/>
                <w:szCs w:val="17"/>
              </w:rPr>
              <w:t>3</w:t>
            </w:r>
          </w:p>
          <w:p w:rsidR="007B156E" w:rsidRPr="008B6BE3" w:rsidRDefault="007B156E" w:rsidP="00E5170C">
            <w:pPr>
              <w:pStyle w:val="APVMATableText"/>
              <w:spacing w:before="0" w:after="0" w:line="240" w:lineRule="auto"/>
              <w:jc w:val="center"/>
              <w:rPr>
                <w:bCs/>
                <w:caps/>
                <w:szCs w:val="17"/>
              </w:rPr>
            </w:pPr>
            <w:r>
              <w:rPr>
                <w:bCs/>
                <w:szCs w:val="17"/>
              </w:rPr>
              <w:t>Grapes</w:t>
            </w:r>
          </w:p>
        </w:tc>
        <w:tc>
          <w:tcPr>
            <w:tcW w:w="762"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0" w:after="0" w:line="240" w:lineRule="auto"/>
              <w:jc w:val="center"/>
              <w:rPr>
                <w:szCs w:val="17"/>
              </w:rPr>
            </w:pPr>
            <w:r>
              <w:rPr>
                <w:szCs w:val="17"/>
              </w:rPr>
              <w:t>6</w:t>
            </w:r>
          </w:p>
          <w:p w:rsidR="007B156E" w:rsidRPr="00B179EA" w:rsidRDefault="007B156E" w:rsidP="00E5170C">
            <w:pPr>
              <w:pStyle w:val="APVMATableText"/>
              <w:spacing w:before="0" w:after="0" w:line="240" w:lineRule="auto"/>
              <w:jc w:val="center"/>
              <w:rPr>
                <w:szCs w:val="17"/>
              </w:rPr>
            </w:pPr>
            <w:r>
              <w:rPr>
                <w:szCs w:val="17"/>
              </w:rPr>
              <w:t>Grapes, raisin</w:t>
            </w:r>
          </w:p>
        </w:tc>
        <w:tc>
          <w:tcPr>
            <w:tcW w:w="786"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0" w:after="0" w:line="240" w:lineRule="auto"/>
              <w:jc w:val="center"/>
              <w:rPr>
                <w:szCs w:val="17"/>
              </w:rPr>
            </w:pPr>
            <w:r>
              <w:rPr>
                <w:szCs w:val="17"/>
              </w:rPr>
              <w:t>4</w:t>
            </w:r>
          </w:p>
          <w:p w:rsidR="007B156E" w:rsidRDefault="007B156E" w:rsidP="00E5170C">
            <w:pPr>
              <w:pStyle w:val="APVMATableText"/>
              <w:spacing w:before="0" w:after="0" w:line="240" w:lineRule="auto"/>
              <w:jc w:val="center"/>
              <w:rPr>
                <w:szCs w:val="17"/>
              </w:rPr>
            </w:pPr>
            <w:r>
              <w:rPr>
                <w:szCs w:val="17"/>
              </w:rPr>
              <w:t>Grapes</w:t>
            </w:r>
          </w:p>
          <w:p w:rsidR="007B156E" w:rsidRDefault="007B156E" w:rsidP="00E5170C">
            <w:pPr>
              <w:pStyle w:val="APVMATableText"/>
              <w:spacing w:before="0" w:after="0" w:line="240" w:lineRule="auto"/>
              <w:jc w:val="center"/>
              <w:rPr>
                <w:szCs w:val="17"/>
              </w:rPr>
            </w:pPr>
          </w:p>
        </w:tc>
        <w:tc>
          <w:tcPr>
            <w:tcW w:w="547" w:type="pct"/>
            <w:vMerge w:val="restart"/>
            <w:tcBorders>
              <w:top w:val="single" w:sz="4" w:space="0" w:color="1F3864" w:themeColor="accent5" w:themeShade="80"/>
              <w:left w:val="nil"/>
              <w:right w:val="single" w:sz="4" w:space="0" w:color="auto"/>
            </w:tcBorders>
          </w:tcPr>
          <w:p w:rsidR="007B156E" w:rsidRPr="00B179EA" w:rsidRDefault="007B156E" w:rsidP="00E5170C">
            <w:pPr>
              <w:pStyle w:val="APVMATableText"/>
              <w:spacing w:before="0" w:after="0" w:line="240" w:lineRule="auto"/>
              <w:jc w:val="center"/>
              <w:rPr>
                <w:szCs w:val="17"/>
              </w:rPr>
            </w:pPr>
            <w:r>
              <w:rPr>
                <w:szCs w:val="17"/>
              </w:rPr>
              <w:t>Not established</w:t>
            </w:r>
          </w:p>
        </w:tc>
      </w:tr>
      <w:tr w:rsidR="009B65B1" w:rsidRPr="00B179EA" w:rsidTr="009B65B1">
        <w:trPr>
          <w:trHeight w:val="275"/>
        </w:trPr>
        <w:tc>
          <w:tcPr>
            <w:tcW w:w="580" w:type="pct"/>
            <w:tcBorders>
              <w:top w:val="single" w:sz="4" w:space="0" w:color="1F3864" w:themeColor="accent5" w:themeShade="80"/>
              <w:left w:val="single" w:sz="4" w:space="0" w:color="auto"/>
              <w:bottom w:val="single" w:sz="4" w:space="0" w:color="1F3864" w:themeColor="accent5" w:themeShade="80"/>
              <w:right w:val="nil"/>
            </w:tcBorders>
            <w:vAlign w:val="center"/>
          </w:tcPr>
          <w:p w:rsidR="007B156E" w:rsidRPr="00B179EA" w:rsidRDefault="007B156E" w:rsidP="00E5170C">
            <w:pPr>
              <w:pStyle w:val="APVMATableText"/>
              <w:spacing w:before="0" w:after="0" w:line="240" w:lineRule="auto"/>
              <w:rPr>
                <w:szCs w:val="17"/>
              </w:rPr>
            </w:pPr>
            <w:r>
              <w:rPr>
                <w:szCs w:val="17"/>
              </w:rPr>
              <w:t>Mammalian offal</w:t>
            </w:r>
          </w:p>
        </w:tc>
        <w:tc>
          <w:tcPr>
            <w:tcW w:w="544" w:type="pct"/>
            <w:tcBorders>
              <w:top w:val="single" w:sz="4" w:space="0" w:color="1F3864" w:themeColor="accent5" w:themeShade="80"/>
              <w:left w:val="nil"/>
              <w:bottom w:val="single" w:sz="4" w:space="0" w:color="1F3864" w:themeColor="accent5" w:themeShade="80"/>
              <w:right w:val="nil"/>
            </w:tcBorders>
          </w:tcPr>
          <w:p w:rsidR="007B156E" w:rsidRPr="00B179EA" w:rsidRDefault="007B156E" w:rsidP="00E5170C">
            <w:pPr>
              <w:pStyle w:val="APVMATableText"/>
              <w:spacing w:before="40" w:after="40" w:line="240" w:lineRule="auto"/>
              <w:jc w:val="center"/>
              <w:rPr>
                <w:szCs w:val="17"/>
              </w:rPr>
            </w:pPr>
            <w:r>
              <w:rPr>
                <w:szCs w:val="17"/>
              </w:rPr>
              <w:t>*0.05</w:t>
            </w:r>
          </w:p>
        </w:tc>
        <w:tc>
          <w:tcPr>
            <w:tcW w:w="494"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40" w:after="40" w:line="240" w:lineRule="auto"/>
              <w:jc w:val="center"/>
              <w:rPr>
                <w:szCs w:val="17"/>
              </w:rPr>
            </w:pPr>
            <w:r>
              <w:rPr>
                <w:szCs w:val="17"/>
              </w:rPr>
              <w:t>0.2</w:t>
            </w:r>
          </w:p>
        </w:tc>
        <w:tc>
          <w:tcPr>
            <w:tcW w:w="668"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40" w:after="40" w:line="240" w:lineRule="auto"/>
              <w:jc w:val="center"/>
              <w:rPr>
                <w:szCs w:val="17"/>
              </w:rPr>
            </w:pPr>
            <w:r>
              <w:rPr>
                <w:szCs w:val="17"/>
              </w:rPr>
              <w:t>2</w:t>
            </w:r>
          </w:p>
        </w:tc>
        <w:tc>
          <w:tcPr>
            <w:tcW w:w="619" w:type="pct"/>
            <w:tcBorders>
              <w:top w:val="single" w:sz="4" w:space="0" w:color="1F3864" w:themeColor="accent5" w:themeShade="80"/>
              <w:left w:val="nil"/>
              <w:bottom w:val="single" w:sz="4" w:space="0" w:color="1F3864" w:themeColor="accent5" w:themeShade="80"/>
              <w:right w:val="nil"/>
            </w:tcBorders>
          </w:tcPr>
          <w:p w:rsidR="007B156E" w:rsidRPr="008B6BE3" w:rsidRDefault="007B156E" w:rsidP="00E5170C">
            <w:pPr>
              <w:pStyle w:val="APVMATableText"/>
              <w:spacing w:before="40" w:after="40" w:line="240" w:lineRule="auto"/>
              <w:jc w:val="center"/>
              <w:rPr>
                <w:bCs/>
                <w:szCs w:val="17"/>
              </w:rPr>
            </w:pPr>
            <w:r>
              <w:rPr>
                <w:bCs/>
                <w:szCs w:val="17"/>
              </w:rPr>
              <w:t>1.5</w:t>
            </w:r>
          </w:p>
        </w:tc>
        <w:tc>
          <w:tcPr>
            <w:tcW w:w="762"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40" w:after="40" w:line="240" w:lineRule="auto"/>
              <w:jc w:val="center"/>
              <w:rPr>
                <w:szCs w:val="17"/>
              </w:rPr>
            </w:pPr>
            <w:r>
              <w:rPr>
                <w:szCs w:val="17"/>
              </w:rPr>
              <w:t>0.4</w:t>
            </w:r>
          </w:p>
        </w:tc>
        <w:tc>
          <w:tcPr>
            <w:tcW w:w="786"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0" w:after="0" w:line="240" w:lineRule="auto"/>
              <w:jc w:val="center"/>
              <w:rPr>
                <w:szCs w:val="17"/>
              </w:rPr>
            </w:pPr>
            <w:r>
              <w:rPr>
                <w:szCs w:val="17"/>
              </w:rPr>
              <w:t>0.1</w:t>
            </w:r>
          </w:p>
        </w:tc>
        <w:tc>
          <w:tcPr>
            <w:tcW w:w="547" w:type="pct"/>
            <w:vMerge/>
            <w:tcBorders>
              <w:left w:val="nil"/>
              <w:right w:val="single" w:sz="4" w:space="0" w:color="auto"/>
            </w:tcBorders>
          </w:tcPr>
          <w:p w:rsidR="007B156E" w:rsidRDefault="007B156E" w:rsidP="00E5170C">
            <w:pPr>
              <w:pStyle w:val="APVMATableText"/>
              <w:spacing w:before="0" w:after="0" w:line="240" w:lineRule="auto"/>
              <w:jc w:val="center"/>
              <w:rPr>
                <w:szCs w:val="17"/>
              </w:rPr>
            </w:pPr>
          </w:p>
        </w:tc>
      </w:tr>
      <w:tr w:rsidR="009B65B1" w:rsidRPr="00B179EA" w:rsidTr="009B65B1">
        <w:trPr>
          <w:trHeight w:val="357"/>
        </w:trPr>
        <w:tc>
          <w:tcPr>
            <w:tcW w:w="580" w:type="pct"/>
            <w:tcBorders>
              <w:top w:val="single" w:sz="4" w:space="0" w:color="1F3864" w:themeColor="accent5" w:themeShade="80"/>
              <w:left w:val="single" w:sz="4" w:space="0" w:color="auto"/>
              <w:bottom w:val="single" w:sz="4" w:space="0" w:color="1F3864" w:themeColor="accent5" w:themeShade="80"/>
              <w:right w:val="nil"/>
            </w:tcBorders>
            <w:vAlign w:val="center"/>
          </w:tcPr>
          <w:p w:rsidR="007B156E" w:rsidRDefault="007B156E" w:rsidP="00E5170C">
            <w:pPr>
              <w:pStyle w:val="APVMATableText"/>
              <w:spacing w:before="0" w:after="0" w:line="240" w:lineRule="auto"/>
              <w:rPr>
                <w:szCs w:val="17"/>
              </w:rPr>
            </w:pPr>
            <w:r>
              <w:rPr>
                <w:szCs w:val="17"/>
              </w:rPr>
              <w:t>Mammalian meat</w:t>
            </w:r>
          </w:p>
        </w:tc>
        <w:tc>
          <w:tcPr>
            <w:tcW w:w="544" w:type="pct"/>
            <w:tcBorders>
              <w:top w:val="single" w:sz="4" w:space="0" w:color="1F3864" w:themeColor="accent5" w:themeShade="80"/>
              <w:left w:val="nil"/>
              <w:bottom w:val="single" w:sz="4" w:space="0" w:color="1F3864" w:themeColor="accent5" w:themeShade="80"/>
              <w:right w:val="nil"/>
            </w:tcBorders>
          </w:tcPr>
          <w:p w:rsidR="007B156E" w:rsidRPr="00B179EA" w:rsidRDefault="007B156E" w:rsidP="00E5170C">
            <w:pPr>
              <w:pStyle w:val="APVMATableText"/>
              <w:spacing w:before="40" w:after="40" w:line="240" w:lineRule="auto"/>
              <w:jc w:val="center"/>
              <w:rPr>
                <w:szCs w:val="17"/>
              </w:rPr>
            </w:pPr>
            <w:r>
              <w:rPr>
                <w:szCs w:val="17"/>
              </w:rPr>
              <w:t>*0.05</w:t>
            </w:r>
          </w:p>
        </w:tc>
        <w:tc>
          <w:tcPr>
            <w:tcW w:w="494"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40" w:after="40" w:line="240" w:lineRule="auto"/>
              <w:jc w:val="center"/>
              <w:rPr>
                <w:szCs w:val="17"/>
              </w:rPr>
            </w:pPr>
            <w:r>
              <w:rPr>
                <w:szCs w:val="17"/>
              </w:rPr>
              <w:t>0.05</w:t>
            </w:r>
          </w:p>
        </w:tc>
        <w:tc>
          <w:tcPr>
            <w:tcW w:w="668"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40" w:after="40" w:line="240" w:lineRule="auto"/>
              <w:jc w:val="center"/>
              <w:rPr>
                <w:szCs w:val="17"/>
              </w:rPr>
            </w:pPr>
            <w:r>
              <w:rPr>
                <w:szCs w:val="17"/>
              </w:rPr>
              <w:t>2</w:t>
            </w:r>
          </w:p>
        </w:tc>
        <w:tc>
          <w:tcPr>
            <w:tcW w:w="619" w:type="pct"/>
            <w:tcBorders>
              <w:top w:val="single" w:sz="4" w:space="0" w:color="1F3864" w:themeColor="accent5" w:themeShade="80"/>
              <w:left w:val="nil"/>
              <w:bottom w:val="single" w:sz="4" w:space="0" w:color="1F3864" w:themeColor="accent5" w:themeShade="80"/>
              <w:right w:val="nil"/>
            </w:tcBorders>
          </w:tcPr>
          <w:p w:rsidR="007B156E" w:rsidRPr="008B6BE3" w:rsidRDefault="007B156E" w:rsidP="00E5170C">
            <w:pPr>
              <w:pStyle w:val="APVMATableText"/>
              <w:spacing w:before="40" w:after="40" w:line="240" w:lineRule="auto"/>
              <w:jc w:val="center"/>
              <w:rPr>
                <w:bCs/>
                <w:szCs w:val="17"/>
              </w:rPr>
            </w:pPr>
            <w:r>
              <w:rPr>
                <w:bCs/>
                <w:szCs w:val="17"/>
              </w:rPr>
              <w:t>0.2</w:t>
            </w:r>
          </w:p>
        </w:tc>
        <w:tc>
          <w:tcPr>
            <w:tcW w:w="762"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40" w:after="40" w:line="240" w:lineRule="auto"/>
              <w:jc w:val="center"/>
              <w:rPr>
                <w:szCs w:val="17"/>
              </w:rPr>
            </w:pPr>
            <w:r>
              <w:rPr>
                <w:szCs w:val="17"/>
              </w:rPr>
              <w:t>0.05</w:t>
            </w:r>
          </w:p>
        </w:tc>
        <w:tc>
          <w:tcPr>
            <w:tcW w:w="786"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0" w:after="0" w:line="240" w:lineRule="auto"/>
              <w:jc w:val="center"/>
              <w:rPr>
                <w:szCs w:val="17"/>
              </w:rPr>
            </w:pPr>
            <w:r>
              <w:rPr>
                <w:szCs w:val="17"/>
              </w:rPr>
              <w:t>0.05</w:t>
            </w:r>
          </w:p>
        </w:tc>
        <w:tc>
          <w:tcPr>
            <w:tcW w:w="547" w:type="pct"/>
            <w:vMerge/>
            <w:tcBorders>
              <w:left w:val="nil"/>
              <w:right w:val="single" w:sz="4" w:space="0" w:color="auto"/>
            </w:tcBorders>
          </w:tcPr>
          <w:p w:rsidR="007B156E" w:rsidRDefault="007B156E" w:rsidP="00E5170C">
            <w:pPr>
              <w:pStyle w:val="APVMATableText"/>
              <w:spacing w:before="0" w:after="0" w:line="240" w:lineRule="auto"/>
              <w:jc w:val="center"/>
              <w:rPr>
                <w:szCs w:val="17"/>
              </w:rPr>
            </w:pPr>
          </w:p>
        </w:tc>
      </w:tr>
      <w:tr w:rsidR="009B65B1" w:rsidRPr="00B179EA" w:rsidTr="009B65B1">
        <w:trPr>
          <w:trHeight w:val="326"/>
        </w:trPr>
        <w:tc>
          <w:tcPr>
            <w:tcW w:w="580" w:type="pct"/>
            <w:tcBorders>
              <w:top w:val="single" w:sz="4" w:space="0" w:color="1F3864" w:themeColor="accent5" w:themeShade="80"/>
              <w:left w:val="single" w:sz="4" w:space="0" w:color="auto"/>
              <w:bottom w:val="single" w:sz="4" w:space="0" w:color="1F3864" w:themeColor="accent5" w:themeShade="80"/>
              <w:right w:val="nil"/>
            </w:tcBorders>
            <w:vAlign w:val="center"/>
          </w:tcPr>
          <w:p w:rsidR="007B156E" w:rsidRDefault="007B156E" w:rsidP="00E5170C">
            <w:pPr>
              <w:pStyle w:val="APVMATableText"/>
              <w:spacing w:before="0" w:after="0" w:line="240" w:lineRule="auto"/>
              <w:rPr>
                <w:szCs w:val="17"/>
              </w:rPr>
            </w:pPr>
            <w:r>
              <w:rPr>
                <w:szCs w:val="17"/>
              </w:rPr>
              <w:t>Milk</w:t>
            </w:r>
          </w:p>
        </w:tc>
        <w:tc>
          <w:tcPr>
            <w:tcW w:w="544" w:type="pct"/>
            <w:tcBorders>
              <w:top w:val="single" w:sz="4" w:space="0" w:color="1F3864" w:themeColor="accent5" w:themeShade="80"/>
              <w:left w:val="nil"/>
              <w:bottom w:val="single" w:sz="4" w:space="0" w:color="1F3864" w:themeColor="accent5" w:themeShade="80"/>
              <w:right w:val="nil"/>
            </w:tcBorders>
          </w:tcPr>
          <w:p w:rsidR="007B156E" w:rsidRPr="00B179EA" w:rsidRDefault="007B156E" w:rsidP="00E5170C">
            <w:pPr>
              <w:pStyle w:val="APVMATableText"/>
              <w:spacing w:before="40" w:after="40" w:line="240" w:lineRule="auto"/>
              <w:jc w:val="center"/>
              <w:rPr>
                <w:szCs w:val="17"/>
              </w:rPr>
            </w:pPr>
            <w:r>
              <w:rPr>
                <w:szCs w:val="17"/>
              </w:rPr>
              <w:t>*0.01</w:t>
            </w:r>
          </w:p>
        </w:tc>
        <w:tc>
          <w:tcPr>
            <w:tcW w:w="494"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40" w:after="40" w:line="240" w:lineRule="auto"/>
              <w:jc w:val="center"/>
              <w:rPr>
                <w:szCs w:val="17"/>
              </w:rPr>
            </w:pPr>
            <w:r>
              <w:rPr>
                <w:szCs w:val="17"/>
              </w:rPr>
              <w:t>*0.005</w:t>
            </w:r>
          </w:p>
        </w:tc>
        <w:tc>
          <w:tcPr>
            <w:tcW w:w="668"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40" w:after="40" w:line="240" w:lineRule="auto"/>
              <w:jc w:val="center"/>
              <w:rPr>
                <w:szCs w:val="17"/>
              </w:rPr>
            </w:pPr>
            <w:r>
              <w:rPr>
                <w:szCs w:val="17"/>
              </w:rPr>
              <w:t>0.02</w:t>
            </w:r>
          </w:p>
        </w:tc>
        <w:tc>
          <w:tcPr>
            <w:tcW w:w="619" w:type="pct"/>
            <w:tcBorders>
              <w:top w:val="single" w:sz="4" w:space="0" w:color="1F3864" w:themeColor="accent5" w:themeShade="80"/>
              <w:left w:val="nil"/>
              <w:bottom w:val="single" w:sz="4" w:space="0" w:color="1F3864" w:themeColor="accent5" w:themeShade="80"/>
              <w:right w:val="nil"/>
            </w:tcBorders>
          </w:tcPr>
          <w:p w:rsidR="007B156E" w:rsidRPr="008B6BE3" w:rsidRDefault="007B156E" w:rsidP="00E5170C">
            <w:pPr>
              <w:pStyle w:val="APVMATableText"/>
              <w:spacing w:before="40" w:after="40" w:line="240" w:lineRule="auto"/>
              <w:jc w:val="center"/>
              <w:rPr>
                <w:bCs/>
                <w:szCs w:val="17"/>
              </w:rPr>
            </w:pPr>
            <w:r>
              <w:rPr>
                <w:bCs/>
                <w:szCs w:val="17"/>
              </w:rPr>
              <w:t>0.02</w:t>
            </w:r>
          </w:p>
        </w:tc>
        <w:tc>
          <w:tcPr>
            <w:tcW w:w="762"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40" w:after="40" w:line="240" w:lineRule="auto"/>
              <w:jc w:val="center"/>
              <w:rPr>
                <w:szCs w:val="17"/>
              </w:rPr>
            </w:pPr>
            <w:r>
              <w:rPr>
                <w:szCs w:val="17"/>
              </w:rPr>
              <w:t>0.02</w:t>
            </w:r>
          </w:p>
        </w:tc>
        <w:tc>
          <w:tcPr>
            <w:tcW w:w="786" w:type="pct"/>
            <w:tcBorders>
              <w:top w:val="single" w:sz="4" w:space="0" w:color="1F3864" w:themeColor="accent5" w:themeShade="80"/>
              <w:left w:val="nil"/>
              <w:bottom w:val="single" w:sz="4" w:space="0" w:color="1F3864" w:themeColor="accent5" w:themeShade="80"/>
              <w:right w:val="nil"/>
            </w:tcBorders>
          </w:tcPr>
          <w:p w:rsidR="007B156E" w:rsidRDefault="007B156E" w:rsidP="00E5170C">
            <w:pPr>
              <w:pStyle w:val="APVMATableText"/>
              <w:spacing w:before="0" w:after="0" w:line="240" w:lineRule="auto"/>
              <w:jc w:val="center"/>
              <w:rPr>
                <w:szCs w:val="17"/>
              </w:rPr>
            </w:pPr>
            <w:r>
              <w:rPr>
                <w:szCs w:val="17"/>
              </w:rPr>
              <w:t>0.01</w:t>
            </w:r>
          </w:p>
        </w:tc>
        <w:tc>
          <w:tcPr>
            <w:tcW w:w="547" w:type="pct"/>
            <w:vMerge/>
            <w:tcBorders>
              <w:left w:val="nil"/>
              <w:bottom w:val="single" w:sz="4" w:space="0" w:color="1F3864" w:themeColor="accent5" w:themeShade="80"/>
              <w:right w:val="single" w:sz="4" w:space="0" w:color="auto"/>
            </w:tcBorders>
          </w:tcPr>
          <w:p w:rsidR="007B156E" w:rsidRDefault="007B156E" w:rsidP="00E5170C">
            <w:pPr>
              <w:pStyle w:val="APVMATableText"/>
              <w:spacing w:before="0" w:after="0" w:line="240" w:lineRule="auto"/>
              <w:jc w:val="center"/>
              <w:rPr>
                <w:szCs w:val="17"/>
              </w:rPr>
            </w:pPr>
          </w:p>
        </w:tc>
      </w:tr>
    </w:tbl>
    <w:p w:rsidR="008E32AE" w:rsidRDefault="008E32AE" w:rsidP="008E32AE">
      <w:pPr>
        <w:pStyle w:val="BODYTEXT"/>
        <w:spacing w:before="60"/>
        <w:rPr>
          <w:sz w:val="18"/>
          <w:szCs w:val="18"/>
        </w:rPr>
      </w:pPr>
      <w:r>
        <w:rPr>
          <w:sz w:val="18"/>
          <w:szCs w:val="18"/>
        </w:rPr>
        <w:t xml:space="preserve">New Zealand follows Food Standard Australia New Zealand </w:t>
      </w:r>
      <w:r w:rsidR="009B65B1">
        <w:rPr>
          <w:sz w:val="18"/>
          <w:szCs w:val="18"/>
        </w:rPr>
        <w:t>(</w:t>
      </w:r>
      <w:r>
        <w:rPr>
          <w:sz w:val="18"/>
          <w:szCs w:val="18"/>
        </w:rPr>
        <w:t>current g</w:t>
      </w:r>
      <w:r w:rsidR="009B65B1">
        <w:rPr>
          <w:sz w:val="18"/>
          <w:szCs w:val="18"/>
        </w:rPr>
        <w:t xml:space="preserve">rape MRL </w:t>
      </w:r>
      <w:r>
        <w:rPr>
          <w:sz w:val="18"/>
          <w:szCs w:val="18"/>
        </w:rPr>
        <w:t xml:space="preserve">= </w:t>
      </w:r>
      <w:r w:rsidR="009B65B1">
        <w:rPr>
          <w:sz w:val="18"/>
          <w:szCs w:val="18"/>
        </w:rPr>
        <w:t>4</w:t>
      </w:r>
      <w:r>
        <w:rPr>
          <w:sz w:val="18"/>
          <w:szCs w:val="18"/>
        </w:rPr>
        <w:t xml:space="preserve"> </w:t>
      </w:r>
      <w:r w:rsidR="009B65B1">
        <w:rPr>
          <w:sz w:val="18"/>
          <w:szCs w:val="18"/>
        </w:rPr>
        <w:t>mg/kg)</w:t>
      </w:r>
      <w:r>
        <w:rPr>
          <w:sz w:val="18"/>
          <w:szCs w:val="18"/>
        </w:rPr>
        <w:t>.</w:t>
      </w:r>
      <w:r w:rsidR="007B156E" w:rsidRPr="00BA0C99">
        <w:rPr>
          <w:sz w:val="18"/>
          <w:szCs w:val="18"/>
        </w:rPr>
        <w:t xml:space="preserve"> </w:t>
      </w:r>
    </w:p>
    <w:p w:rsidR="007B156E" w:rsidRDefault="007B156E" w:rsidP="008E32AE">
      <w:pPr>
        <w:pStyle w:val="BODYTEXT"/>
        <w:rPr>
          <w:lang w:val="en-GB"/>
        </w:rPr>
        <w:sectPr w:rsidR="007B156E" w:rsidSect="00A50108">
          <w:pgSz w:w="16838" w:h="11906" w:orient="landscape" w:code="9"/>
          <w:pgMar w:top="1440" w:right="1080" w:bottom="1440" w:left="1080" w:header="1701" w:footer="680" w:gutter="0"/>
          <w:cols w:space="708"/>
          <w:docGrid w:linePitch="360"/>
        </w:sectPr>
      </w:pPr>
      <w:r w:rsidRPr="00BA0C99">
        <w:rPr>
          <w:sz w:val="18"/>
          <w:szCs w:val="18"/>
        </w:rPr>
        <w:t>Singapore and Malaysia follow Codex</w:t>
      </w:r>
      <w:r>
        <w:rPr>
          <w:sz w:val="18"/>
          <w:szCs w:val="18"/>
        </w:rPr>
        <w:t xml:space="preserve"> for MRL complian</w:t>
      </w:r>
      <w:r w:rsidR="00E003BF">
        <w:rPr>
          <w:sz w:val="18"/>
          <w:szCs w:val="18"/>
        </w:rPr>
        <w:t>ce.</w:t>
      </w:r>
    </w:p>
    <w:p w:rsidR="000B63A6" w:rsidRDefault="00E44DCB">
      <w:pPr>
        <w:pStyle w:val="Heading2"/>
      </w:pPr>
      <w:bookmarkStart w:id="22" w:name="_Toc231889750"/>
      <w:bookmarkStart w:id="23" w:name="_Toc530137769"/>
      <w:r>
        <w:lastRenderedPageBreak/>
        <w:t>Current and</w:t>
      </w:r>
      <w:r w:rsidR="007B156E">
        <w:t xml:space="preserve"> </w:t>
      </w:r>
      <w:r>
        <w:t xml:space="preserve">proposed Australian MRLs for </w:t>
      </w:r>
      <w:bookmarkEnd w:id="22"/>
      <w:r w:rsidR="009B65B1">
        <w:t>difenoconazole</w:t>
      </w:r>
      <w:bookmarkEnd w:id="23"/>
    </w:p>
    <w:p w:rsidR="000B63A6" w:rsidRDefault="008E32AE" w:rsidP="004A0985">
      <w:pPr>
        <w:pStyle w:val="APVMATableHead"/>
        <w:spacing w:before="360" w:after="120"/>
      </w:pPr>
      <w:bookmarkStart w:id="24" w:name="_Toc529794433"/>
      <w:r>
        <w:t>Table 3</w:t>
      </w:r>
      <w:r w:rsidR="00E44DCB">
        <w:t>:</w:t>
      </w:r>
      <w:r w:rsidR="00E44DCB">
        <w:tab/>
        <w:t>Current MRL Standard – Table1</w:t>
      </w:r>
      <w:bookmarkEnd w:id="24"/>
      <w:r w:rsidR="00E44DC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4445"/>
        <w:gridCol w:w="1850"/>
      </w:tblGrid>
      <w:tr w:rsidR="000B63A6" w:rsidTr="00A50108">
        <w:trPr>
          <w:tblHeader/>
        </w:trPr>
        <w:tc>
          <w:tcPr>
            <w:tcW w:w="2997" w:type="dxa"/>
            <w:tcBorders>
              <w:top w:val="single" w:sz="4" w:space="0" w:color="auto"/>
              <w:left w:val="nil"/>
              <w:bottom w:val="single" w:sz="4" w:space="0" w:color="auto"/>
              <w:right w:val="nil"/>
            </w:tcBorders>
            <w:shd w:val="clear" w:color="auto" w:fill="E6E6E6"/>
          </w:tcPr>
          <w:p w:rsidR="000B63A6" w:rsidRDefault="00E44DCB" w:rsidP="004A0985">
            <w:pPr>
              <w:pStyle w:val="MRLTableHeading"/>
            </w:pPr>
            <w:r>
              <w:t>COMPOUND</w:t>
            </w:r>
          </w:p>
        </w:tc>
        <w:tc>
          <w:tcPr>
            <w:tcW w:w="4445" w:type="dxa"/>
            <w:tcBorders>
              <w:top w:val="single" w:sz="4" w:space="0" w:color="auto"/>
              <w:left w:val="nil"/>
              <w:bottom w:val="single" w:sz="4" w:space="0" w:color="auto"/>
              <w:right w:val="nil"/>
            </w:tcBorders>
            <w:shd w:val="clear" w:color="auto" w:fill="E6E6E6"/>
          </w:tcPr>
          <w:p w:rsidR="000B63A6" w:rsidRDefault="00E44DCB" w:rsidP="004A0985">
            <w:pPr>
              <w:pStyle w:val="MRLTableHeading"/>
            </w:pPr>
            <w:r>
              <w:t>FOOD</w:t>
            </w:r>
          </w:p>
        </w:tc>
        <w:tc>
          <w:tcPr>
            <w:tcW w:w="1850" w:type="dxa"/>
            <w:tcBorders>
              <w:top w:val="single" w:sz="4" w:space="0" w:color="auto"/>
              <w:left w:val="nil"/>
              <w:bottom w:val="single" w:sz="4" w:space="0" w:color="auto"/>
              <w:right w:val="nil"/>
            </w:tcBorders>
            <w:shd w:val="clear" w:color="auto" w:fill="E6E6E6"/>
          </w:tcPr>
          <w:p w:rsidR="000B63A6" w:rsidRDefault="00E44DCB" w:rsidP="004A0985">
            <w:pPr>
              <w:pStyle w:val="MRLTableHeading"/>
            </w:pPr>
            <w:r>
              <w:t>MRL (mg/kg)</w:t>
            </w:r>
          </w:p>
        </w:tc>
      </w:tr>
      <w:tr w:rsidR="000B63A6" w:rsidTr="00A50108">
        <w:tc>
          <w:tcPr>
            <w:tcW w:w="9292" w:type="dxa"/>
            <w:gridSpan w:val="3"/>
            <w:tcBorders>
              <w:top w:val="single" w:sz="4" w:space="0" w:color="auto"/>
              <w:left w:val="nil"/>
              <w:bottom w:val="nil"/>
              <w:right w:val="nil"/>
            </w:tcBorders>
          </w:tcPr>
          <w:p w:rsidR="000B63A6" w:rsidRDefault="007B156E">
            <w:pPr>
              <w:pStyle w:val="MRLActiveName"/>
            </w:pPr>
            <w:r>
              <w:t xml:space="preserve">difENOCONAZOLE </w:t>
            </w:r>
          </w:p>
        </w:tc>
      </w:tr>
      <w:tr w:rsidR="00A50108" w:rsidTr="00A50108">
        <w:tc>
          <w:tcPr>
            <w:tcW w:w="2997" w:type="dxa"/>
            <w:tcBorders>
              <w:top w:val="nil"/>
              <w:left w:val="nil"/>
              <w:bottom w:val="nil"/>
              <w:right w:val="nil"/>
            </w:tcBorders>
          </w:tcPr>
          <w:p w:rsidR="00A50108" w:rsidRPr="004B189E" w:rsidRDefault="00A50108" w:rsidP="00A50108">
            <w:pPr>
              <w:pStyle w:val="MRLCompound"/>
              <w:rPr>
                <w:sz w:val="18"/>
                <w:lang w:val="en-US"/>
              </w:rPr>
            </w:pPr>
            <w:r w:rsidRPr="004B189E">
              <w:rPr>
                <w:sz w:val="18"/>
                <w:lang w:val="en-US"/>
              </w:rPr>
              <w:t>DF</w:t>
            </w:r>
            <w:r w:rsidRPr="004B189E">
              <w:rPr>
                <w:sz w:val="18"/>
                <w:lang w:val="en-US"/>
              </w:rPr>
              <w:tab/>
              <w:t>0269</w:t>
            </w:r>
          </w:p>
        </w:tc>
        <w:tc>
          <w:tcPr>
            <w:tcW w:w="4445" w:type="dxa"/>
            <w:tcBorders>
              <w:top w:val="nil"/>
              <w:left w:val="nil"/>
              <w:bottom w:val="nil"/>
              <w:right w:val="nil"/>
            </w:tcBorders>
          </w:tcPr>
          <w:p w:rsidR="00A50108" w:rsidRPr="004B189E" w:rsidRDefault="00A50108" w:rsidP="00A50108">
            <w:pPr>
              <w:pStyle w:val="MRLTableText"/>
              <w:rPr>
                <w:sz w:val="18"/>
              </w:rPr>
            </w:pPr>
            <w:r w:rsidRPr="004B189E">
              <w:rPr>
                <w:sz w:val="18"/>
              </w:rPr>
              <w:t>Dried grapes (= Currants, Raisins and Sultanas)</w:t>
            </w:r>
          </w:p>
        </w:tc>
        <w:tc>
          <w:tcPr>
            <w:tcW w:w="1850" w:type="dxa"/>
            <w:tcBorders>
              <w:top w:val="nil"/>
              <w:left w:val="nil"/>
              <w:bottom w:val="nil"/>
              <w:right w:val="nil"/>
            </w:tcBorders>
          </w:tcPr>
          <w:p w:rsidR="00A50108" w:rsidRPr="004B189E" w:rsidRDefault="00A50108" w:rsidP="00A50108">
            <w:pPr>
              <w:pStyle w:val="MRLValue"/>
              <w:rPr>
                <w:sz w:val="18"/>
              </w:rPr>
            </w:pPr>
            <w:r w:rsidRPr="004B189E">
              <w:rPr>
                <w:sz w:val="18"/>
              </w:rPr>
              <w:t>6</w:t>
            </w:r>
          </w:p>
        </w:tc>
      </w:tr>
      <w:tr w:rsidR="00A50108" w:rsidTr="00A50108">
        <w:tc>
          <w:tcPr>
            <w:tcW w:w="2997" w:type="dxa"/>
            <w:tcBorders>
              <w:top w:val="nil"/>
              <w:left w:val="nil"/>
              <w:bottom w:val="nil"/>
              <w:right w:val="nil"/>
            </w:tcBorders>
          </w:tcPr>
          <w:p w:rsidR="00A50108" w:rsidRPr="00180B91" w:rsidRDefault="00A50108" w:rsidP="00A50108">
            <w:pPr>
              <w:pStyle w:val="MRLCompound"/>
              <w:rPr>
                <w:rFonts w:cs="Arial"/>
                <w:color w:val="70AD47" w:themeColor="accent6"/>
                <w:sz w:val="18"/>
                <w:szCs w:val="18"/>
              </w:rPr>
            </w:pPr>
            <w:r w:rsidRPr="004B189E">
              <w:rPr>
                <w:sz w:val="18"/>
                <w:lang w:val="en-US"/>
              </w:rPr>
              <w:t>MO</w:t>
            </w:r>
            <w:r w:rsidRPr="004B189E">
              <w:rPr>
                <w:sz w:val="18"/>
                <w:lang w:val="en-US"/>
              </w:rPr>
              <w:tab/>
              <w:t>0105</w:t>
            </w:r>
          </w:p>
        </w:tc>
        <w:tc>
          <w:tcPr>
            <w:tcW w:w="4445" w:type="dxa"/>
            <w:tcBorders>
              <w:top w:val="nil"/>
              <w:left w:val="nil"/>
              <w:bottom w:val="nil"/>
              <w:right w:val="nil"/>
            </w:tcBorders>
          </w:tcPr>
          <w:p w:rsidR="00A50108" w:rsidRPr="00180B91" w:rsidRDefault="00A50108" w:rsidP="00A50108">
            <w:pPr>
              <w:pStyle w:val="MRLTableText"/>
              <w:rPr>
                <w:rFonts w:cs="Arial"/>
                <w:color w:val="70AD47" w:themeColor="accent6"/>
                <w:sz w:val="18"/>
                <w:szCs w:val="18"/>
              </w:rPr>
            </w:pPr>
            <w:r w:rsidRPr="004B189E">
              <w:rPr>
                <w:sz w:val="18"/>
              </w:rPr>
              <w:t>Edible offal (Mammalian)</w:t>
            </w:r>
          </w:p>
        </w:tc>
        <w:tc>
          <w:tcPr>
            <w:tcW w:w="1850" w:type="dxa"/>
            <w:tcBorders>
              <w:top w:val="nil"/>
              <w:left w:val="nil"/>
              <w:bottom w:val="nil"/>
              <w:right w:val="nil"/>
            </w:tcBorders>
          </w:tcPr>
          <w:p w:rsidR="00A50108" w:rsidRPr="00180B91" w:rsidRDefault="00A50108" w:rsidP="00A50108">
            <w:pPr>
              <w:pStyle w:val="MRLValue"/>
              <w:rPr>
                <w:rFonts w:cs="Arial"/>
                <w:color w:val="70AD47" w:themeColor="accent6"/>
                <w:sz w:val="18"/>
                <w:szCs w:val="18"/>
              </w:rPr>
            </w:pPr>
            <w:r w:rsidRPr="004B189E">
              <w:rPr>
                <w:sz w:val="18"/>
              </w:rPr>
              <w:t>*0.05</w:t>
            </w:r>
          </w:p>
        </w:tc>
      </w:tr>
      <w:tr w:rsidR="00A50108" w:rsidTr="00A50108">
        <w:tc>
          <w:tcPr>
            <w:tcW w:w="2997" w:type="dxa"/>
            <w:tcBorders>
              <w:top w:val="nil"/>
              <w:left w:val="nil"/>
              <w:bottom w:val="nil"/>
              <w:right w:val="nil"/>
            </w:tcBorders>
          </w:tcPr>
          <w:p w:rsidR="00A50108" w:rsidRPr="00180B91" w:rsidRDefault="00A50108" w:rsidP="00A50108">
            <w:pPr>
              <w:pStyle w:val="MRLCompound"/>
              <w:rPr>
                <w:rFonts w:cs="Arial"/>
                <w:color w:val="70AD47" w:themeColor="accent6"/>
                <w:sz w:val="18"/>
                <w:szCs w:val="18"/>
              </w:rPr>
            </w:pPr>
            <w:r w:rsidRPr="004B189E">
              <w:rPr>
                <w:sz w:val="18"/>
                <w:lang w:val="en-US"/>
              </w:rPr>
              <w:t>PE</w:t>
            </w:r>
            <w:r w:rsidRPr="004B189E">
              <w:rPr>
                <w:sz w:val="18"/>
                <w:lang w:val="en-US"/>
              </w:rPr>
              <w:tab/>
              <w:t>0112</w:t>
            </w:r>
          </w:p>
        </w:tc>
        <w:tc>
          <w:tcPr>
            <w:tcW w:w="4445" w:type="dxa"/>
            <w:tcBorders>
              <w:top w:val="nil"/>
              <w:left w:val="nil"/>
              <w:bottom w:val="nil"/>
              <w:right w:val="nil"/>
            </w:tcBorders>
          </w:tcPr>
          <w:p w:rsidR="00A50108" w:rsidRPr="00180B91" w:rsidRDefault="00A50108" w:rsidP="00A50108">
            <w:pPr>
              <w:pStyle w:val="MRLTableText"/>
              <w:rPr>
                <w:rFonts w:cs="Arial"/>
                <w:color w:val="70AD47" w:themeColor="accent6"/>
                <w:sz w:val="18"/>
                <w:szCs w:val="18"/>
              </w:rPr>
            </w:pPr>
            <w:r w:rsidRPr="004B189E">
              <w:rPr>
                <w:sz w:val="18"/>
              </w:rPr>
              <w:t>Eggs</w:t>
            </w:r>
          </w:p>
        </w:tc>
        <w:tc>
          <w:tcPr>
            <w:tcW w:w="1850" w:type="dxa"/>
            <w:tcBorders>
              <w:top w:val="nil"/>
              <w:left w:val="nil"/>
              <w:bottom w:val="nil"/>
              <w:right w:val="nil"/>
            </w:tcBorders>
          </w:tcPr>
          <w:p w:rsidR="00A50108" w:rsidRPr="00180B91" w:rsidRDefault="00A50108" w:rsidP="00A50108">
            <w:pPr>
              <w:pStyle w:val="MRLValue"/>
              <w:rPr>
                <w:rFonts w:cs="Arial"/>
                <w:color w:val="70AD47" w:themeColor="accent6"/>
                <w:sz w:val="18"/>
                <w:szCs w:val="18"/>
              </w:rPr>
            </w:pPr>
            <w:r w:rsidRPr="004B189E">
              <w:rPr>
                <w:sz w:val="18"/>
              </w:rPr>
              <w:t>*0.05</w:t>
            </w:r>
          </w:p>
        </w:tc>
      </w:tr>
      <w:tr w:rsidR="00A50108" w:rsidTr="00A50108">
        <w:tc>
          <w:tcPr>
            <w:tcW w:w="2997" w:type="dxa"/>
            <w:tcBorders>
              <w:top w:val="nil"/>
              <w:left w:val="nil"/>
              <w:bottom w:val="nil"/>
              <w:right w:val="nil"/>
            </w:tcBorders>
          </w:tcPr>
          <w:p w:rsidR="00A50108" w:rsidRPr="004B189E" w:rsidRDefault="00A50108" w:rsidP="00A50108">
            <w:pPr>
              <w:pStyle w:val="MRLCompound"/>
              <w:rPr>
                <w:sz w:val="18"/>
                <w:lang w:val="en-US"/>
              </w:rPr>
            </w:pPr>
            <w:r w:rsidRPr="004B189E">
              <w:rPr>
                <w:sz w:val="18"/>
                <w:lang w:val="en-US"/>
              </w:rPr>
              <w:t>MM</w:t>
            </w:r>
            <w:r w:rsidRPr="004B189E">
              <w:rPr>
                <w:sz w:val="18"/>
                <w:lang w:val="en-US"/>
              </w:rPr>
              <w:tab/>
              <w:t>0095</w:t>
            </w:r>
          </w:p>
        </w:tc>
        <w:tc>
          <w:tcPr>
            <w:tcW w:w="4445" w:type="dxa"/>
            <w:tcBorders>
              <w:top w:val="nil"/>
              <w:left w:val="nil"/>
              <w:bottom w:val="nil"/>
              <w:right w:val="nil"/>
            </w:tcBorders>
          </w:tcPr>
          <w:p w:rsidR="00A50108" w:rsidRPr="004B189E" w:rsidRDefault="00A50108" w:rsidP="00A50108">
            <w:pPr>
              <w:pStyle w:val="MRLTableText"/>
              <w:rPr>
                <w:sz w:val="18"/>
              </w:rPr>
            </w:pPr>
            <w:r w:rsidRPr="004B189E">
              <w:rPr>
                <w:sz w:val="18"/>
              </w:rPr>
              <w:t>Meat (mammalian)</w:t>
            </w:r>
          </w:p>
        </w:tc>
        <w:tc>
          <w:tcPr>
            <w:tcW w:w="1850" w:type="dxa"/>
            <w:tcBorders>
              <w:top w:val="nil"/>
              <w:left w:val="nil"/>
              <w:bottom w:val="nil"/>
              <w:right w:val="nil"/>
            </w:tcBorders>
          </w:tcPr>
          <w:p w:rsidR="00A50108" w:rsidRPr="004B189E" w:rsidRDefault="00A50108" w:rsidP="00A50108">
            <w:pPr>
              <w:pStyle w:val="MRLValue"/>
              <w:rPr>
                <w:sz w:val="18"/>
              </w:rPr>
            </w:pPr>
            <w:r w:rsidRPr="004B189E">
              <w:rPr>
                <w:sz w:val="18"/>
              </w:rPr>
              <w:t>*0.05</w:t>
            </w:r>
          </w:p>
        </w:tc>
      </w:tr>
      <w:tr w:rsidR="00A50108" w:rsidTr="00A50108">
        <w:tc>
          <w:tcPr>
            <w:tcW w:w="2997" w:type="dxa"/>
            <w:tcBorders>
              <w:top w:val="nil"/>
              <w:left w:val="nil"/>
              <w:bottom w:val="nil"/>
              <w:right w:val="nil"/>
            </w:tcBorders>
          </w:tcPr>
          <w:p w:rsidR="00A50108" w:rsidRPr="00180B91" w:rsidRDefault="00A50108" w:rsidP="00A50108">
            <w:pPr>
              <w:pStyle w:val="MRLCompound"/>
              <w:rPr>
                <w:rFonts w:cs="Arial"/>
                <w:color w:val="70AD47" w:themeColor="accent6"/>
                <w:sz w:val="18"/>
                <w:szCs w:val="18"/>
              </w:rPr>
            </w:pPr>
            <w:r w:rsidRPr="004B189E">
              <w:rPr>
                <w:sz w:val="18"/>
                <w:lang w:val="en-US"/>
              </w:rPr>
              <w:t>ML</w:t>
            </w:r>
            <w:r w:rsidRPr="004B189E">
              <w:rPr>
                <w:sz w:val="18"/>
                <w:lang w:val="en-US"/>
              </w:rPr>
              <w:tab/>
              <w:t>0106</w:t>
            </w:r>
          </w:p>
        </w:tc>
        <w:tc>
          <w:tcPr>
            <w:tcW w:w="4445" w:type="dxa"/>
            <w:tcBorders>
              <w:top w:val="nil"/>
              <w:left w:val="nil"/>
              <w:bottom w:val="nil"/>
              <w:right w:val="nil"/>
            </w:tcBorders>
          </w:tcPr>
          <w:p w:rsidR="00A50108" w:rsidRPr="00180B91" w:rsidRDefault="00A50108" w:rsidP="00A50108">
            <w:pPr>
              <w:pStyle w:val="MRLTableText"/>
              <w:rPr>
                <w:rFonts w:cs="Arial"/>
                <w:color w:val="70AD47" w:themeColor="accent6"/>
                <w:sz w:val="18"/>
                <w:szCs w:val="18"/>
              </w:rPr>
            </w:pPr>
            <w:r w:rsidRPr="004B189E">
              <w:rPr>
                <w:sz w:val="18"/>
              </w:rPr>
              <w:t>Milks</w:t>
            </w:r>
          </w:p>
        </w:tc>
        <w:tc>
          <w:tcPr>
            <w:tcW w:w="1850" w:type="dxa"/>
            <w:tcBorders>
              <w:top w:val="nil"/>
              <w:left w:val="nil"/>
              <w:bottom w:val="nil"/>
              <w:right w:val="nil"/>
            </w:tcBorders>
          </w:tcPr>
          <w:p w:rsidR="00A50108" w:rsidRPr="00180B91" w:rsidRDefault="00A50108" w:rsidP="00A50108">
            <w:pPr>
              <w:pStyle w:val="MRLValue"/>
              <w:rPr>
                <w:rFonts w:cs="Arial"/>
                <w:color w:val="70AD47" w:themeColor="accent6"/>
                <w:sz w:val="18"/>
                <w:szCs w:val="18"/>
              </w:rPr>
            </w:pPr>
            <w:r w:rsidRPr="004B189E">
              <w:rPr>
                <w:sz w:val="18"/>
              </w:rPr>
              <w:t>*0.01</w:t>
            </w:r>
          </w:p>
        </w:tc>
      </w:tr>
      <w:tr w:rsidR="00A50108" w:rsidTr="00A50108">
        <w:tc>
          <w:tcPr>
            <w:tcW w:w="2997" w:type="dxa"/>
            <w:tcBorders>
              <w:top w:val="nil"/>
              <w:left w:val="nil"/>
              <w:bottom w:val="nil"/>
              <w:right w:val="nil"/>
            </w:tcBorders>
          </w:tcPr>
          <w:p w:rsidR="00A50108" w:rsidRPr="004B189E" w:rsidRDefault="00A50108" w:rsidP="00A50108">
            <w:pPr>
              <w:pStyle w:val="MRLCompound"/>
              <w:rPr>
                <w:sz w:val="18"/>
                <w:lang w:val="en-US"/>
              </w:rPr>
            </w:pPr>
            <w:r w:rsidRPr="004B189E">
              <w:rPr>
                <w:sz w:val="18"/>
                <w:lang w:val="en-US"/>
              </w:rPr>
              <w:t>PM</w:t>
            </w:r>
            <w:r w:rsidRPr="004B189E">
              <w:rPr>
                <w:sz w:val="18"/>
                <w:lang w:val="en-US"/>
              </w:rPr>
              <w:tab/>
              <w:t>0110</w:t>
            </w:r>
          </w:p>
        </w:tc>
        <w:tc>
          <w:tcPr>
            <w:tcW w:w="4445" w:type="dxa"/>
            <w:tcBorders>
              <w:top w:val="nil"/>
              <w:left w:val="nil"/>
              <w:bottom w:val="nil"/>
              <w:right w:val="nil"/>
            </w:tcBorders>
          </w:tcPr>
          <w:p w:rsidR="00A50108" w:rsidRPr="004B189E" w:rsidRDefault="00A50108" w:rsidP="00A50108">
            <w:pPr>
              <w:pStyle w:val="MRLTableText"/>
              <w:rPr>
                <w:sz w:val="18"/>
              </w:rPr>
            </w:pPr>
            <w:r w:rsidRPr="004B189E">
              <w:rPr>
                <w:sz w:val="18"/>
              </w:rPr>
              <w:t>Poultry meat</w:t>
            </w:r>
          </w:p>
        </w:tc>
        <w:tc>
          <w:tcPr>
            <w:tcW w:w="1850" w:type="dxa"/>
            <w:tcBorders>
              <w:top w:val="nil"/>
              <w:left w:val="nil"/>
              <w:bottom w:val="nil"/>
              <w:right w:val="nil"/>
            </w:tcBorders>
          </w:tcPr>
          <w:p w:rsidR="00A50108" w:rsidRPr="004B189E" w:rsidRDefault="00A50108" w:rsidP="00A50108">
            <w:pPr>
              <w:pStyle w:val="MRLValue"/>
              <w:rPr>
                <w:sz w:val="18"/>
              </w:rPr>
            </w:pPr>
            <w:r w:rsidRPr="004B189E">
              <w:rPr>
                <w:sz w:val="18"/>
              </w:rPr>
              <w:t>*0.05</w:t>
            </w:r>
          </w:p>
        </w:tc>
      </w:tr>
      <w:tr w:rsidR="00A50108" w:rsidTr="00A50108">
        <w:tc>
          <w:tcPr>
            <w:tcW w:w="2997" w:type="dxa"/>
            <w:tcBorders>
              <w:top w:val="nil"/>
              <w:left w:val="nil"/>
              <w:bottom w:val="nil"/>
              <w:right w:val="nil"/>
            </w:tcBorders>
          </w:tcPr>
          <w:p w:rsidR="00A50108" w:rsidRPr="004B189E" w:rsidRDefault="00A50108" w:rsidP="00A50108">
            <w:pPr>
              <w:pStyle w:val="MRLCompound"/>
              <w:rPr>
                <w:sz w:val="18"/>
                <w:lang w:val="en-US"/>
              </w:rPr>
            </w:pPr>
            <w:r w:rsidRPr="004B189E">
              <w:rPr>
                <w:sz w:val="18"/>
                <w:lang w:val="en-US"/>
              </w:rPr>
              <w:t>PO</w:t>
            </w:r>
            <w:r w:rsidRPr="004B189E">
              <w:rPr>
                <w:sz w:val="18"/>
                <w:lang w:val="en-US"/>
              </w:rPr>
              <w:tab/>
              <w:t>0111</w:t>
            </w:r>
          </w:p>
        </w:tc>
        <w:tc>
          <w:tcPr>
            <w:tcW w:w="4445" w:type="dxa"/>
            <w:tcBorders>
              <w:top w:val="nil"/>
              <w:left w:val="nil"/>
              <w:bottom w:val="nil"/>
              <w:right w:val="nil"/>
            </w:tcBorders>
          </w:tcPr>
          <w:p w:rsidR="00A50108" w:rsidRPr="004B189E" w:rsidRDefault="00A50108" w:rsidP="00A50108">
            <w:pPr>
              <w:pStyle w:val="MRLTableText"/>
              <w:rPr>
                <w:sz w:val="18"/>
              </w:rPr>
            </w:pPr>
            <w:r w:rsidRPr="004B189E">
              <w:rPr>
                <w:sz w:val="18"/>
              </w:rPr>
              <w:t>Poultry, Edible offal of</w:t>
            </w:r>
          </w:p>
        </w:tc>
        <w:tc>
          <w:tcPr>
            <w:tcW w:w="1850" w:type="dxa"/>
            <w:tcBorders>
              <w:top w:val="nil"/>
              <w:left w:val="nil"/>
              <w:bottom w:val="nil"/>
              <w:right w:val="nil"/>
            </w:tcBorders>
          </w:tcPr>
          <w:p w:rsidR="00A50108" w:rsidRPr="004B189E" w:rsidRDefault="00A50108" w:rsidP="00A50108">
            <w:pPr>
              <w:pStyle w:val="MRLValue"/>
              <w:rPr>
                <w:sz w:val="18"/>
              </w:rPr>
            </w:pPr>
            <w:r w:rsidRPr="004B189E">
              <w:rPr>
                <w:sz w:val="18"/>
              </w:rPr>
              <w:t>*0.05</w:t>
            </w:r>
          </w:p>
        </w:tc>
      </w:tr>
      <w:tr w:rsidR="00A50108" w:rsidTr="00A50108">
        <w:tc>
          <w:tcPr>
            <w:tcW w:w="2997" w:type="dxa"/>
            <w:tcBorders>
              <w:top w:val="nil"/>
              <w:left w:val="nil"/>
              <w:bottom w:val="nil"/>
              <w:right w:val="nil"/>
            </w:tcBorders>
          </w:tcPr>
          <w:p w:rsidR="00A50108" w:rsidRPr="004B189E" w:rsidRDefault="00A50108" w:rsidP="00A50108">
            <w:pPr>
              <w:pStyle w:val="MRLCompound"/>
              <w:rPr>
                <w:sz w:val="18"/>
                <w:lang w:val="en-US"/>
              </w:rPr>
            </w:pPr>
            <w:r w:rsidRPr="004B189E">
              <w:rPr>
                <w:sz w:val="18"/>
                <w:lang w:val="en-US"/>
              </w:rPr>
              <w:t>FB</w:t>
            </w:r>
            <w:r w:rsidRPr="004B189E">
              <w:rPr>
                <w:sz w:val="18"/>
                <w:lang w:val="en-US"/>
              </w:rPr>
              <w:tab/>
              <w:t>1235</w:t>
            </w:r>
          </w:p>
        </w:tc>
        <w:tc>
          <w:tcPr>
            <w:tcW w:w="4445" w:type="dxa"/>
            <w:tcBorders>
              <w:top w:val="nil"/>
              <w:left w:val="nil"/>
              <w:bottom w:val="nil"/>
              <w:right w:val="nil"/>
            </w:tcBorders>
          </w:tcPr>
          <w:p w:rsidR="00A50108" w:rsidRPr="004B189E" w:rsidRDefault="00A50108" w:rsidP="00A50108">
            <w:pPr>
              <w:pStyle w:val="MRLTableText"/>
              <w:rPr>
                <w:sz w:val="18"/>
              </w:rPr>
            </w:pPr>
            <w:r w:rsidRPr="004B189E">
              <w:rPr>
                <w:sz w:val="18"/>
              </w:rPr>
              <w:t>Table-grapes</w:t>
            </w:r>
          </w:p>
        </w:tc>
        <w:tc>
          <w:tcPr>
            <w:tcW w:w="1850" w:type="dxa"/>
            <w:tcBorders>
              <w:top w:val="nil"/>
              <w:left w:val="nil"/>
              <w:bottom w:val="nil"/>
              <w:right w:val="nil"/>
            </w:tcBorders>
          </w:tcPr>
          <w:p w:rsidR="00A50108" w:rsidRPr="004B189E" w:rsidRDefault="00A50108" w:rsidP="00A50108">
            <w:pPr>
              <w:pStyle w:val="MRLValue"/>
              <w:rPr>
                <w:sz w:val="18"/>
              </w:rPr>
            </w:pPr>
            <w:r w:rsidRPr="004B189E">
              <w:rPr>
                <w:sz w:val="18"/>
              </w:rPr>
              <w:t>2</w:t>
            </w:r>
          </w:p>
        </w:tc>
      </w:tr>
      <w:tr w:rsidR="00A50108" w:rsidTr="00A50108">
        <w:tc>
          <w:tcPr>
            <w:tcW w:w="2997" w:type="dxa"/>
            <w:tcBorders>
              <w:top w:val="nil"/>
              <w:left w:val="nil"/>
              <w:bottom w:val="single" w:sz="4" w:space="0" w:color="auto"/>
              <w:right w:val="nil"/>
            </w:tcBorders>
          </w:tcPr>
          <w:p w:rsidR="00A50108" w:rsidRPr="004B189E" w:rsidRDefault="00A50108" w:rsidP="00A50108">
            <w:pPr>
              <w:pStyle w:val="MRLCompound"/>
              <w:rPr>
                <w:sz w:val="18"/>
                <w:lang w:val="en-US"/>
              </w:rPr>
            </w:pPr>
            <w:r>
              <w:rPr>
                <w:sz w:val="18"/>
                <w:lang w:val="en-US"/>
              </w:rPr>
              <w:t xml:space="preserve">FB      1236 </w:t>
            </w:r>
          </w:p>
        </w:tc>
        <w:tc>
          <w:tcPr>
            <w:tcW w:w="4445" w:type="dxa"/>
            <w:tcBorders>
              <w:top w:val="nil"/>
              <w:left w:val="nil"/>
              <w:bottom w:val="single" w:sz="4" w:space="0" w:color="auto"/>
              <w:right w:val="nil"/>
            </w:tcBorders>
          </w:tcPr>
          <w:p w:rsidR="00A50108" w:rsidRPr="004B189E" w:rsidRDefault="00A50108" w:rsidP="00A50108">
            <w:pPr>
              <w:pStyle w:val="MRLTableText"/>
              <w:rPr>
                <w:sz w:val="18"/>
              </w:rPr>
            </w:pPr>
            <w:r>
              <w:rPr>
                <w:sz w:val="18"/>
              </w:rPr>
              <w:t xml:space="preserve">Wine-grapes </w:t>
            </w:r>
          </w:p>
        </w:tc>
        <w:tc>
          <w:tcPr>
            <w:tcW w:w="1850" w:type="dxa"/>
            <w:tcBorders>
              <w:top w:val="nil"/>
              <w:left w:val="nil"/>
              <w:bottom w:val="single" w:sz="4" w:space="0" w:color="auto"/>
              <w:right w:val="nil"/>
            </w:tcBorders>
          </w:tcPr>
          <w:p w:rsidR="00A50108" w:rsidRPr="004B189E" w:rsidRDefault="00A50108" w:rsidP="00A50108">
            <w:pPr>
              <w:pStyle w:val="MRLValue"/>
              <w:rPr>
                <w:sz w:val="18"/>
              </w:rPr>
            </w:pPr>
            <w:r>
              <w:rPr>
                <w:sz w:val="18"/>
              </w:rPr>
              <w:t xml:space="preserve">0.02 </w:t>
            </w:r>
          </w:p>
        </w:tc>
      </w:tr>
    </w:tbl>
    <w:p w:rsidR="000B63A6" w:rsidRDefault="00E44DCB" w:rsidP="004A0985">
      <w:pPr>
        <w:pStyle w:val="APVMATableHead"/>
        <w:spacing w:before="360" w:after="120"/>
      </w:pPr>
      <w:bookmarkStart w:id="25" w:name="_Toc529794434"/>
      <w:r>
        <w:t>Table</w:t>
      </w:r>
      <w:r w:rsidR="008E32AE">
        <w:t xml:space="preserve"> 4</w:t>
      </w:r>
      <w:r>
        <w:t>:</w:t>
      </w:r>
      <w:r>
        <w:tab/>
        <w:t>Proposed MRL Standard – Table1</w:t>
      </w:r>
      <w:bookmarkEnd w:id="25"/>
      <w:r>
        <w:t xml:space="preserve"> </w:t>
      </w:r>
    </w:p>
    <w:tbl>
      <w:tblPr>
        <w:tblW w:w="0" w:type="auto"/>
        <w:tblInd w:w="108" w:type="dxa"/>
        <w:tblLook w:val="01E0" w:firstRow="1" w:lastRow="1" w:firstColumn="1" w:lastColumn="1" w:noHBand="0" w:noVBand="0"/>
      </w:tblPr>
      <w:tblGrid>
        <w:gridCol w:w="2997"/>
        <w:gridCol w:w="4445"/>
        <w:gridCol w:w="1850"/>
      </w:tblGrid>
      <w:tr w:rsidR="000B63A6" w:rsidTr="00A50108">
        <w:trPr>
          <w:tblHeader/>
        </w:trPr>
        <w:tc>
          <w:tcPr>
            <w:tcW w:w="2997" w:type="dxa"/>
            <w:tcBorders>
              <w:top w:val="single" w:sz="4" w:space="0" w:color="auto"/>
              <w:bottom w:val="single" w:sz="4" w:space="0" w:color="auto"/>
            </w:tcBorders>
            <w:shd w:val="clear" w:color="auto" w:fill="E6E6E6"/>
          </w:tcPr>
          <w:p w:rsidR="000B63A6" w:rsidRDefault="00E44DCB" w:rsidP="004A0985">
            <w:pPr>
              <w:pStyle w:val="MRLTableHeading"/>
            </w:pPr>
            <w:r>
              <w:t>COMPOUND</w:t>
            </w:r>
          </w:p>
        </w:tc>
        <w:tc>
          <w:tcPr>
            <w:tcW w:w="4445" w:type="dxa"/>
            <w:tcBorders>
              <w:top w:val="single" w:sz="4" w:space="0" w:color="auto"/>
              <w:bottom w:val="single" w:sz="4" w:space="0" w:color="auto"/>
            </w:tcBorders>
            <w:shd w:val="clear" w:color="auto" w:fill="E6E6E6"/>
          </w:tcPr>
          <w:p w:rsidR="000B63A6" w:rsidRDefault="00E44DCB" w:rsidP="004A0985">
            <w:pPr>
              <w:pStyle w:val="MRLTableHeading"/>
            </w:pPr>
            <w:r>
              <w:t>FOOD</w:t>
            </w:r>
          </w:p>
        </w:tc>
        <w:tc>
          <w:tcPr>
            <w:tcW w:w="1850" w:type="dxa"/>
            <w:tcBorders>
              <w:top w:val="single" w:sz="4" w:space="0" w:color="auto"/>
              <w:bottom w:val="single" w:sz="4" w:space="0" w:color="auto"/>
            </w:tcBorders>
            <w:shd w:val="clear" w:color="auto" w:fill="E6E6E6"/>
          </w:tcPr>
          <w:p w:rsidR="000B63A6" w:rsidRDefault="00E44DCB" w:rsidP="004A0985">
            <w:pPr>
              <w:pStyle w:val="MRLTableHeading"/>
            </w:pPr>
            <w:r>
              <w:t>MRL (mg/kg)</w:t>
            </w:r>
          </w:p>
        </w:tc>
      </w:tr>
      <w:tr w:rsidR="000B63A6" w:rsidTr="00A50108">
        <w:tc>
          <w:tcPr>
            <w:tcW w:w="9292" w:type="dxa"/>
            <w:gridSpan w:val="3"/>
            <w:tcBorders>
              <w:top w:val="single" w:sz="4" w:space="0" w:color="auto"/>
            </w:tcBorders>
          </w:tcPr>
          <w:p w:rsidR="000B63A6" w:rsidRDefault="007B156E">
            <w:pPr>
              <w:pStyle w:val="MRLActiveName"/>
            </w:pPr>
            <w:r>
              <w:t xml:space="preserve">DIFENOCONAZOLE </w:t>
            </w:r>
          </w:p>
        </w:tc>
      </w:tr>
      <w:tr w:rsidR="000B63A6" w:rsidTr="00A50108">
        <w:tc>
          <w:tcPr>
            <w:tcW w:w="2997" w:type="dxa"/>
          </w:tcPr>
          <w:p w:rsidR="000B63A6" w:rsidRDefault="00E44DCB">
            <w:pPr>
              <w:pStyle w:val="MRLTableText"/>
            </w:pPr>
            <w:r>
              <w:t>DELETE:</w:t>
            </w:r>
          </w:p>
        </w:tc>
        <w:tc>
          <w:tcPr>
            <w:tcW w:w="4445" w:type="dxa"/>
          </w:tcPr>
          <w:p w:rsidR="000B63A6" w:rsidRDefault="000B63A6">
            <w:pPr>
              <w:pStyle w:val="MRLTableText"/>
            </w:pPr>
          </w:p>
        </w:tc>
        <w:tc>
          <w:tcPr>
            <w:tcW w:w="1850" w:type="dxa"/>
          </w:tcPr>
          <w:p w:rsidR="000B63A6" w:rsidRDefault="000B63A6">
            <w:pPr>
              <w:pStyle w:val="MRLValue"/>
              <w:tabs>
                <w:tab w:val="clear" w:pos="612"/>
                <w:tab w:val="decimal" w:pos="792"/>
              </w:tabs>
              <w:jc w:val="both"/>
            </w:pPr>
          </w:p>
        </w:tc>
      </w:tr>
      <w:tr w:rsidR="007B156E" w:rsidTr="00A50108">
        <w:tc>
          <w:tcPr>
            <w:tcW w:w="2997" w:type="dxa"/>
          </w:tcPr>
          <w:p w:rsidR="007B156E" w:rsidRPr="00407281" w:rsidRDefault="007B156E" w:rsidP="007B156E">
            <w:pPr>
              <w:pStyle w:val="MRLCompound"/>
              <w:rPr>
                <w:rFonts w:cs="Arial"/>
                <w:sz w:val="18"/>
                <w:szCs w:val="18"/>
              </w:rPr>
            </w:pPr>
            <w:r w:rsidRPr="00407281">
              <w:rPr>
                <w:sz w:val="18"/>
                <w:lang w:val="en-US"/>
              </w:rPr>
              <w:t>FB</w:t>
            </w:r>
            <w:r w:rsidRPr="00407281">
              <w:rPr>
                <w:sz w:val="18"/>
                <w:lang w:val="en-US"/>
              </w:rPr>
              <w:tab/>
              <w:t>1235</w:t>
            </w:r>
          </w:p>
        </w:tc>
        <w:tc>
          <w:tcPr>
            <w:tcW w:w="4445" w:type="dxa"/>
          </w:tcPr>
          <w:p w:rsidR="007B156E" w:rsidRPr="00407281" w:rsidRDefault="007B156E" w:rsidP="007B156E">
            <w:pPr>
              <w:pStyle w:val="MRLTableText"/>
              <w:rPr>
                <w:rFonts w:cs="Arial"/>
                <w:sz w:val="18"/>
                <w:szCs w:val="18"/>
              </w:rPr>
            </w:pPr>
            <w:r w:rsidRPr="00407281">
              <w:rPr>
                <w:sz w:val="18"/>
              </w:rPr>
              <w:t>Table-grapes</w:t>
            </w:r>
          </w:p>
        </w:tc>
        <w:tc>
          <w:tcPr>
            <w:tcW w:w="1850" w:type="dxa"/>
          </w:tcPr>
          <w:p w:rsidR="007B156E" w:rsidRPr="00407281" w:rsidRDefault="007B156E" w:rsidP="007B156E">
            <w:pPr>
              <w:pStyle w:val="MRLValue"/>
              <w:rPr>
                <w:rFonts w:cs="Arial"/>
                <w:sz w:val="18"/>
                <w:szCs w:val="18"/>
              </w:rPr>
            </w:pPr>
            <w:r w:rsidRPr="00407281">
              <w:rPr>
                <w:sz w:val="18"/>
              </w:rPr>
              <w:t>2</w:t>
            </w:r>
          </w:p>
        </w:tc>
      </w:tr>
      <w:tr w:rsidR="007B156E" w:rsidTr="00A50108">
        <w:tc>
          <w:tcPr>
            <w:tcW w:w="2997" w:type="dxa"/>
          </w:tcPr>
          <w:p w:rsidR="007B156E" w:rsidRPr="00407281" w:rsidRDefault="007B156E" w:rsidP="007B156E">
            <w:pPr>
              <w:pStyle w:val="MRLCompound"/>
              <w:rPr>
                <w:rFonts w:cs="Arial"/>
                <w:sz w:val="18"/>
                <w:szCs w:val="18"/>
              </w:rPr>
            </w:pPr>
            <w:r w:rsidRPr="00407281">
              <w:rPr>
                <w:sz w:val="18"/>
                <w:lang w:val="en-US"/>
              </w:rPr>
              <w:t xml:space="preserve">FB      1236 </w:t>
            </w:r>
          </w:p>
        </w:tc>
        <w:tc>
          <w:tcPr>
            <w:tcW w:w="4445" w:type="dxa"/>
          </w:tcPr>
          <w:p w:rsidR="007B156E" w:rsidRPr="00407281" w:rsidRDefault="007B156E" w:rsidP="007B156E">
            <w:pPr>
              <w:pStyle w:val="MRLTableText"/>
              <w:rPr>
                <w:rFonts w:cs="Arial"/>
                <w:sz w:val="18"/>
                <w:szCs w:val="18"/>
              </w:rPr>
            </w:pPr>
            <w:r w:rsidRPr="00407281">
              <w:rPr>
                <w:sz w:val="18"/>
              </w:rPr>
              <w:t xml:space="preserve">Wine-grapes </w:t>
            </w:r>
          </w:p>
        </w:tc>
        <w:tc>
          <w:tcPr>
            <w:tcW w:w="1850" w:type="dxa"/>
          </w:tcPr>
          <w:p w:rsidR="007B156E" w:rsidRPr="00407281" w:rsidRDefault="007B156E" w:rsidP="007B156E">
            <w:pPr>
              <w:pStyle w:val="MRLValue"/>
              <w:rPr>
                <w:rFonts w:cs="Arial"/>
                <w:sz w:val="18"/>
                <w:szCs w:val="18"/>
              </w:rPr>
            </w:pPr>
            <w:r w:rsidRPr="00407281">
              <w:rPr>
                <w:sz w:val="18"/>
              </w:rPr>
              <w:t xml:space="preserve">0.02 </w:t>
            </w:r>
          </w:p>
        </w:tc>
      </w:tr>
      <w:tr w:rsidR="000B63A6" w:rsidTr="00A50108">
        <w:tc>
          <w:tcPr>
            <w:tcW w:w="2997" w:type="dxa"/>
          </w:tcPr>
          <w:p w:rsidR="000B63A6" w:rsidRDefault="00E44DCB">
            <w:pPr>
              <w:pStyle w:val="MRLTableText"/>
            </w:pPr>
            <w:r>
              <w:t>ADD:</w:t>
            </w:r>
          </w:p>
        </w:tc>
        <w:tc>
          <w:tcPr>
            <w:tcW w:w="4445" w:type="dxa"/>
          </w:tcPr>
          <w:p w:rsidR="000B63A6" w:rsidRDefault="000B63A6">
            <w:pPr>
              <w:pStyle w:val="MRLTableText"/>
            </w:pPr>
          </w:p>
        </w:tc>
        <w:tc>
          <w:tcPr>
            <w:tcW w:w="1850" w:type="dxa"/>
          </w:tcPr>
          <w:p w:rsidR="000B63A6" w:rsidRDefault="000B63A6">
            <w:pPr>
              <w:pStyle w:val="MRLValue"/>
              <w:tabs>
                <w:tab w:val="clear" w:pos="612"/>
                <w:tab w:val="decimal" w:pos="792"/>
              </w:tabs>
              <w:jc w:val="both"/>
            </w:pPr>
          </w:p>
        </w:tc>
      </w:tr>
      <w:tr w:rsidR="007B156E" w:rsidTr="00A50108">
        <w:tc>
          <w:tcPr>
            <w:tcW w:w="2997" w:type="dxa"/>
            <w:tcBorders>
              <w:bottom w:val="single" w:sz="4" w:space="0" w:color="auto"/>
            </w:tcBorders>
          </w:tcPr>
          <w:p w:rsidR="007B156E" w:rsidRPr="00407281" w:rsidRDefault="007B156E" w:rsidP="007B156E">
            <w:pPr>
              <w:pStyle w:val="MRLCompound"/>
              <w:rPr>
                <w:rFonts w:cs="Arial"/>
                <w:sz w:val="18"/>
                <w:szCs w:val="18"/>
              </w:rPr>
            </w:pPr>
            <w:r w:rsidRPr="00407281">
              <w:rPr>
                <w:rFonts w:cs="Arial"/>
                <w:sz w:val="18"/>
                <w:szCs w:val="18"/>
              </w:rPr>
              <w:t>FB</w:t>
            </w:r>
            <w:r w:rsidRPr="00407281">
              <w:rPr>
                <w:rFonts w:cs="Arial"/>
                <w:sz w:val="18"/>
                <w:szCs w:val="18"/>
              </w:rPr>
              <w:tab/>
              <w:t>0269</w:t>
            </w:r>
          </w:p>
        </w:tc>
        <w:tc>
          <w:tcPr>
            <w:tcW w:w="4445" w:type="dxa"/>
            <w:tcBorders>
              <w:bottom w:val="single" w:sz="4" w:space="0" w:color="auto"/>
            </w:tcBorders>
          </w:tcPr>
          <w:p w:rsidR="007B156E" w:rsidRPr="00407281" w:rsidRDefault="007B156E" w:rsidP="007B156E">
            <w:pPr>
              <w:pStyle w:val="MRLTableText"/>
              <w:rPr>
                <w:rFonts w:cs="Arial"/>
                <w:sz w:val="18"/>
                <w:szCs w:val="18"/>
              </w:rPr>
            </w:pPr>
            <w:r w:rsidRPr="00407281">
              <w:rPr>
                <w:rFonts w:cs="Arial"/>
                <w:sz w:val="18"/>
                <w:szCs w:val="18"/>
              </w:rPr>
              <w:t xml:space="preserve">Grapes </w:t>
            </w:r>
          </w:p>
        </w:tc>
        <w:tc>
          <w:tcPr>
            <w:tcW w:w="1850" w:type="dxa"/>
            <w:tcBorders>
              <w:bottom w:val="single" w:sz="4" w:space="0" w:color="auto"/>
            </w:tcBorders>
          </w:tcPr>
          <w:p w:rsidR="007B156E" w:rsidRPr="00407281" w:rsidRDefault="007B156E" w:rsidP="007B156E">
            <w:pPr>
              <w:pStyle w:val="MRLValue"/>
              <w:rPr>
                <w:rFonts w:cs="Arial"/>
                <w:sz w:val="18"/>
                <w:szCs w:val="18"/>
              </w:rPr>
            </w:pPr>
            <w:r w:rsidRPr="00407281">
              <w:rPr>
                <w:rFonts w:cs="Arial"/>
                <w:sz w:val="18"/>
                <w:szCs w:val="18"/>
              </w:rPr>
              <w:t>2</w:t>
            </w:r>
          </w:p>
        </w:tc>
      </w:tr>
    </w:tbl>
    <w:p w:rsidR="00914508" w:rsidRDefault="00914508">
      <w:pPr>
        <w:rPr>
          <w:rFonts w:cs="Arial"/>
          <w:u w:color="000000"/>
        </w:rPr>
      </w:pPr>
      <w:r>
        <w:rPr>
          <w:rFonts w:cs="Arial"/>
          <w:u w:color="000000"/>
        </w:rPr>
        <w:br w:type="page"/>
      </w:r>
    </w:p>
    <w:p w:rsidR="000B63A6" w:rsidRDefault="00E44DCB">
      <w:pPr>
        <w:pStyle w:val="Heading2"/>
      </w:pPr>
      <w:bookmarkStart w:id="26" w:name="_Toc231889751"/>
      <w:bookmarkStart w:id="27" w:name="_Toc530137770"/>
      <w:r>
        <w:lastRenderedPageBreak/>
        <w:t>Potential risk to trade</w:t>
      </w:r>
      <w:bookmarkEnd w:id="26"/>
      <w:bookmarkEnd w:id="27"/>
    </w:p>
    <w:p w:rsidR="00A50108" w:rsidRDefault="00A50108" w:rsidP="00F432C2">
      <w:pPr>
        <w:pStyle w:val="APVMAText"/>
      </w:pPr>
      <w:r w:rsidRPr="00C7547A">
        <w:t>Export of treated produce containing finite (measurable) residues of difenoconazole may pose a risk to Australian trade in situations where (</w:t>
      </w:r>
      <w:proofErr w:type="spellStart"/>
      <w:r w:rsidRPr="00C7547A">
        <w:t>i</w:t>
      </w:r>
      <w:proofErr w:type="spellEnd"/>
      <w:r w:rsidRPr="00C7547A">
        <w:t>) no residue tolerance (import tolerance) is established in the importing country or (ii) where residues in Australian produce are likely to exceed a residue tolerance (import tolerance) establ</w:t>
      </w:r>
      <w:r w:rsidR="00914508">
        <w:t>ished in the importing country.</w:t>
      </w:r>
    </w:p>
    <w:p w:rsidR="00372609" w:rsidRDefault="00372609" w:rsidP="00F432C2">
      <w:pPr>
        <w:pStyle w:val="APVMAText"/>
      </w:pPr>
      <w:r>
        <w:rPr>
          <w:szCs w:val="20"/>
        </w:rPr>
        <w:t>No changes to the established mammalian meat and offal MRLs at *0.05 mg/kg and milk MRL at *0.01 mg/kg are proposed. The potential risk to the international trade of animal commodities is considered t</w:t>
      </w:r>
      <w:r w:rsidR="00914508">
        <w:rPr>
          <w:szCs w:val="20"/>
        </w:rPr>
        <w:t>o be low.</w:t>
      </w:r>
    </w:p>
    <w:p w:rsidR="00A50108" w:rsidRDefault="00041226" w:rsidP="00F432C2">
      <w:pPr>
        <w:pStyle w:val="APVMAText"/>
      </w:pPr>
      <w:r>
        <w:t xml:space="preserve">The proposed Australian grape MRL for difenoconazole </w:t>
      </w:r>
      <w:r w:rsidR="000E46A2">
        <w:t xml:space="preserve">is lower than </w:t>
      </w:r>
      <w:r w:rsidR="00E5170C">
        <w:t xml:space="preserve">that </w:t>
      </w:r>
      <w:r>
        <w:t>established by</w:t>
      </w:r>
      <w:r w:rsidR="00E5170C">
        <w:t xml:space="preserve"> Codex, </w:t>
      </w:r>
      <w:r w:rsidR="000E46A2">
        <w:t>E</w:t>
      </w:r>
      <w:r w:rsidR="00E5170C">
        <w:t>U</w:t>
      </w:r>
      <w:r>
        <w:t xml:space="preserve">, </w:t>
      </w:r>
      <w:r w:rsidR="000E46A2">
        <w:t>Japan</w:t>
      </w:r>
      <w:r>
        <w:t>,</w:t>
      </w:r>
      <w:r w:rsidR="000E46A2">
        <w:t xml:space="preserve"> Canad</w:t>
      </w:r>
      <w:r>
        <w:t xml:space="preserve">a </w:t>
      </w:r>
      <w:r w:rsidR="000E46A2">
        <w:t>and the USA</w:t>
      </w:r>
      <w:r w:rsidR="00BA379C">
        <w:t xml:space="preserve">, therefore </w:t>
      </w:r>
      <w:r w:rsidR="00C01F12">
        <w:t>the risk to trade to these markets is low</w:t>
      </w:r>
      <w:r w:rsidR="000E46A2">
        <w:t xml:space="preserve">. </w:t>
      </w:r>
      <w:r w:rsidR="00BC5297">
        <w:t xml:space="preserve">China has not established a MRL for </w:t>
      </w:r>
      <w:r w:rsidR="001C656F">
        <w:t>difenoconazole</w:t>
      </w:r>
      <w:r w:rsidR="00BC5297">
        <w:t xml:space="preserve"> in grapes. </w:t>
      </w:r>
      <w:r w:rsidR="00C01F12">
        <w:t>T</w:t>
      </w:r>
      <w:r w:rsidR="009B65B1" w:rsidRPr="007B156E">
        <w:rPr>
          <w:szCs w:val="20"/>
        </w:rPr>
        <w:t xml:space="preserve">he HR-P for wine </w:t>
      </w:r>
      <w:r w:rsidR="00C01F12">
        <w:rPr>
          <w:szCs w:val="20"/>
        </w:rPr>
        <w:t>was</w:t>
      </w:r>
      <w:r w:rsidR="009B65B1" w:rsidRPr="007B156E">
        <w:rPr>
          <w:szCs w:val="20"/>
        </w:rPr>
        <w:t xml:space="preserve"> ~0.03 mg/kg</w:t>
      </w:r>
      <w:r w:rsidR="009B65B1">
        <w:t xml:space="preserve"> following </w:t>
      </w:r>
      <w:r w:rsidR="009B65B1">
        <w:rPr>
          <w:szCs w:val="20"/>
        </w:rPr>
        <w:t>the proposed use pattern</w:t>
      </w:r>
      <w:r w:rsidR="00914508">
        <w:rPr>
          <w:szCs w:val="20"/>
        </w:rPr>
        <w:t>.</w:t>
      </w:r>
    </w:p>
    <w:p w:rsidR="00A50108" w:rsidRPr="00F432C2" w:rsidRDefault="00A50108" w:rsidP="00F432C2">
      <w:pPr>
        <w:pStyle w:val="APVMAText"/>
      </w:pPr>
      <w:r w:rsidRPr="00F432C2">
        <w:t xml:space="preserve">The </w:t>
      </w:r>
      <w:r w:rsidR="001C656F">
        <w:t>proposed</w:t>
      </w:r>
      <w:r w:rsidRPr="00F432C2">
        <w:t xml:space="preserve"> label has the following trade advice statement which is considered acceptable:</w:t>
      </w:r>
    </w:p>
    <w:p w:rsidR="00A50108" w:rsidRPr="00E5170C" w:rsidRDefault="00A50108" w:rsidP="00F432C2">
      <w:pPr>
        <w:pStyle w:val="APVMAText"/>
      </w:pPr>
      <w:r w:rsidRPr="00E5170C">
        <w:t>EXPORT OF TREATED FRUIT OR WINE</w:t>
      </w:r>
    </w:p>
    <w:p w:rsidR="00A50108" w:rsidRPr="00E5170C" w:rsidRDefault="00A50108" w:rsidP="00F432C2">
      <w:pPr>
        <w:pStyle w:val="APVMAText"/>
      </w:pPr>
      <w:r w:rsidRPr="00E5170C">
        <w:t xml:space="preserve">Growers should note that suitable MRLs or import tolerances may not be established in all markets for produce treated with Digger. Additionally, some export markets have established MRLs different to those in Australia. If growing fruit for export (either fresh, dried or for wine production) please check with your industry representative or </w:t>
      </w:r>
      <w:proofErr w:type="spellStart"/>
      <w:r w:rsidRPr="00E5170C">
        <w:t>Nufarm</w:t>
      </w:r>
      <w:proofErr w:type="spellEnd"/>
      <w:r w:rsidRPr="00E5170C">
        <w:t xml:space="preserve"> Australia Ltd. If growing wine grapes, contact the Australian Wine Research Institute www.awri.com.au for the latest information on MRLs and overseas import tolerances BEFORE using Digger.</w:t>
      </w:r>
    </w:p>
    <w:p w:rsidR="000B63A6" w:rsidRDefault="00E44DCB" w:rsidP="00C01EEB">
      <w:pPr>
        <w:pStyle w:val="Heading1"/>
        <w:keepNext w:val="0"/>
        <w:keepLines w:val="0"/>
        <w:pageBreakBefore w:val="0"/>
        <w:widowControl w:val="0"/>
        <w:suppressAutoHyphens w:val="0"/>
      </w:pPr>
      <w:bookmarkStart w:id="28" w:name="_Toc231963195"/>
      <w:bookmarkStart w:id="29" w:name="_Toc231963183"/>
      <w:bookmarkStart w:id="30" w:name="_Toc530137771"/>
      <w:r>
        <w:t>Conclusions</w:t>
      </w:r>
      <w:bookmarkEnd w:id="30"/>
    </w:p>
    <w:p w:rsidR="00C01F12" w:rsidRDefault="00A50108" w:rsidP="004A0985">
      <w:pPr>
        <w:pStyle w:val="APVMAText"/>
      </w:pPr>
      <w:proofErr w:type="spellStart"/>
      <w:r w:rsidRPr="00343A82">
        <w:rPr>
          <w:i/>
        </w:rPr>
        <w:t>Nufarm</w:t>
      </w:r>
      <w:proofErr w:type="spellEnd"/>
      <w:r w:rsidRPr="00343A82">
        <w:rPr>
          <w:i/>
        </w:rPr>
        <w:t xml:space="preserve"> Australia Limited </w:t>
      </w:r>
      <w:r w:rsidR="000E46A2">
        <w:t xml:space="preserve">have made an application to vary the registration of </w:t>
      </w:r>
      <w:proofErr w:type="spellStart"/>
      <w:r w:rsidRPr="00F432C2">
        <w:t>Nufarm</w:t>
      </w:r>
      <w:proofErr w:type="spellEnd"/>
      <w:r w:rsidRPr="00F432C2">
        <w:t xml:space="preserve"> Digger Fungicide containing </w:t>
      </w:r>
      <w:proofErr w:type="spellStart"/>
      <w:r w:rsidRPr="00F432C2">
        <w:t>difenoconazole</w:t>
      </w:r>
      <w:proofErr w:type="spellEnd"/>
      <w:r w:rsidRPr="00F432C2">
        <w:t xml:space="preserve"> on wine grapes.</w:t>
      </w:r>
    </w:p>
    <w:p w:rsidR="000B63A6" w:rsidRDefault="00F432C2" w:rsidP="004A0985">
      <w:pPr>
        <w:pStyle w:val="APVMAText"/>
      </w:pPr>
      <w:r>
        <w:t xml:space="preserve">Comment is sought on the potential for </w:t>
      </w:r>
      <w:proofErr w:type="spellStart"/>
      <w:r>
        <w:t>Nufarm</w:t>
      </w:r>
      <w:proofErr w:type="spellEnd"/>
      <w:r>
        <w:t xml:space="preserve"> Digger Fungicide to prejudice Australian trade when used on wine grapes according to the amended label instructions.</w:t>
      </w:r>
      <w:bookmarkEnd w:id="28"/>
      <w:bookmarkEnd w:id="29"/>
    </w:p>
    <w:sectPr w:rsidR="000B63A6">
      <w:headerReference w:type="default" r:id="rId2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0D7" w:rsidRDefault="00D840D7">
      <w:r>
        <w:separator/>
      </w:r>
    </w:p>
    <w:p w:rsidR="00D840D7" w:rsidRDefault="00D840D7"/>
    <w:p w:rsidR="00D840D7" w:rsidRDefault="00D840D7"/>
    <w:p w:rsidR="00D840D7" w:rsidRDefault="00D840D7"/>
  </w:endnote>
  <w:endnote w:type="continuationSeparator" w:id="0">
    <w:p w:rsidR="00D840D7" w:rsidRDefault="00D840D7">
      <w:r>
        <w:continuationSeparator/>
      </w:r>
    </w:p>
    <w:p w:rsidR="00D840D7" w:rsidRDefault="00D840D7"/>
    <w:p w:rsidR="00D840D7" w:rsidRDefault="00D840D7"/>
    <w:p w:rsidR="00D840D7" w:rsidRDefault="00D84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0D7" w:rsidRDefault="00D840D7">
      <w:r>
        <w:separator/>
      </w:r>
    </w:p>
  </w:footnote>
  <w:footnote w:type="continuationSeparator" w:id="0">
    <w:p w:rsidR="00D840D7" w:rsidRDefault="00D840D7">
      <w:pPr>
        <w:spacing w:line="180" w:lineRule="exact"/>
        <w:rPr>
          <w:sz w:val="16"/>
        </w:rPr>
      </w:pPr>
      <w:r>
        <w:rPr>
          <w:sz w:val="16"/>
        </w:rPr>
        <w:continuationSeparator/>
      </w:r>
    </w:p>
    <w:p w:rsidR="00D840D7" w:rsidRDefault="00D840D7"/>
    <w:p w:rsidR="00D840D7" w:rsidRDefault="00D840D7"/>
    <w:p w:rsidR="00D840D7" w:rsidRDefault="00D840D7"/>
  </w:footnote>
  <w:footnote w:type="continuationNotice" w:id="1">
    <w:p w:rsidR="00D840D7" w:rsidRDefault="00D840D7"/>
    <w:p w:rsidR="00D840D7" w:rsidRDefault="00D840D7"/>
    <w:p w:rsidR="00D840D7" w:rsidRDefault="00D840D7"/>
    <w:p w:rsidR="00D840D7" w:rsidRDefault="00D840D7"/>
  </w:footnote>
  <w:footnote w:id="2">
    <w:p w:rsidR="00D840D7" w:rsidRDefault="00D840D7">
      <w:pPr>
        <w:pStyle w:val="FootnoteText"/>
      </w:pPr>
      <w:r>
        <w:rPr>
          <w:rStyle w:val="FootnoteReference"/>
        </w:rPr>
        <w:footnoteRef/>
      </w:r>
      <w:r>
        <w:t xml:space="preserve"> A full definition of </w:t>
      </w:r>
      <w:r>
        <w:rPr>
          <w:bCs/>
          <w:iCs/>
        </w:rPr>
        <w:t xml:space="preserve">"confidential commercial information" is contained in the </w:t>
      </w:r>
      <w:proofErr w:type="spellStart"/>
      <w:r>
        <w:rPr>
          <w:bCs/>
          <w:iCs/>
        </w:rPr>
        <w:t>Agvet</w:t>
      </w:r>
      <w:proofErr w:type="spellEnd"/>
      <w:r>
        <w:rPr>
          <w:bCs/>
          <w:iCs/>
        </w:rPr>
        <w:t xml:space="preserve"> Code.</w:t>
      </w:r>
    </w:p>
  </w:footnote>
  <w:footnote w:id="3">
    <w:p w:rsidR="00D840D7" w:rsidRDefault="00D840D7" w:rsidP="00041226">
      <w:pPr>
        <w:pStyle w:val="FootnoteText"/>
        <w:spacing w:before="0"/>
      </w:pPr>
      <w:r>
        <w:rPr>
          <w:rStyle w:val="FootnoteReference"/>
        </w:rPr>
        <w:footnoteRef/>
      </w:r>
      <w:r>
        <w:t xml:space="preserve"> </w:t>
      </w:r>
      <w:hyperlink r:id="rId1" w:anchor="2017" w:history="1">
        <w:r w:rsidRPr="005D55B3">
          <w:rPr>
            <w:rStyle w:val="Hyperlink"/>
          </w:rPr>
          <w:t>http://agriculture.gov.au/abares/research-topics/agricultural-commodities/agricultural-commodities-trade-data#2017</w:t>
        </w:r>
      </w:hyperlink>
      <w:r>
        <w:t xml:space="preserve">  </w:t>
      </w:r>
    </w:p>
    <w:p w:rsidR="00D840D7" w:rsidRDefault="00D840D7" w:rsidP="00041226">
      <w:pPr>
        <w:pStyle w:val="FootnoteText"/>
        <w:spacing w:before="0"/>
      </w:pPr>
    </w:p>
  </w:footnote>
  <w:footnote w:id="4">
    <w:p w:rsidR="00D840D7" w:rsidRDefault="00D840D7" w:rsidP="007B156E">
      <w:pPr>
        <w:pStyle w:val="FootnoteText"/>
        <w:spacing w:before="0"/>
      </w:pPr>
      <w:r>
        <w:rPr>
          <w:rStyle w:val="FootnoteReference"/>
        </w:rPr>
        <w:footnoteRef/>
      </w:r>
      <w:r>
        <w:t xml:space="preserve"> </w:t>
      </w:r>
      <w:hyperlink r:id="rId2" w:history="1">
        <w:r w:rsidRPr="005D55B3">
          <w:rPr>
            <w:rStyle w:val="Hyperlink"/>
          </w:rPr>
          <w:t>http://ec.europa.eu</w:t>
        </w:r>
      </w:hyperlink>
      <w:r>
        <w:t xml:space="preserve"> </w:t>
      </w:r>
    </w:p>
  </w:footnote>
  <w:footnote w:id="5">
    <w:p w:rsidR="00D840D7" w:rsidRDefault="00D840D7" w:rsidP="007B156E">
      <w:pPr>
        <w:pStyle w:val="FootnoteText"/>
        <w:spacing w:before="0"/>
      </w:pPr>
      <w:r>
        <w:rPr>
          <w:rStyle w:val="FootnoteReference"/>
        </w:rPr>
        <w:footnoteRef/>
      </w:r>
      <w:r>
        <w:t xml:space="preserve"> </w:t>
      </w:r>
      <w:hyperlink r:id="rId3" w:history="1">
        <w:r w:rsidRPr="005D55B3">
          <w:rPr>
            <w:rStyle w:val="Hyperlink"/>
          </w:rPr>
          <w:t>http://www.m5.ws001.squarestart.ne.jp</w:t>
        </w:r>
      </w:hyperlink>
      <w:r>
        <w:t xml:space="preserve"> </w:t>
      </w:r>
    </w:p>
  </w:footnote>
  <w:footnote w:id="6">
    <w:p w:rsidR="00D840D7" w:rsidRDefault="00D840D7" w:rsidP="007B156E">
      <w:pPr>
        <w:pStyle w:val="FootnoteText"/>
        <w:spacing w:before="0"/>
      </w:pPr>
      <w:r>
        <w:rPr>
          <w:rStyle w:val="FootnoteReference"/>
        </w:rPr>
        <w:footnoteRef/>
      </w:r>
      <w:r>
        <w:t xml:space="preserve"> </w:t>
      </w:r>
      <w:hyperlink r:id="rId4" w:history="1">
        <w:r w:rsidRPr="005D55B3">
          <w:rPr>
            <w:rStyle w:val="Hyperlink"/>
          </w:rPr>
          <w:t>http://www.codexalimentarius.net</w:t>
        </w:r>
      </w:hyperlink>
      <w:r>
        <w:t xml:space="preserve"> </w:t>
      </w:r>
    </w:p>
  </w:footnote>
  <w:footnote w:id="7">
    <w:p w:rsidR="00D840D7" w:rsidRDefault="00D840D7" w:rsidP="007B156E">
      <w:pPr>
        <w:pStyle w:val="FootnoteText"/>
        <w:spacing w:before="0"/>
      </w:pPr>
      <w:r>
        <w:rPr>
          <w:rStyle w:val="FootnoteReference"/>
        </w:rPr>
        <w:footnoteRef/>
      </w:r>
      <w:r>
        <w:t xml:space="preserve"> </w:t>
      </w:r>
      <w:hyperlink r:id="rId5" w:history="1">
        <w:r w:rsidRPr="005D55B3">
          <w:rPr>
            <w:rStyle w:val="Hyperlink"/>
          </w:rPr>
          <w:t>http://www.ecfr.gov</w:t>
        </w:r>
      </w:hyperlink>
      <w:r>
        <w:t xml:space="preserve"> </w:t>
      </w:r>
    </w:p>
  </w:footnote>
  <w:footnote w:id="8">
    <w:p w:rsidR="00D840D7" w:rsidRDefault="00D840D7" w:rsidP="007B156E">
      <w:pPr>
        <w:pStyle w:val="FootnoteText"/>
        <w:spacing w:before="0"/>
      </w:pPr>
      <w:r>
        <w:rPr>
          <w:rStyle w:val="FootnoteReference"/>
        </w:rPr>
        <w:footnoteRef/>
      </w:r>
      <w:r>
        <w:t xml:space="preserve"> </w:t>
      </w:r>
      <w:hyperlink r:id="rId6" w:history="1">
        <w:r w:rsidRPr="005D55B3">
          <w:rPr>
            <w:rStyle w:val="Hyperlink"/>
          </w:rPr>
          <w:t>https://www.canada.ca/en/health-canada/services/consumer-product-safety/pesticides-pest-management/public/protecting-your-health-environment/pesticides-food/residue-definitions-chemicals-maximum-residue-limits-regulated-under-pest-control-products-act.html</w:t>
        </w:r>
      </w:hyperlink>
      <w:r>
        <w:t xml:space="preserve"> </w:t>
      </w:r>
    </w:p>
  </w:footnote>
  <w:footnote w:id="9">
    <w:p w:rsidR="00D840D7" w:rsidRDefault="00D840D7" w:rsidP="007B156E">
      <w:pPr>
        <w:pStyle w:val="FootnoteText"/>
        <w:spacing w:before="0"/>
      </w:pPr>
      <w:r>
        <w:rPr>
          <w:rStyle w:val="FootnoteReference"/>
        </w:rPr>
        <w:footnoteRef/>
      </w:r>
      <w:r>
        <w:t xml:space="preserve"> </w:t>
      </w:r>
      <w:hyperlink r:id="rId7" w:history="1">
        <w:r w:rsidRPr="005D55B3">
          <w:rPr>
            <w:rStyle w:val="Hyperlink"/>
          </w:rPr>
          <w:t>http://pr-rp.hc-sc.gc.ca/mrl-lrm/index-eng.php</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D7" w:rsidRDefault="00D840D7">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4A0985">
      <w:rPr>
        <w:rStyle w:val="PageNumber"/>
        <w:b/>
        <w:caps w:val="0"/>
        <w:noProof/>
        <w:szCs w:val="24"/>
      </w:rPr>
      <w:t>iv</w:t>
    </w:r>
    <w:r>
      <w:rPr>
        <w:rStyle w:val="PageNumber"/>
        <w:b/>
        <w:caps w:val="0"/>
        <w:szCs w:val="24"/>
      </w:rPr>
      <w:fldChar w:fldCharType="end"/>
    </w:r>
    <w:r>
      <w:tab/>
      <w:t>Trade Advice Notice – [Product Name]</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D7" w:rsidRDefault="00D840D7">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920F00">
      <w:rPr>
        <w:rStyle w:val="PageNumber"/>
        <w:rFonts w:cs="Times New Roman"/>
        <w:b/>
        <w:bCs w:val="0"/>
        <w:caps w:val="0"/>
        <w:noProof/>
        <w:szCs w:val="24"/>
      </w:rPr>
      <w:t>iii</w:t>
    </w:r>
    <w:r>
      <w:rPr>
        <w:rStyle w:val="PageNumber"/>
        <w:rFonts w:cs="Times New Roman"/>
        <w:b/>
        <w:bCs w:val="0"/>
        <w:caps w:val="0"/>
        <w:szCs w:val="24"/>
      </w:rPr>
      <w:fldChar w:fldCharType="end"/>
    </w:r>
  </w:p>
  <w:p w:rsidR="00D840D7" w:rsidRDefault="00D840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D7" w:rsidRDefault="00D840D7">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AD0096">
      <w:rPr>
        <w:rStyle w:val="PageNumber"/>
        <w:b/>
        <w:caps w:val="0"/>
        <w:noProof/>
        <w:szCs w:val="24"/>
      </w:rPr>
      <w:t>12</w:t>
    </w:r>
    <w:r>
      <w:rPr>
        <w:rStyle w:val="PageNumber"/>
        <w:b/>
        <w:caps w:val="0"/>
        <w:szCs w:val="24"/>
      </w:rPr>
      <w:fldChar w:fldCharType="end"/>
    </w:r>
    <w:r>
      <w:tab/>
      <w:t xml:space="preserve">Trade Advice Notice – NUFARM DIGGER FUNGICIDE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D7" w:rsidRDefault="00D840D7">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662D1">
      <w:rPr>
        <w:rStyle w:val="PageNumber"/>
        <w:rFonts w:cs="Times New Roman"/>
        <w:b/>
        <w:bCs w:val="0"/>
        <w:caps w:val="0"/>
        <w:noProof/>
        <w:szCs w:val="24"/>
      </w:rPr>
      <w:t>v</w:t>
    </w:r>
    <w:r>
      <w:rPr>
        <w:rStyle w:val="PageNumber"/>
        <w:rFonts w:cs="Times New Roman"/>
        <w:b/>
        <w:bCs w:val="0"/>
        <w:caps w:val="0"/>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D7" w:rsidRDefault="00D840D7" w:rsidP="007B156E">
    <w:pPr>
      <w:pStyle w:val="APVMAOddHeader"/>
      <w:jc w:val="right"/>
    </w:pPr>
    <w:r>
      <w:tab/>
      <w:t>Trade Considerations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AD0096">
      <w:rPr>
        <w:rStyle w:val="PageNumber"/>
        <w:rFonts w:cs="Times New Roman"/>
        <w:b/>
        <w:bCs w:val="0"/>
        <w:caps w:val="0"/>
        <w:noProof/>
        <w:szCs w:val="24"/>
      </w:rPr>
      <w:t>9</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D7" w:rsidRDefault="00D840D7">
    <w:pPr>
      <w:pStyle w:val="APVMAOddHeader"/>
    </w:pPr>
    <w:r>
      <w:tab/>
      <w:t>Conclusions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662D1">
      <w:rPr>
        <w:rStyle w:val="PageNumber"/>
        <w:rFonts w:cs="Times New Roman"/>
        <w:b/>
        <w:bCs w:val="0"/>
        <w:caps w:val="0"/>
        <w:noProof/>
        <w:szCs w:val="24"/>
      </w:rPr>
      <w:t>11</w:t>
    </w:r>
    <w:r>
      <w:rPr>
        <w:rStyle w:val="PageNumber"/>
        <w:rFonts w:cs="Times New Roman"/>
        <w:b/>
        <w:bCs w:val="0"/>
        <w:caps w:val="0"/>
        <w:szCs w:val="24"/>
      </w:rPr>
      <w:fldChar w:fldCharType="end"/>
    </w:r>
  </w:p>
  <w:p w:rsidR="00D840D7" w:rsidRDefault="00D840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007F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C00E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7E8C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A4EC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76BE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3664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4C4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1608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C624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C68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0931AD"/>
    <w:multiLevelType w:val="hybridMultilevel"/>
    <w:tmpl w:val="2C4474EC"/>
    <w:lvl w:ilvl="0" w:tplc="85082998">
      <w:start w:val="1"/>
      <w:numFmt w:val="lowerLetter"/>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D84301"/>
    <w:multiLevelType w:val="hybridMultilevel"/>
    <w:tmpl w:val="3BD26A44"/>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D438D8"/>
    <w:multiLevelType w:val="hybridMultilevel"/>
    <w:tmpl w:val="51D4A252"/>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696A8D56"/>
    <w:lvl w:ilvl="0" w:tplc="2222B8DC">
      <w:start w:val="1"/>
      <w:numFmt w:val="bullet"/>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19ECB940"/>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394216"/>
    <w:multiLevelType w:val="hybridMultilevel"/>
    <w:tmpl w:val="EEE2EC6C"/>
    <w:lvl w:ilvl="0" w:tplc="3BA81BA4">
      <w:start w:val="1"/>
      <w:numFmt w:val="bullet"/>
      <w:lvlText w:val=""/>
      <w:lvlJc w:val="left"/>
      <w:pPr>
        <w:tabs>
          <w:tab w:val="num" w:pos="1440"/>
        </w:tabs>
        <w:ind w:left="1440" w:hanging="360"/>
      </w:pPr>
      <w:rPr>
        <w:rFonts w:ascii="Symbol" w:hAnsi="Symbol" w:hint="default"/>
        <w:sz w:val="22"/>
      </w:rPr>
    </w:lvl>
    <w:lvl w:ilvl="1" w:tplc="AB207ADE">
      <w:start w:val="1"/>
      <w:numFmt w:val="bullet"/>
      <w:lvlText w:val=""/>
      <w:lvlJc w:val="left"/>
      <w:pPr>
        <w:tabs>
          <w:tab w:val="num" w:pos="1440"/>
        </w:tabs>
        <w:ind w:left="1440" w:hanging="360"/>
      </w:pPr>
      <w:rPr>
        <w:rFonts w:ascii="Symbol" w:hAnsi="Symbol" w:hint="default"/>
        <w:color w:val="36586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5617B0"/>
    <w:multiLevelType w:val="hybridMultilevel"/>
    <w:tmpl w:val="D6CA90CA"/>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604239"/>
    <w:multiLevelType w:val="hybridMultilevel"/>
    <w:tmpl w:val="0A1EA2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12141E"/>
    <w:multiLevelType w:val="multilevel"/>
    <w:tmpl w:val="D458D6BA"/>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3A44538"/>
    <w:multiLevelType w:val="hybridMultilevel"/>
    <w:tmpl w:val="82F6B62C"/>
    <w:lvl w:ilvl="0" w:tplc="54EC5606">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023967"/>
    <w:multiLevelType w:val="multilevel"/>
    <w:tmpl w:val="A16EA482"/>
    <w:lvl w:ilvl="0">
      <w:start w:val="2"/>
      <w:numFmt w:val="decimal"/>
      <w:lvlText w:val="%1"/>
      <w:lvlJc w:val="left"/>
      <w:pPr>
        <w:tabs>
          <w:tab w:val="num" w:pos="1080"/>
        </w:tabs>
        <w:ind w:left="1080" w:hanging="1080"/>
      </w:pPr>
      <w:rPr>
        <w:rFonts w:hint="default"/>
      </w:rPr>
    </w:lvl>
    <w:lvl w:ilvl="1">
      <w:start w:val="8"/>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16"/>
  </w:num>
  <w:num w:numId="4">
    <w:abstractNumId w:val="17"/>
  </w:num>
  <w:num w:numId="5">
    <w:abstractNumId w:val="16"/>
  </w:num>
  <w:num w:numId="6">
    <w:abstractNumId w:val="22"/>
  </w:num>
  <w:num w:numId="7">
    <w:abstractNumId w:val="18"/>
  </w:num>
  <w:num w:numId="8">
    <w:abstractNumId w:val="12"/>
  </w:num>
  <w:num w:numId="9">
    <w:abstractNumId w:val="11"/>
  </w:num>
  <w:num w:numId="10">
    <w:abstractNumId w:val="13"/>
  </w:num>
  <w:num w:numId="11">
    <w:abstractNumId w:val="15"/>
  </w:num>
  <w:num w:numId="12">
    <w:abstractNumId w:val="19"/>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5"/>
  </w:num>
  <w:num w:numId="25">
    <w:abstractNumId w:val="24"/>
  </w:num>
  <w:num w:numId="26">
    <w:abstractNumId w:val="10"/>
    <w:lvlOverride w:ilvl="0">
      <w:lvl w:ilvl="0">
        <w:start w:val="1"/>
        <w:numFmt w:val="bullet"/>
        <w:lvlText w:val=""/>
        <w:legacy w:legacy="1" w:legacySpace="0" w:legacyIndent="709"/>
        <w:lvlJc w:val="left"/>
        <w:pPr>
          <w:ind w:left="709" w:hanging="709"/>
        </w:pPr>
        <w:rPr>
          <w:rFonts w:ascii="Symbol" w:hAnsi="Symbol" w:hint="default"/>
          <w:sz w:val="20"/>
        </w:rPr>
      </w:lvl>
    </w:lvlOverride>
  </w:num>
  <w:num w:numId="27">
    <w:abstractNumId w:val="22"/>
  </w:num>
  <w:num w:numId="28">
    <w:abstractNumId w:val="22"/>
  </w:num>
  <w:num w:numId="29">
    <w:abstractNumId w:val="16"/>
  </w:num>
  <w:num w:numId="30">
    <w:abstractNumId w:val="12"/>
  </w:num>
  <w:num w:numId="31">
    <w:abstractNumId w:val="11"/>
  </w:num>
  <w:num w:numId="32">
    <w:abstractNumId w:val="13"/>
  </w:num>
  <w:num w:numId="33">
    <w:abstractNumId w:val="20"/>
  </w:num>
  <w:num w:numId="34">
    <w:abstractNumId w:val="22"/>
  </w:num>
  <w:num w:numId="35">
    <w:abstractNumId w:val="22"/>
  </w:num>
  <w:num w:numId="36">
    <w:abstractNumId w:val="12"/>
  </w:num>
  <w:num w:numId="37">
    <w:abstractNumId w:val="17"/>
  </w:num>
  <w:num w:numId="38">
    <w:abstractNumId w:val="13"/>
  </w:num>
  <w:num w:numId="39">
    <w:abstractNumId w:val="20"/>
  </w:num>
  <w:num w:numId="40">
    <w:abstractNumId w:val="21"/>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proofState w:spelling="clean" w:grammar="clean"/>
  <w:defaultTabStop w:val="567"/>
  <w:evenAndOddHeaders/>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B5"/>
    <w:rsid w:val="00041226"/>
    <w:rsid w:val="00056CA4"/>
    <w:rsid w:val="000B63A6"/>
    <w:rsid w:val="000E46A2"/>
    <w:rsid w:val="001C656F"/>
    <w:rsid w:val="002238F1"/>
    <w:rsid w:val="00271BBC"/>
    <w:rsid w:val="002A24ED"/>
    <w:rsid w:val="002C06EA"/>
    <w:rsid w:val="00372609"/>
    <w:rsid w:val="003C1F3F"/>
    <w:rsid w:val="003C2B7A"/>
    <w:rsid w:val="004553B6"/>
    <w:rsid w:val="004662D1"/>
    <w:rsid w:val="004974B5"/>
    <w:rsid w:val="004A0985"/>
    <w:rsid w:val="004C35E9"/>
    <w:rsid w:val="00534F41"/>
    <w:rsid w:val="006306C8"/>
    <w:rsid w:val="006A3B1A"/>
    <w:rsid w:val="006A6A89"/>
    <w:rsid w:val="00712903"/>
    <w:rsid w:val="007B156E"/>
    <w:rsid w:val="007B4A5F"/>
    <w:rsid w:val="007C0F89"/>
    <w:rsid w:val="007E78E9"/>
    <w:rsid w:val="008445D0"/>
    <w:rsid w:val="008A1F71"/>
    <w:rsid w:val="008E32AE"/>
    <w:rsid w:val="008E52A7"/>
    <w:rsid w:val="008E6290"/>
    <w:rsid w:val="009112D8"/>
    <w:rsid w:val="00914508"/>
    <w:rsid w:val="00920F00"/>
    <w:rsid w:val="009A2BB5"/>
    <w:rsid w:val="009B65B1"/>
    <w:rsid w:val="00A50108"/>
    <w:rsid w:val="00AD0096"/>
    <w:rsid w:val="00AE62C9"/>
    <w:rsid w:val="00AF168E"/>
    <w:rsid w:val="00B121F6"/>
    <w:rsid w:val="00B139E6"/>
    <w:rsid w:val="00B16941"/>
    <w:rsid w:val="00B51E6E"/>
    <w:rsid w:val="00BA379C"/>
    <w:rsid w:val="00BB668B"/>
    <w:rsid w:val="00BC16EB"/>
    <w:rsid w:val="00BC5297"/>
    <w:rsid w:val="00BF4416"/>
    <w:rsid w:val="00BF71E0"/>
    <w:rsid w:val="00C01EEB"/>
    <w:rsid w:val="00C01F12"/>
    <w:rsid w:val="00C132EC"/>
    <w:rsid w:val="00C5260A"/>
    <w:rsid w:val="00D12245"/>
    <w:rsid w:val="00D42C43"/>
    <w:rsid w:val="00D708BC"/>
    <w:rsid w:val="00D840D7"/>
    <w:rsid w:val="00E003BF"/>
    <w:rsid w:val="00E30218"/>
    <w:rsid w:val="00E44DCB"/>
    <w:rsid w:val="00E5170C"/>
    <w:rsid w:val="00E64098"/>
    <w:rsid w:val="00EB3EA3"/>
    <w:rsid w:val="00EB67F8"/>
    <w:rsid w:val="00F239CA"/>
    <w:rsid w:val="00F432C2"/>
    <w:rsid w:val="00FA16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F0B0A36-FCBF-443B-92D1-44816312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rPr>
  </w:style>
  <w:style w:type="paragraph" w:styleId="Heading1">
    <w:name w:val="heading 1"/>
    <w:aliases w:val="APVMA_H1"/>
    <w:basedOn w:val="APVMAText"/>
    <w:next w:val="APVMAText"/>
    <w:qFormat/>
    <w:pPr>
      <w:keepNext/>
      <w:keepLines/>
      <w:pageBreakBefore/>
      <w:numPr>
        <w:numId w:val="34"/>
      </w:numPr>
      <w:tabs>
        <w:tab w:val="clear" w:pos="680"/>
        <w:tab w:val="num" w:pos="907"/>
      </w:tabs>
      <w:spacing w:before="0" w:after="80" w:line="360" w:lineRule="exact"/>
      <w:ind w:left="907" w:hanging="907"/>
      <w:outlineLvl w:val="0"/>
    </w:pPr>
    <w:rPr>
      <w:rFonts w:ascii="Trebuchet MS" w:hAnsi="Trebuchet MS"/>
      <w:b/>
      <w:caps/>
      <w:color w:val="365860"/>
      <w:sz w:val="32"/>
      <w:szCs w:val="32"/>
    </w:rPr>
  </w:style>
  <w:style w:type="paragraph" w:styleId="Heading2">
    <w:name w:val="heading 2"/>
    <w:aliases w:val="APVMA_H2"/>
    <w:basedOn w:val="Heading1"/>
    <w:next w:val="APVMAText"/>
    <w:qFormat/>
    <w:pPr>
      <w:pageBreakBefore w:val="0"/>
      <w:numPr>
        <w:ilvl w:val="1"/>
        <w:numId w:val="35"/>
      </w:numPr>
      <w:tabs>
        <w:tab w:val="clear" w:pos="1220"/>
        <w:tab w:val="num" w:pos="907"/>
      </w:tabs>
      <w:spacing w:before="400" w:after="0" w:line="320" w:lineRule="exact"/>
      <w:ind w:left="907" w:hanging="907"/>
      <w:outlineLvl w:val="1"/>
    </w:pPr>
    <w:rPr>
      <w:caps w:val="0"/>
      <w:sz w:val="28"/>
      <w:szCs w:val="28"/>
    </w:rPr>
  </w:style>
  <w:style w:type="paragraph" w:styleId="Heading3">
    <w:name w:val="heading 3"/>
    <w:aliases w:val="APVMA_H3"/>
    <w:basedOn w:val="Heading2"/>
    <w:next w:val="APVMAText"/>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pPr>
      <w:suppressAutoHyphens/>
      <w:spacing w:before="240" w:after="240" w:line="280" w:lineRule="exact"/>
    </w:pPr>
    <w:rPr>
      <w:rFonts w:cs="Arial"/>
      <w:u w:color="000000"/>
    </w:rPr>
  </w:style>
  <w:style w:type="paragraph" w:styleId="CommentText">
    <w:name w:val="annotation text"/>
    <w:semiHidden/>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FootnoteText">
    <w:name w:val="footnote text"/>
    <w:aliases w:val="APVMA_Footnote,DAR001"/>
    <w:basedOn w:val="APVMAText"/>
    <w:link w:val="FootnoteTextChar"/>
    <w:pPr>
      <w:spacing w:after="0" w:line="180" w:lineRule="exact"/>
      <w:ind w:left="227" w:hanging="227"/>
    </w:pPr>
    <w:rPr>
      <w:spacing w:val="6"/>
      <w:sz w:val="16"/>
      <w:szCs w:val="20"/>
    </w:rPr>
  </w:style>
  <w:style w:type="character" w:styleId="Emphasis">
    <w:name w:val="Emphasis"/>
    <w:basedOn w:val="DefaultParagraphFont"/>
    <w:uiPriority w:val="20"/>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rPr>
      <w:color w:val="0000FF"/>
      <w:u w:val="single"/>
    </w:rPr>
  </w:style>
  <w:style w:type="paragraph" w:customStyle="1" w:styleId="APVMATableBullet">
    <w:name w:val="APVMA_TableBullet"/>
    <w:basedOn w:val="APVMATableText"/>
    <w:pPr>
      <w:numPr>
        <w:numId w:val="39"/>
      </w:numPr>
      <w:spacing w:after="60"/>
    </w:pPr>
  </w:style>
  <w:style w:type="paragraph" w:customStyle="1" w:styleId="APVMATableText">
    <w:name w:val="APVMA_TableText"/>
    <w:basedOn w:val="APVMAText"/>
    <w:pPr>
      <w:spacing w:before="120" w:after="120" w:line="210" w:lineRule="exact"/>
    </w:pPr>
    <w:rPr>
      <w:spacing w:val="6"/>
      <w:sz w:val="17"/>
    </w:rPr>
  </w:style>
  <w:style w:type="paragraph" w:customStyle="1" w:styleId="APVMATableHead">
    <w:name w:val="APVMA_TableHead"/>
    <w:basedOn w:val="APVMATableText"/>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pPr>
      <w:numPr>
        <w:numId w:val="38"/>
      </w:numPr>
      <w:spacing w:before="120" w:after="120"/>
    </w:pPr>
  </w:style>
  <w:style w:type="paragraph" w:styleId="Header">
    <w:name w:val="header"/>
    <w:basedOn w:val="Normal"/>
    <w:semiHidden/>
    <w:pPr>
      <w:tabs>
        <w:tab w:val="center" w:pos="4153"/>
        <w:tab w:val="right" w:pos="8306"/>
      </w:tabs>
    </w:pPr>
  </w:style>
  <w:style w:type="character" w:styleId="Strong">
    <w:name w:val="Strong"/>
    <w:basedOn w:val="DefaultParagraphFont"/>
    <w:qFormat/>
    <w:rPr>
      <w:b/>
      <w:bCs/>
    </w:rPr>
  </w:style>
  <w:style w:type="paragraph" w:styleId="Footer">
    <w:name w:val="footer"/>
    <w:basedOn w:val="Normal"/>
    <w:semiHidden/>
    <w:pPr>
      <w:tabs>
        <w:tab w:val="center" w:pos="4153"/>
        <w:tab w:val="right" w:pos="8306"/>
      </w:tabs>
    </w:pPr>
  </w:style>
  <w:style w:type="character" w:styleId="PageNumber">
    <w:name w:val="page number"/>
    <w:aliases w:val="APVMA Page Number"/>
    <w:basedOn w:val="DefaultParagraphFont"/>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basedOn w:val="DefaultParagraphFont"/>
    <w:semiHidden/>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tabs>
        <w:tab w:val="num" w:pos="340"/>
      </w:tabs>
      <w:spacing w:before="120" w:after="120"/>
      <w:ind w:left="340" w:hanging="340"/>
    </w:pPr>
  </w:style>
  <w:style w:type="paragraph" w:customStyle="1" w:styleId="APVMABullet2">
    <w:name w:val="APVMA_Bullet2"/>
    <w:basedOn w:val="APVMABullet1"/>
    <w:pPr>
      <w:numPr>
        <w:numId w:val="36"/>
      </w:numPr>
      <w:spacing w:before="60"/>
    </w:pPr>
  </w:style>
  <w:style w:type="character" w:styleId="FootnoteReference">
    <w:name w:val="footnote reference"/>
    <w:basedOn w:val="DefaultParagraphFont"/>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o,o + Links,! Q"/>
    <w:basedOn w:val="Normal"/>
    <w:next w:val="APVMAText"/>
    <w:uiPriority w:val="35"/>
    <w:qFormat/>
    <w:pPr>
      <w:keepNext/>
      <w:keepLines/>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uiPriority w:val="99"/>
    <w:pPr>
      <w:ind w:left="851" w:hanging="851"/>
    </w:pPr>
  </w:style>
  <w:style w:type="paragraph" w:customStyle="1" w:styleId="TOCrule">
    <w:name w:val="TOC rule"/>
    <w:basedOn w:val="TOC1"/>
    <w:next w:val="TOC1"/>
    <w:pPr>
      <w:keepNext/>
      <w:keepLines/>
      <w:pBdr>
        <w:bottom w:val="dotted" w:sz="4" w:space="1" w:color="365860"/>
      </w:pBdr>
      <w:spacing w:before="240" w:after="0" w:line="160" w:lineRule="exact"/>
      <w:ind w:left="0" w:firstLine="0"/>
    </w:pPr>
    <w:rPr>
      <w:caps w:val="0"/>
      <w:sz w:val="16"/>
    </w:r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APVMAText"/>
    <w:pPr>
      <w:tabs>
        <w:tab w:val="left" w:pos="2058"/>
      </w:tabs>
      <w:ind w:left="2044" w:hanging="2044"/>
    </w:pPr>
  </w:style>
  <w:style w:type="paragraph" w:customStyle="1" w:styleId="APVMAPreliminariesH1">
    <w:name w:val="APVMA_Preliminaries_H1"/>
    <w:basedOn w:val="Heading1"/>
    <w:next w:val="APVMAText"/>
    <w:pPr>
      <w:numPr>
        <w:numId w:val="0"/>
      </w:numPr>
    </w:pPr>
    <w:rPr>
      <w:bCs/>
      <w:szCs w:val="30"/>
    </w:rPr>
  </w:style>
  <w:style w:type="character" w:styleId="FollowedHyperlink">
    <w:name w:val="FollowedHyperlink"/>
    <w:basedOn w:val="DefaultParagraphFont"/>
    <w:semiHidden/>
    <w:rPr>
      <w:color w:val="800080"/>
      <w:u w:val="single"/>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tabs>
        <w:tab w:val="num" w:pos="340"/>
      </w:tabs>
      <w:spacing w:before="120" w:after="120"/>
      <w:ind w:left="340" w:hanging="340"/>
    </w:pPr>
  </w:style>
  <w:style w:type="paragraph" w:customStyle="1" w:styleId="GazetteTableText">
    <w:name w:val="Gazette Table Text"/>
    <w:basedOn w:val="Normal"/>
    <w:pPr>
      <w:spacing w:before="60" w:after="60" w:line="280" w:lineRule="exact"/>
    </w:pPr>
    <w:rPr>
      <w:iCs/>
      <w:sz w:val="18"/>
    </w:rPr>
  </w:style>
  <w:style w:type="paragraph" w:customStyle="1" w:styleId="InstructionalText">
    <w:name w:val="Instructional Text"/>
    <w:basedOn w:val="Normal"/>
    <w:pPr>
      <w:spacing w:before="240" w:after="240" w:line="280" w:lineRule="exact"/>
    </w:pPr>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line="280" w:lineRule="exact"/>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Bullet3">
    <w:name w:val="APVMA_Bullet3"/>
    <w:basedOn w:val="APVMABullet2"/>
    <w:pPr>
      <w:numPr>
        <w:numId w:val="37"/>
      </w:numPr>
      <w:spacing w:before="120"/>
      <w:ind w:left="1020" w:hanging="340"/>
    </w:pPr>
  </w:style>
  <w:style w:type="paragraph" w:customStyle="1" w:styleId="APVMAGlossaryRefH1">
    <w:name w:val="APVMA_Glossary/Ref_H1"/>
    <w:basedOn w:val="APVMAPreliminariesH1"/>
  </w:style>
  <w:style w:type="paragraph" w:customStyle="1" w:styleId="APVMAImage">
    <w:name w:val="APVMA_Image"/>
    <w:basedOn w:val="Normal"/>
    <w:pPr>
      <w:spacing w:before="240" w:after="240"/>
    </w:pPr>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customStyle="1" w:styleId="APVMAFooter">
    <w:name w:val="APVMA_Footer"/>
    <w:basedOn w:val="Normal"/>
    <w:rPr>
      <w:rFonts w:ascii="Arial Bold" w:hAnsi="Arial Bold"/>
      <w:b/>
      <w:color w:val="365860"/>
    </w:rPr>
  </w:style>
  <w:style w:type="paragraph" w:customStyle="1" w:styleId="BODYTEXT">
    <w:name w:val="BODYTEXT"/>
    <w:uiPriority w:val="99"/>
    <w:rsid w:val="00C01EEB"/>
    <w:rPr>
      <w:sz w:val="24"/>
      <w:lang w:eastAsia="en-US"/>
    </w:rPr>
  </w:style>
  <w:style w:type="character" w:customStyle="1" w:styleId="FootnoteTextChar">
    <w:name w:val="Footnote Text Char"/>
    <w:aliases w:val="APVMA_Footnote Char,DAR001 Char"/>
    <w:basedOn w:val="DefaultParagraphFont"/>
    <w:link w:val="FootnoteText"/>
    <w:rsid w:val="00C01EEB"/>
    <w:rPr>
      <w:rFonts w:ascii="Arial" w:hAnsi="Arial" w:cs="Arial"/>
      <w:spacing w:val="6"/>
      <w:sz w:val="16"/>
      <w:u w:color="000000"/>
      <w:lang w:eastAsia="en-US"/>
    </w:rPr>
  </w:style>
  <w:style w:type="paragraph" w:customStyle="1" w:styleId="commentsorinstructions">
    <w:name w:val="comments or instructions"/>
    <w:basedOn w:val="Normal"/>
    <w:link w:val="commentsorinstructionsChar"/>
    <w:qFormat/>
    <w:rsid w:val="008E52A7"/>
    <w:pPr>
      <w:spacing w:after="120"/>
      <w:ind w:left="567" w:right="567"/>
    </w:pPr>
    <w:rPr>
      <w:rFonts w:ascii="Bradley Hand ITC" w:hAnsi="Bradley Hand ITC"/>
      <w:color w:val="ED7D31" w:themeColor="accent2"/>
      <w:sz w:val="24"/>
    </w:rPr>
  </w:style>
  <w:style w:type="character" w:customStyle="1" w:styleId="commentsorinstructionsChar">
    <w:name w:val="comments or instructions Char"/>
    <w:basedOn w:val="DefaultParagraphFont"/>
    <w:link w:val="commentsorinstructions"/>
    <w:rsid w:val="008E52A7"/>
    <w:rPr>
      <w:rFonts w:ascii="Bradley Hand ITC" w:hAnsi="Bradley Hand ITC"/>
      <w:color w:val="ED7D31" w:themeColor="accent2"/>
      <w:sz w:val="24"/>
      <w:szCs w:val="24"/>
      <w:lang w:eastAsia="en-US"/>
    </w:rPr>
  </w:style>
  <w:style w:type="paragraph" w:customStyle="1" w:styleId="Default">
    <w:name w:val="Default"/>
    <w:rsid w:val="008E52A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E52A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E3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2AE"/>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3C1F3F"/>
    <w:rPr>
      <w:szCs w:val="20"/>
    </w:rPr>
  </w:style>
  <w:style w:type="character" w:customStyle="1" w:styleId="EndnoteTextChar">
    <w:name w:val="Endnote Text Char"/>
    <w:basedOn w:val="DefaultParagraphFont"/>
    <w:link w:val="EndnoteText"/>
    <w:uiPriority w:val="99"/>
    <w:semiHidden/>
    <w:rsid w:val="003C1F3F"/>
    <w:rPr>
      <w:rFonts w:ascii="Arial" w:hAnsi="Arial"/>
      <w:lang w:eastAsia="en-US"/>
    </w:rPr>
  </w:style>
  <w:style w:type="character" w:styleId="EndnoteReference">
    <w:name w:val="endnote reference"/>
    <w:basedOn w:val="DefaultParagraphFont"/>
    <w:uiPriority w:val="99"/>
    <w:semiHidden/>
    <w:unhideWhenUsed/>
    <w:rsid w:val="003C1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8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apvma.gov.au/"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tasks.intranet.nra.local/sites/default/files/enquiries@apvma.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communications@apvma.gov.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dpmc.gov.au/pmc/publication/commonwealth-coat-arms-information-and-guidelin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creativecommons.org/licenses/by/3.0/au/legalcode"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ativecommons.org/licenses/by/3.0/au/deed.en" TargetMode="External"/><Relationship Id="rId22" Type="http://schemas.openxmlformats.org/officeDocument/2006/relationships/hyperlink" Target="http://www.apvma.gov.a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5.ws001.squarestart.ne.jp" TargetMode="External"/><Relationship Id="rId7" Type="http://schemas.openxmlformats.org/officeDocument/2006/relationships/hyperlink" Target="http://pr-rp.hc-sc.gc.ca/mrl-lrm/index-eng.php" TargetMode="External"/><Relationship Id="rId2" Type="http://schemas.openxmlformats.org/officeDocument/2006/relationships/hyperlink" Target="http://ec.europa.eu" TargetMode="External"/><Relationship Id="rId1" Type="http://schemas.openxmlformats.org/officeDocument/2006/relationships/hyperlink" Target="http://agriculture.gov.au/abares/research-topics/agricultural-commodities/agricultural-commodities-trade-data" TargetMode="External"/><Relationship Id="rId6" Type="http://schemas.openxmlformats.org/officeDocument/2006/relationships/hyperlink" Target="https://www.canada.ca/en/health-canada/services/consumer-product-safety/pesticides-pest-management/public/protecting-your-health-environment/pesticides-food/residue-definitions-chemicals-maximum-residue-limits-regulated-under-pest-control-products-act.html" TargetMode="External"/><Relationship Id="rId5" Type="http://schemas.openxmlformats.org/officeDocument/2006/relationships/hyperlink" Target="http://www.ecfr.gov" TargetMode="External"/><Relationship Id="rId4" Type="http://schemas.openxmlformats.org/officeDocument/2006/relationships/hyperlink" Target="http://www.codexalimentariu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A1289636</value>
    </field>
    <field name="Objective-Title">
      <value order="0">Trade Advice Notice (TAN) - Difenoconazole - Wine grapes - NUFARM DIGGER FUNGICIDE - 65130 -115237</value>
    </field>
    <field name="Objective-Description">
      <value order="0"/>
    </field>
    <field name="Objective-CreationStamp">
      <value order="0">2018-09-25T23:43:12Z</value>
    </field>
    <field name="Objective-IsApproved">
      <value order="0">false</value>
    </field>
    <field name="Objective-IsPublished">
      <value order="0">true</value>
    </field>
    <field name="Objective-DatePublished">
      <value order="0">2018-11-14T23:03:07Z</value>
    </field>
    <field name="Objective-ModificationStamp">
      <value order="0">2018-11-14T23:03:07Z</value>
    </field>
    <field name="Objective-Owner">
      <value order="0">Afsheen Shamshad</value>
    </field>
    <field name="Objective-Path">
      <value order="0">APVMA:SCIENTIFIC ASSESSMENT:Scientific Assessment - Residues and Trade:Scientific Assessment - Residues and Trade - Evaluations:Scientific Assessment - Residues and Trade - Evaluations - A-D:SA - R&amp;T - Evaluations - Difenoconazole:Residues - Difenoconazole - NUFARM DIGGER FUNGICIDE - Wine Grapes - 65130 - 115237</value>
    </field>
    <field name="Objective-Parent">
      <value order="0">Residues - Difenoconazole - NUFARM DIGGER FUNGICIDE - Wine Grapes - 65130 - 115237</value>
    </field>
    <field name="Objective-State">
      <value order="0">Published</value>
    </field>
    <field name="Objective-VersionId">
      <value order="0">vA2024736</value>
    </field>
    <field name="Objective-Version">
      <value order="0">3.0</value>
    </field>
    <field name="Objective-VersionNumber">
      <value order="0">6</value>
    </field>
    <field name="Objective-VersionComment">
      <value order="0"/>
    </field>
    <field name="Objective-FileNumber">
      <value order="0">qA156211</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8CF05D43-2142-4809-B0AD-4873B1DC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2811</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Trade Advice Notice - Pesticides</vt:lpstr>
    </vt:vector>
  </TitlesOfParts>
  <Manager/>
  <Company>Australian Pesticides and Veterinary Medicines Authority</Company>
  <LinksUpToDate>false</LinksUpToDate>
  <CharactersWithSpaces>20559</CharactersWithSpaces>
  <SharedDoc>false</SharedDoc>
  <HyperlinkBase/>
  <HLinks>
    <vt:vector size="168" baseType="variant">
      <vt:variant>
        <vt:i4>131159</vt:i4>
      </vt:variant>
      <vt:variant>
        <vt:i4>169</vt:i4>
      </vt:variant>
      <vt:variant>
        <vt:i4>0</vt:i4>
      </vt:variant>
      <vt:variant>
        <vt:i4>5</vt:i4>
      </vt:variant>
      <vt:variant>
        <vt:lpwstr>http://www.apvma.gov.au/</vt:lpwstr>
      </vt:variant>
      <vt:variant>
        <vt:lpwstr/>
      </vt:variant>
      <vt:variant>
        <vt:i4>131159</vt:i4>
      </vt:variant>
      <vt:variant>
        <vt:i4>152</vt:i4>
      </vt:variant>
      <vt:variant>
        <vt:i4>0</vt:i4>
      </vt:variant>
      <vt:variant>
        <vt:i4>5</vt:i4>
      </vt:variant>
      <vt:variant>
        <vt:lpwstr>http://www.apvma.gov.au/</vt:lpwstr>
      </vt:variant>
      <vt:variant>
        <vt:lpwstr/>
      </vt:variant>
      <vt:variant>
        <vt:i4>1638452</vt:i4>
      </vt:variant>
      <vt:variant>
        <vt:i4>145</vt:i4>
      </vt:variant>
      <vt:variant>
        <vt:i4>0</vt:i4>
      </vt:variant>
      <vt:variant>
        <vt:i4>5</vt:i4>
      </vt:variant>
      <vt:variant>
        <vt:lpwstr/>
      </vt:variant>
      <vt:variant>
        <vt:lpwstr>_Toc252955171</vt:lpwstr>
      </vt:variant>
      <vt:variant>
        <vt:i4>1638452</vt:i4>
      </vt:variant>
      <vt:variant>
        <vt:i4>139</vt:i4>
      </vt:variant>
      <vt:variant>
        <vt:i4>0</vt:i4>
      </vt:variant>
      <vt:variant>
        <vt:i4>5</vt:i4>
      </vt:variant>
      <vt:variant>
        <vt:lpwstr/>
      </vt:variant>
      <vt:variant>
        <vt:lpwstr>_Toc252955170</vt:lpwstr>
      </vt:variant>
      <vt:variant>
        <vt:i4>1572916</vt:i4>
      </vt:variant>
      <vt:variant>
        <vt:i4>133</vt:i4>
      </vt:variant>
      <vt:variant>
        <vt:i4>0</vt:i4>
      </vt:variant>
      <vt:variant>
        <vt:i4>5</vt:i4>
      </vt:variant>
      <vt:variant>
        <vt:lpwstr/>
      </vt:variant>
      <vt:variant>
        <vt:lpwstr>_Toc252955169</vt:lpwstr>
      </vt:variant>
      <vt:variant>
        <vt:i4>1572916</vt:i4>
      </vt:variant>
      <vt:variant>
        <vt:i4>127</vt:i4>
      </vt:variant>
      <vt:variant>
        <vt:i4>0</vt:i4>
      </vt:variant>
      <vt:variant>
        <vt:i4>5</vt:i4>
      </vt:variant>
      <vt:variant>
        <vt:lpwstr/>
      </vt:variant>
      <vt:variant>
        <vt:lpwstr>_Toc252955168</vt:lpwstr>
      </vt:variant>
      <vt:variant>
        <vt:i4>1572916</vt:i4>
      </vt:variant>
      <vt:variant>
        <vt:i4>119</vt:i4>
      </vt:variant>
      <vt:variant>
        <vt:i4>0</vt:i4>
      </vt:variant>
      <vt:variant>
        <vt:i4>5</vt:i4>
      </vt:variant>
      <vt:variant>
        <vt:lpwstr/>
      </vt:variant>
      <vt:variant>
        <vt:lpwstr>_Toc252955167</vt:lpwstr>
      </vt:variant>
      <vt:variant>
        <vt:i4>1572916</vt:i4>
      </vt:variant>
      <vt:variant>
        <vt:i4>111</vt:i4>
      </vt:variant>
      <vt:variant>
        <vt:i4>0</vt:i4>
      </vt:variant>
      <vt:variant>
        <vt:i4>5</vt:i4>
      </vt:variant>
      <vt:variant>
        <vt:lpwstr/>
      </vt:variant>
      <vt:variant>
        <vt:lpwstr>_Toc252955166</vt:lpwstr>
      </vt:variant>
      <vt:variant>
        <vt:i4>1245236</vt:i4>
      </vt:variant>
      <vt:variant>
        <vt:i4>102</vt:i4>
      </vt:variant>
      <vt:variant>
        <vt:i4>0</vt:i4>
      </vt:variant>
      <vt:variant>
        <vt:i4>5</vt:i4>
      </vt:variant>
      <vt:variant>
        <vt:lpwstr/>
      </vt:variant>
      <vt:variant>
        <vt:lpwstr>_Toc237770602</vt:lpwstr>
      </vt:variant>
      <vt:variant>
        <vt:i4>1245236</vt:i4>
      </vt:variant>
      <vt:variant>
        <vt:i4>96</vt:i4>
      </vt:variant>
      <vt:variant>
        <vt:i4>0</vt:i4>
      </vt:variant>
      <vt:variant>
        <vt:i4>5</vt:i4>
      </vt:variant>
      <vt:variant>
        <vt:lpwstr/>
      </vt:variant>
      <vt:variant>
        <vt:lpwstr>_Toc237770601</vt:lpwstr>
      </vt:variant>
      <vt:variant>
        <vt:i4>1245236</vt:i4>
      </vt:variant>
      <vt:variant>
        <vt:i4>90</vt:i4>
      </vt:variant>
      <vt:variant>
        <vt:i4>0</vt:i4>
      </vt:variant>
      <vt:variant>
        <vt:i4>5</vt:i4>
      </vt:variant>
      <vt:variant>
        <vt:lpwstr/>
      </vt:variant>
      <vt:variant>
        <vt:lpwstr>_Toc237770600</vt:lpwstr>
      </vt:variant>
      <vt:variant>
        <vt:i4>1703991</vt:i4>
      </vt:variant>
      <vt:variant>
        <vt:i4>84</vt:i4>
      </vt:variant>
      <vt:variant>
        <vt:i4>0</vt:i4>
      </vt:variant>
      <vt:variant>
        <vt:i4>5</vt:i4>
      </vt:variant>
      <vt:variant>
        <vt:lpwstr/>
      </vt:variant>
      <vt:variant>
        <vt:lpwstr>_Toc237770599</vt:lpwstr>
      </vt:variant>
      <vt:variant>
        <vt:i4>1703991</vt:i4>
      </vt:variant>
      <vt:variant>
        <vt:i4>78</vt:i4>
      </vt:variant>
      <vt:variant>
        <vt:i4>0</vt:i4>
      </vt:variant>
      <vt:variant>
        <vt:i4>5</vt:i4>
      </vt:variant>
      <vt:variant>
        <vt:lpwstr/>
      </vt:variant>
      <vt:variant>
        <vt:lpwstr>_Toc237770598</vt:lpwstr>
      </vt:variant>
      <vt:variant>
        <vt:i4>1703991</vt:i4>
      </vt:variant>
      <vt:variant>
        <vt:i4>72</vt:i4>
      </vt:variant>
      <vt:variant>
        <vt:i4>0</vt:i4>
      </vt:variant>
      <vt:variant>
        <vt:i4>5</vt:i4>
      </vt:variant>
      <vt:variant>
        <vt:lpwstr/>
      </vt:variant>
      <vt:variant>
        <vt:lpwstr>_Toc237770597</vt:lpwstr>
      </vt:variant>
      <vt:variant>
        <vt:i4>1703991</vt:i4>
      </vt:variant>
      <vt:variant>
        <vt:i4>66</vt:i4>
      </vt:variant>
      <vt:variant>
        <vt:i4>0</vt:i4>
      </vt:variant>
      <vt:variant>
        <vt:i4>5</vt:i4>
      </vt:variant>
      <vt:variant>
        <vt:lpwstr/>
      </vt:variant>
      <vt:variant>
        <vt:lpwstr>_Toc237770596</vt:lpwstr>
      </vt:variant>
      <vt:variant>
        <vt:i4>1703991</vt:i4>
      </vt:variant>
      <vt:variant>
        <vt:i4>60</vt:i4>
      </vt:variant>
      <vt:variant>
        <vt:i4>0</vt:i4>
      </vt:variant>
      <vt:variant>
        <vt:i4>5</vt:i4>
      </vt:variant>
      <vt:variant>
        <vt:lpwstr/>
      </vt:variant>
      <vt:variant>
        <vt:lpwstr>_Toc237770595</vt:lpwstr>
      </vt:variant>
      <vt:variant>
        <vt:i4>1703991</vt:i4>
      </vt:variant>
      <vt:variant>
        <vt:i4>54</vt:i4>
      </vt:variant>
      <vt:variant>
        <vt:i4>0</vt:i4>
      </vt:variant>
      <vt:variant>
        <vt:i4>5</vt:i4>
      </vt:variant>
      <vt:variant>
        <vt:lpwstr/>
      </vt:variant>
      <vt:variant>
        <vt:lpwstr>_Toc237770594</vt:lpwstr>
      </vt:variant>
      <vt:variant>
        <vt:i4>1703991</vt:i4>
      </vt:variant>
      <vt:variant>
        <vt:i4>48</vt:i4>
      </vt:variant>
      <vt:variant>
        <vt:i4>0</vt:i4>
      </vt:variant>
      <vt:variant>
        <vt:i4>5</vt:i4>
      </vt:variant>
      <vt:variant>
        <vt:lpwstr/>
      </vt:variant>
      <vt:variant>
        <vt:lpwstr>_Toc237770593</vt:lpwstr>
      </vt:variant>
      <vt:variant>
        <vt:i4>1703991</vt:i4>
      </vt:variant>
      <vt:variant>
        <vt:i4>42</vt:i4>
      </vt:variant>
      <vt:variant>
        <vt:i4>0</vt:i4>
      </vt:variant>
      <vt:variant>
        <vt:i4>5</vt:i4>
      </vt:variant>
      <vt:variant>
        <vt:lpwstr/>
      </vt:variant>
      <vt:variant>
        <vt:lpwstr>_Toc237770592</vt:lpwstr>
      </vt:variant>
      <vt:variant>
        <vt:i4>1703991</vt:i4>
      </vt:variant>
      <vt:variant>
        <vt:i4>36</vt:i4>
      </vt:variant>
      <vt:variant>
        <vt:i4>0</vt:i4>
      </vt:variant>
      <vt:variant>
        <vt:i4>5</vt:i4>
      </vt:variant>
      <vt:variant>
        <vt:lpwstr/>
      </vt:variant>
      <vt:variant>
        <vt:lpwstr>_Toc237770591</vt:lpwstr>
      </vt:variant>
      <vt:variant>
        <vt:i4>1703991</vt:i4>
      </vt:variant>
      <vt:variant>
        <vt:i4>30</vt:i4>
      </vt:variant>
      <vt:variant>
        <vt:i4>0</vt:i4>
      </vt:variant>
      <vt:variant>
        <vt:i4>5</vt:i4>
      </vt:variant>
      <vt:variant>
        <vt:lpwstr/>
      </vt:variant>
      <vt:variant>
        <vt:lpwstr>_Toc237770590</vt:lpwstr>
      </vt:variant>
      <vt:variant>
        <vt:i4>1769527</vt:i4>
      </vt:variant>
      <vt:variant>
        <vt:i4>24</vt:i4>
      </vt:variant>
      <vt:variant>
        <vt:i4>0</vt:i4>
      </vt:variant>
      <vt:variant>
        <vt:i4>5</vt:i4>
      </vt:variant>
      <vt:variant>
        <vt:lpwstr/>
      </vt:variant>
      <vt:variant>
        <vt:lpwstr>_Toc237770589</vt:lpwstr>
      </vt:variant>
      <vt:variant>
        <vt:i4>1769527</vt:i4>
      </vt:variant>
      <vt:variant>
        <vt:i4>18</vt:i4>
      </vt:variant>
      <vt:variant>
        <vt:i4>0</vt:i4>
      </vt:variant>
      <vt:variant>
        <vt:i4>5</vt:i4>
      </vt:variant>
      <vt:variant>
        <vt:lpwstr/>
      </vt:variant>
      <vt:variant>
        <vt:lpwstr>_Toc237770588</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ariant>
        <vt:i4>4128859</vt:i4>
      </vt:variant>
      <vt:variant>
        <vt:i4>1024</vt:i4>
      </vt:variant>
      <vt:variant>
        <vt:i4>1025</vt:i4>
      </vt:variant>
      <vt:variant>
        <vt:i4>1</vt:i4>
      </vt:variant>
      <vt:variant>
        <vt:lpwstr>tan_nitromec_Page_01_Image_0001</vt:lpwstr>
      </vt:variant>
      <vt:variant>
        <vt:lpwstr/>
      </vt:variant>
      <vt:variant>
        <vt:i4>7995506</vt:i4>
      </vt:variant>
      <vt:variant>
        <vt:i4>1025</vt:i4>
      </vt:variant>
      <vt:variant>
        <vt:i4>1026</vt:i4>
      </vt:variant>
      <vt:variant>
        <vt:i4>1</vt:i4>
      </vt:variant>
      <vt:variant>
        <vt:lpwstr>nanotechnology</vt:lpwstr>
      </vt:variant>
      <vt:variant>
        <vt:lpwstr/>
      </vt:variant>
      <vt:variant>
        <vt:i4>589944</vt:i4>
      </vt:variant>
      <vt:variant>
        <vt:i4>1026</vt:i4>
      </vt:variant>
      <vt:variant>
        <vt:i4>1027</vt:i4>
      </vt:variant>
      <vt:variant>
        <vt:i4>1</vt:i4>
      </vt:variant>
      <vt:variant>
        <vt:lpwstr>..\Publication Template\images\banner-strip.gif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 on difenoconazole in the Product Nufarm Digger Fungicide for use on wine grapes</dc:title>
  <dc:subject>fungicide, agriculture</dc:subject>
  <dc:creator>APVMA</dc:creator>
  <cp:keywords>difenoconazole, wine grapes, </cp:keywords>
  <cp:lastModifiedBy>THOMPSON, Lynette</cp:lastModifiedBy>
  <cp:revision>9</cp:revision>
  <cp:lastPrinted>2018-11-12T22:30:00Z</cp:lastPrinted>
  <dcterms:created xsi:type="dcterms:W3CDTF">2018-11-15T23:17:00Z</dcterms:created>
  <dcterms:modified xsi:type="dcterms:W3CDTF">2018-11-16T02:21:00Z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KP00_X00</vt:lpwstr>
  </property>
  <property fmtid="{D5CDD505-2E9C-101B-9397-08002B2CF9AE}" pid="3" name="Objective-Id">
    <vt:lpwstr>A1289636</vt:lpwstr>
  </property>
  <property fmtid="{D5CDD505-2E9C-101B-9397-08002B2CF9AE}" pid="4" name="Objective-Title">
    <vt:lpwstr>Trade Advice Notice (TAN) - Difenoconazole - Wine grapes - NUFARM DIGGER FUNGICIDE - 65130 -115237</vt:lpwstr>
  </property>
  <property fmtid="{D5CDD505-2E9C-101B-9397-08002B2CF9AE}" pid="5" name="Objective-Comment">
    <vt:lpwstr/>
  </property>
  <property fmtid="{D5CDD505-2E9C-101B-9397-08002B2CF9AE}" pid="6" name="Objective-CreationStamp">
    <vt:filetime>2018-11-12T22:43:36Z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2018-11-14T23:03:07Z</vt:filetime>
  </property>
  <property fmtid="{D5CDD505-2E9C-101B-9397-08002B2CF9AE}" pid="10" name="Objective-ModificationStamp">
    <vt:filetime>2018-11-14T23:03:07Z</vt:filetime>
  </property>
  <property fmtid="{D5CDD505-2E9C-101B-9397-08002B2CF9AE}" pid="11" name="Objective-Owner">
    <vt:lpwstr>Afsheen Shamshad</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Difenoconazole:Residues - Difenoconazol</vt:lpwstr>
  </property>
  <property fmtid="{D5CDD505-2E9C-101B-9397-08002B2CF9AE}" pid="13" name="Objective-Parent">
    <vt:lpwstr>Residues - Difenoconazole - NUFARM DIGGER FUNGICIDE - Wine Grapes - 65130 - 115237</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2018\4204</vt:lpwstr>
  </property>
  <property fmtid="{D5CDD505-2E9C-101B-9397-08002B2CF9AE}" pid="19" name="Objective-Classification">
    <vt:lpwstr>Sensitive (AgVet Code)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vA2024736</vt:lpwstr>
  </property>
  <property fmtid="{D5CDD505-2E9C-101B-9397-08002B2CF9AE}" pid="23" name="Objective-Connect Creator">
    <vt:lpwstr/>
  </property>
  <property fmtid="{D5CDD505-2E9C-101B-9397-08002B2CF9AE}" pid="24" name="Objective-Connect Creator [system]">
    <vt:lpwstr/>
  </property>
</Properties>
</file>