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8CA2E" w14:textId="02FD20A7" w:rsidR="002F2561" w:rsidRPr="004069D2" w:rsidRDefault="00E35E79" w:rsidP="002F2561">
      <w:pPr>
        <w:pStyle w:val="NormalText"/>
        <w:spacing w:before="0"/>
      </w:pPr>
      <w:bookmarkStart w:id="0" w:name="_Toc23240018"/>
      <w:r w:rsidRPr="004069D2">
        <w:t xml:space="preserve">This document sets out the </w:t>
      </w:r>
      <w:r w:rsidR="004069D2">
        <w:t xml:space="preserve">events and </w:t>
      </w:r>
      <w:r w:rsidRPr="004069D2">
        <w:t xml:space="preserve">activities we intend to undertake to meet the objectives set out in our </w:t>
      </w:r>
      <w:hyperlink r:id="rId8" w:history="1">
        <w:r w:rsidR="002F2561" w:rsidRPr="009F4533">
          <w:rPr>
            <w:rStyle w:val="Hyperlink"/>
          </w:rPr>
          <w:t>Stakeholder Engagement Framework</w:t>
        </w:r>
      </w:hyperlink>
      <w:r w:rsidR="002F2561" w:rsidRPr="004069D2">
        <w:t xml:space="preserve">. </w:t>
      </w:r>
      <w:r w:rsidRPr="004069D2">
        <w:t xml:space="preserve">These activities are in addition to our ongoing </w:t>
      </w:r>
      <w:r w:rsidR="00921F42" w:rsidRPr="004069D2">
        <w:t>informal</w:t>
      </w:r>
      <w:r w:rsidRPr="004069D2">
        <w:t xml:space="preserve"> engagement</w:t>
      </w:r>
      <w:r w:rsidR="009A4489" w:rsidRPr="004069D2">
        <w:t xml:space="preserve"> with all stakeholders</w:t>
      </w:r>
      <w:r w:rsidRPr="004069D2">
        <w:t>. We will review this document annually, and update it from time to time.</w:t>
      </w:r>
    </w:p>
    <w:p w14:paraId="33A10C3F" w14:textId="0D61B4CB" w:rsidR="002F2561" w:rsidRPr="00212BEE" w:rsidRDefault="002F2561" w:rsidP="002F2561">
      <w:pPr>
        <w:pStyle w:val="Caption"/>
      </w:pPr>
      <w:r w:rsidRPr="00212BEE">
        <w:t xml:space="preserve">Table </w:t>
      </w:r>
      <w:r w:rsidRPr="00212BEE">
        <w:rPr>
          <w:noProof/>
        </w:rPr>
        <w:fldChar w:fldCharType="begin"/>
      </w:r>
      <w:r w:rsidRPr="00212BEE">
        <w:rPr>
          <w:noProof/>
        </w:rPr>
        <w:instrText xml:space="preserve"> SEQ Table \* ARABIC </w:instrText>
      </w:r>
      <w:r w:rsidRPr="00212BEE">
        <w:rPr>
          <w:noProof/>
        </w:rPr>
        <w:fldChar w:fldCharType="separate"/>
      </w:r>
      <w:r w:rsidR="002736A6" w:rsidRPr="00212BEE">
        <w:rPr>
          <w:noProof/>
        </w:rPr>
        <w:t>1</w:t>
      </w:r>
      <w:r w:rsidRPr="00212BEE">
        <w:rPr>
          <w:noProof/>
        </w:rPr>
        <w:fldChar w:fldCharType="end"/>
      </w:r>
      <w:r w:rsidRPr="00212BEE">
        <w:t>:</w:t>
      </w:r>
      <w:r w:rsidRPr="00212BEE">
        <w:tab/>
      </w:r>
      <w:bookmarkEnd w:id="0"/>
      <w:r w:rsidRPr="00212BEE">
        <w:t>Stakeholder engagement events</w:t>
      </w:r>
    </w:p>
    <w:tbl>
      <w:tblPr>
        <w:tblW w:w="5000" w:type="pct"/>
        <w:tblBorders>
          <w:bottom w:val="dotted" w:sz="2" w:space="0" w:color="auto"/>
          <w:insideH w:val="dotted" w:sz="2" w:space="0" w:color="auto"/>
        </w:tblBorders>
        <w:tblLook w:val="01E0" w:firstRow="1" w:lastRow="1" w:firstColumn="1" w:lastColumn="1" w:noHBand="0" w:noVBand="0"/>
      </w:tblPr>
      <w:tblGrid>
        <w:gridCol w:w="3402"/>
        <w:gridCol w:w="4678"/>
        <w:gridCol w:w="3340"/>
        <w:gridCol w:w="1621"/>
        <w:gridCol w:w="2663"/>
      </w:tblGrid>
      <w:tr w:rsidR="004069D2" w:rsidRPr="004069D2" w14:paraId="1B4B5C29" w14:textId="77777777" w:rsidTr="00980202">
        <w:trPr>
          <w:cantSplit/>
          <w:tblHeader/>
        </w:trPr>
        <w:tc>
          <w:tcPr>
            <w:tcW w:w="1083" w:type="pct"/>
            <w:tcBorders>
              <w:bottom w:val="single" w:sz="4" w:space="0" w:color="auto"/>
            </w:tcBorders>
            <w:shd w:val="clear" w:color="auto" w:fill="5C2946"/>
            <w:vAlign w:val="bottom"/>
          </w:tcPr>
          <w:p w14:paraId="445F95F1" w14:textId="77777777" w:rsidR="002F2561" w:rsidRPr="004069D2" w:rsidRDefault="002F2561" w:rsidP="00980202">
            <w:pPr>
              <w:pStyle w:val="APVMATableHead"/>
              <w:rPr>
                <w:color w:val="auto"/>
              </w:rPr>
            </w:pPr>
            <w:r w:rsidRPr="004069D2">
              <w:rPr>
                <w:color w:val="auto"/>
              </w:rPr>
              <w:t>Event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shd w:val="clear" w:color="auto" w:fill="5C2946"/>
            <w:vAlign w:val="bottom"/>
          </w:tcPr>
          <w:p w14:paraId="22081C37" w14:textId="77777777" w:rsidR="002F2561" w:rsidRPr="004069D2" w:rsidRDefault="002F2561" w:rsidP="00980202">
            <w:pPr>
              <w:pStyle w:val="APVMATableHead"/>
              <w:rPr>
                <w:color w:val="auto"/>
              </w:rPr>
            </w:pPr>
            <w:r w:rsidRPr="004069D2">
              <w:rPr>
                <w:color w:val="auto"/>
              </w:rPr>
              <w:t>Objective</w:t>
            </w:r>
          </w:p>
        </w:tc>
        <w:tc>
          <w:tcPr>
            <w:tcW w:w="1063" w:type="pct"/>
            <w:tcBorders>
              <w:bottom w:val="single" w:sz="4" w:space="0" w:color="auto"/>
            </w:tcBorders>
            <w:shd w:val="clear" w:color="auto" w:fill="5C2946"/>
          </w:tcPr>
          <w:p w14:paraId="2C2F1F68" w14:textId="77777777" w:rsidR="002F2561" w:rsidRPr="004069D2" w:rsidRDefault="002F2561" w:rsidP="00980202">
            <w:pPr>
              <w:pStyle w:val="APVMATableHead"/>
              <w:rPr>
                <w:color w:val="auto"/>
              </w:rPr>
            </w:pPr>
            <w:r w:rsidRPr="004069D2">
              <w:rPr>
                <w:color w:val="auto"/>
              </w:rPr>
              <w:t>Agenda items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auto" w:fill="5C2946"/>
          </w:tcPr>
          <w:p w14:paraId="26D49FD1" w14:textId="77777777" w:rsidR="002F2561" w:rsidRPr="004069D2" w:rsidRDefault="002F2561" w:rsidP="00980202">
            <w:pPr>
              <w:pStyle w:val="APVMATableHead"/>
              <w:rPr>
                <w:color w:val="auto"/>
              </w:rPr>
            </w:pPr>
            <w:r w:rsidRPr="004069D2">
              <w:rPr>
                <w:color w:val="auto"/>
              </w:rPr>
              <w:t>Frequency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5C2946"/>
          </w:tcPr>
          <w:p w14:paraId="4603CFE5" w14:textId="77777777" w:rsidR="002F2561" w:rsidRPr="004069D2" w:rsidRDefault="002F2561" w:rsidP="00980202">
            <w:pPr>
              <w:pStyle w:val="APVMATableHead"/>
              <w:rPr>
                <w:color w:val="auto"/>
              </w:rPr>
            </w:pPr>
            <w:r w:rsidRPr="004069D2">
              <w:rPr>
                <w:color w:val="auto"/>
              </w:rPr>
              <w:t>Attendees</w:t>
            </w:r>
          </w:p>
        </w:tc>
      </w:tr>
      <w:tr w:rsidR="004069D2" w:rsidRPr="004069D2" w14:paraId="48EAAFDB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6207499A" w14:textId="1E00F00F" w:rsidR="002F2561" w:rsidRPr="004069D2" w:rsidRDefault="009F4533" w:rsidP="00980202">
            <w:pPr>
              <w:pStyle w:val="APVMATableText"/>
            </w:pPr>
            <w:r>
              <w:t xml:space="preserve">APVMA </w:t>
            </w:r>
            <w:r w:rsidR="00921F42" w:rsidRPr="004069D2">
              <w:t>C</w:t>
            </w:r>
            <w:r w:rsidR="002F2561" w:rsidRPr="004069D2">
              <w:t xml:space="preserve">onsultative </w:t>
            </w:r>
            <w:r w:rsidR="00921F42" w:rsidRPr="004069D2">
              <w:t>F</w:t>
            </w:r>
            <w:r w:rsidR="002F2561" w:rsidRPr="004069D2">
              <w:t>orum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1E7BBE3E" w14:textId="25063296" w:rsidR="002F2561" w:rsidRPr="004069D2" w:rsidRDefault="002F2561" w:rsidP="009F4533">
            <w:pPr>
              <w:pStyle w:val="APVMATableText"/>
            </w:pPr>
            <w:r w:rsidRPr="004069D2">
              <w:t>To consult with and involve stakeholders to ensure their issues and concerns are understood and considered, and educate stakeholders on APVMA regulatory activities.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0C3E11A4" w14:textId="77777777" w:rsidR="002F2561" w:rsidRPr="004069D2" w:rsidRDefault="002F2561" w:rsidP="002F2561">
            <w:pPr>
              <w:pStyle w:val="APVMATableText"/>
            </w:pPr>
            <w:r w:rsidRPr="004069D2">
              <w:t>Liaison and high-level discussions with clear terms of reference.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44376E22" w14:textId="14F57859" w:rsidR="002F2561" w:rsidRPr="004069D2" w:rsidRDefault="0050389E" w:rsidP="00980202">
            <w:pPr>
              <w:pStyle w:val="APVMATableText"/>
            </w:pPr>
            <w:r w:rsidRPr="004069D2">
              <w:t xml:space="preserve">Twice </w:t>
            </w:r>
            <w:r w:rsidR="002F2561" w:rsidRPr="004069D2">
              <w:t>per year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1D88F8FA" w14:textId="2816A375" w:rsidR="002F2561" w:rsidRPr="004069D2" w:rsidRDefault="002F2561" w:rsidP="00980202">
            <w:pPr>
              <w:pStyle w:val="APVMATableText"/>
            </w:pPr>
            <w:r w:rsidRPr="004069D2">
              <w:t>Representative from peak industry bodies.</w:t>
            </w:r>
          </w:p>
          <w:p w14:paraId="0D08FA6F" w14:textId="26BE651B" w:rsidR="004069D2" w:rsidRPr="004069D2" w:rsidRDefault="009F4533" w:rsidP="00980202">
            <w:pPr>
              <w:pStyle w:val="APVMATableText"/>
            </w:pPr>
            <w:r>
              <w:t>SES sponsor:</w:t>
            </w:r>
          </w:p>
          <w:p w14:paraId="2AC45481" w14:textId="1AF55066" w:rsidR="002F2561" w:rsidRPr="004069D2" w:rsidRDefault="00212BEE" w:rsidP="00980202">
            <w:pPr>
              <w:pStyle w:val="APVMATableText"/>
            </w:pPr>
            <w:r>
              <w:t>CEO</w:t>
            </w:r>
          </w:p>
        </w:tc>
      </w:tr>
      <w:tr w:rsidR="004069D2" w:rsidRPr="004069D2" w14:paraId="2EC767D9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2A54FAFC" w14:textId="1B8572AB" w:rsidR="009A4489" w:rsidRPr="004069D2" w:rsidRDefault="00E10CAD" w:rsidP="00A94DB0">
            <w:pPr>
              <w:pStyle w:val="APVMATableText"/>
            </w:pPr>
            <w:r w:rsidRPr="004069D2">
              <w:t>Cost Recovery Working Group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192D4D99" w14:textId="18AA8112" w:rsidR="009A4489" w:rsidRPr="004069D2" w:rsidRDefault="009A4489" w:rsidP="009F4533">
            <w:pPr>
              <w:pStyle w:val="APVMATableText"/>
            </w:pPr>
            <w:r w:rsidRPr="004069D2">
              <w:t xml:space="preserve">To seek feedback and input from industry stakeholders </w:t>
            </w:r>
            <w:r w:rsidR="00881718" w:rsidRPr="004069D2">
              <w:t>o</w:t>
            </w:r>
            <w:r w:rsidRPr="004069D2">
              <w:t>n the APVM</w:t>
            </w:r>
            <w:r w:rsidR="009F4533">
              <w:t>A’s cost recovery arrangements.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7A0694F6" w14:textId="68B88E29" w:rsidR="009A4489" w:rsidRPr="004069D2" w:rsidRDefault="009A4489" w:rsidP="00A94DB0">
            <w:pPr>
              <w:pStyle w:val="APVMATableText"/>
            </w:pPr>
            <w:r w:rsidRPr="004069D2">
              <w:t xml:space="preserve">Liaison and </w:t>
            </w:r>
            <w:r w:rsidR="00A94DB0" w:rsidRPr="004069D2">
              <w:t>operational</w:t>
            </w:r>
            <w:r w:rsidRPr="004069D2">
              <w:t>-level discussions with clear terms of reference.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698D8BEA" w14:textId="56C7B697" w:rsidR="009A4489" w:rsidRPr="004069D2" w:rsidRDefault="009A4489" w:rsidP="00980202">
            <w:pPr>
              <w:pStyle w:val="APVMATableText"/>
            </w:pPr>
            <w:r w:rsidRPr="004069D2">
              <w:t>Three times per year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27345499" w14:textId="77777777" w:rsidR="009A4489" w:rsidRPr="004069D2" w:rsidRDefault="009A4489" w:rsidP="00980202">
            <w:pPr>
              <w:pStyle w:val="APVMATableText"/>
            </w:pPr>
            <w:r w:rsidRPr="004069D2">
              <w:t>Representatives from peak industry bodies.</w:t>
            </w:r>
          </w:p>
          <w:p w14:paraId="68A6D405" w14:textId="47D9C10C" w:rsidR="009A4489" w:rsidRPr="004069D2" w:rsidRDefault="009F4533" w:rsidP="00980202">
            <w:pPr>
              <w:pStyle w:val="APVMATableText"/>
            </w:pPr>
            <w:r>
              <w:t>SES sponsor:</w:t>
            </w:r>
          </w:p>
          <w:p w14:paraId="763D753C" w14:textId="1316D0FB" w:rsidR="004069D2" w:rsidRPr="004069D2" w:rsidRDefault="00B65494" w:rsidP="00980202">
            <w:pPr>
              <w:pStyle w:val="APVMATableText"/>
            </w:pPr>
            <w:r>
              <w:t>Executive Director</w:t>
            </w:r>
            <w:r>
              <w:br/>
            </w:r>
            <w:bookmarkStart w:id="1" w:name="_GoBack"/>
            <w:bookmarkEnd w:id="1"/>
            <w:r>
              <w:t>Corporate Services</w:t>
            </w:r>
          </w:p>
        </w:tc>
      </w:tr>
      <w:tr w:rsidR="004069D2" w:rsidRPr="004069D2" w14:paraId="0567A3B0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0E8E1815" w14:textId="30FEA386" w:rsidR="0050389E" w:rsidRPr="004069D2" w:rsidRDefault="0050389E" w:rsidP="00BC0A54">
            <w:pPr>
              <w:pStyle w:val="APVMATableText"/>
            </w:pPr>
            <w:r w:rsidRPr="004069D2">
              <w:t xml:space="preserve">Registration Liaison </w:t>
            </w:r>
            <w:r w:rsidR="00BC0A54" w:rsidRPr="004069D2">
              <w:t>Forum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7C3E9E83" w14:textId="06C0A45E" w:rsidR="0050389E" w:rsidRPr="004069D2" w:rsidRDefault="0050389E" w:rsidP="0050389E">
            <w:pPr>
              <w:pStyle w:val="APVMATableText"/>
            </w:pPr>
            <w:r w:rsidRPr="004069D2">
              <w:t>To inform operational policies, guidelines and protocols, and align agvet chemical control objectives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09541356" w14:textId="335AAEE5" w:rsidR="0050389E" w:rsidRPr="004069D2" w:rsidRDefault="0050389E" w:rsidP="002F2561">
            <w:pPr>
              <w:pStyle w:val="APVMATableText"/>
            </w:pPr>
            <w:r w:rsidRPr="004069D2">
              <w:t>Liaison and high-level discussions with clear terms of reference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79767493" w14:textId="7D7BFCE3" w:rsidR="0050389E" w:rsidRPr="004069D2" w:rsidRDefault="004069D2" w:rsidP="00980202">
            <w:pPr>
              <w:pStyle w:val="APVMATableText"/>
            </w:pPr>
            <w:r w:rsidRPr="004069D2">
              <w:t>At least twice per year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2D919FEB" w14:textId="4B28109B" w:rsidR="0050389E" w:rsidRPr="004069D2" w:rsidRDefault="0050389E" w:rsidP="00980202">
            <w:pPr>
              <w:pStyle w:val="APVMATableText"/>
            </w:pPr>
            <w:r w:rsidRPr="004069D2">
              <w:t>Representatives from state and territory regulators and relevant Australian Government departments.</w:t>
            </w:r>
          </w:p>
          <w:p w14:paraId="321574E3" w14:textId="497D41D1" w:rsidR="004069D2" w:rsidRPr="004069D2" w:rsidRDefault="0050389E" w:rsidP="00980202">
            <w:pPr>
              <w:pStyle w:val="APVMATableText"/>
            </w:pPr>
            <w:r w:rsidRPr="004069D2">
              <w:t>SES sponsor:</w:t>
            </w:r>
          </w:p>
          <w:p w14:paraId="50631D4B" w14:textId="2441CB03" w:rsidR="0050389E" w:rsidRPr="004069D2" w:rsidRDefault="004069D2" w:rsidP="00980202">
            <w:pPr>
              <w:pStyle w:val="APVMATableText"/>
            </w:pPr>
            <w:r w:rsidRPr="004069D2">
              <w:t>Executive Director</w:t>
            </w:r>
            <w:r w:rsidR="00BC0A54" w:rsidRPr="004069D2">
              <w:t xml:space="preserve"> Registration Management</w:t>
            </w:r>
          </w:p>
        </w:tc>
      </w:tr>
      <w:tr w:rsidR="004069D2" w:rsidRPr="004069D2" w14:paraId="7E3FA54B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795CCFD3" w14:textId="0672D3FF" w:rsidR="002F2561" w:rsidRPr="004069D2" w:rsidRDefault="002F2561" w:rsidP="007560A1">
            <w:pPr>
              <w:pStyle w:val="APVMATableText"/>
            </w:pPr>
            <w:r w:rsidRPr="004069D2">
              <w:t xml:space="preserve">State and territory regulators </w:t>
            </w:r>
            <w:r w:rsidR="007560A1" w:rsidRPr="004069D2">
              <w:t>(Harmonised Agvet Chemicals Control of Use Task Group</w:t>
            </w:r>
            <w:r w:rsidR="00750D7E" w:rsidRPr="004069D2">
              <w:t>—</w:t>
            </w:r>
            <w:r w:rsidR="007560A1" w:rsidRPr="004069D2">
              <w:t>HACCUT)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5B03FF3C" w14:textId="5BD1164B" w:rsidR="002F2561" w:rsidRPr="004069D2" w:rsidRDefault="002F2561" w:rsidP="00980202">
            <w:pPr>
              <w:pStyle w:val="APVMATableText"/>
            </w:pPr>
            <w:r w:rsidRPr="004069D2">
              <w:t>To consult with and involve state and territory regulators to ensure their issues and concerns are understood and considered, and educate on APVMA activities.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43637A56" w14:textId="2113CFB2" w:rsidR="002F2561" w:rsidRPr="004069D2" w:rsidRDefault="007560A1" w:rsidP="007560A1">
            <w:pPr>
              <w:pStyle w:val="APVMATableText"/>
            </w:pPr>
            <w:r w:rsidRPr="004069D2">
              <w:t>To be engaged through the HACCUT meetings.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5A591167" w14:textId="5B05719B" w:rsidR="002F2561" w:rsidRPr="004069D2" w:rsidRDefault="007560A1" w:rsidP="004069D2">
            <w:pPr>
              <w:pStyle w:val="APVMATableText"/>
            </w:pPr>
            <w:r w:rsidRPr="004069D2">
              <w:t xml:space="preserve">As </w:t>
            </w:r>
            <w:r w:rsidR="004069D2">
              <w:t>required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25FD864B" w14:textId="1013A114" w:rsidR="002F2561" w:rsidRPr="004069D2" w:rsidRDefault="002F2561" w:rsidP="00980202">
            <w:pPr>
              <w:pStyle w:val="APVMATableText"/>
            </w:pPr>
            <w:r w:rsidRPr="004069D2">
              <w:t>State and territory partners.</w:t>
            </w:r>
          </w:p>
          <w:p w14:paraId="2EDE1EFD" w14:textId="77777777" w:rsidR="009F4533" w:rsidRDefault="009F4533" w:rsidP="007560A1">
            <w:pPr>
              <w:pStyle w:val="APVMATableText"/>
            </w:pPr>
            <w:r>
              <w:t>SES sponsor:</w:t>
            </w:r>
          </w:p>
          <w:p w14:paraId="0A15B7FA" w14:textId="27A638CF" w:rsidR="002F2561" w:rsidRPr="004069D2" w:rsidRDefault="007560A1" w:rsidP="007560A1">
            <w:pPr>
              <w:pStyle w:val="APVMATableText"/>
            </w:pPr>
            <w:r w:rsidRPr="004069D2">
              <w:t>Executive Director Registration Management.</w:t>
            </w:r>
          </w:p>
        </w:tc>
      </w:tr>
      <w:tr w:rsidR="004069D2" w:rsidRPr="004069D2" w14:paraId="34159B68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6AB52647" w14:textId="0C324C3B" w:rsidR="002F2561" w:rsidRPr="004069D2" w:rsidRDefault="002F2561" w:rsidP="00A364C5">
            <w:pPr>
              <w:pStyle w:val="APVMATableText"/>
            </w:pPr>
            <w:r w:rsidRPr="004069D2">
              <w:lastRenderedPageBreak/>
              <w:t>International regulator forums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428A71B2" w14:textId="77777777" w:rsidR="002F2561" w:rsidRPr="004069D2" w:rsidRDefault="002F2561" w:rsidP="00980202">
            <w:pPr>
              <w:pStyle w:val="APVMATableText"/>
            </w:pPr>
            <w:r w:rsidRPr="004069D2">
              <w:t>Partnering with international regulators to develop and enact mutually agreed outcomes and harmonisation of processes.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543895D3" w14:textId="3B310524" w:rsidR="002F2561" w:rsidRPr="004069D2" w:rsidRDefault="002F2561" w:rsidP="009F4533">
            <w:pPr>
              <w:pStyle w:val="APVMATableText"/>
            </w:pPr>
            <w:r w:rsidRPr="004069D2">
              <w:t>Participation in international regulatory initiatives to develop cooperative working relationships</w:t>
            </w:r>
            <w:r w:rsidR="009F4533">
              <w:t>, working groups and Memoranda</w:t>
            </w:r>
            <w:r w:rsidRPr="004069D2">
              <w:t xml:space="preserve"> of Understanding (MoUs).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19D8A987" w14:textId="77777777" w:rsidR="002F2561" w:rsidRPr="004069D2" w:rsidRDefault="002F2561" w:rsidP="00980202">
            <w:pPr>
              <w:pStyle w:val="APVMATableText"/>
              <w:rPr>
                <w:highlight w:val="yellow"/>
              </w:rPr>
            </w:pPr>
            <w:r w:rsidRPr="004069D2">
              <w:t>Twice per year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27EC6CC5" w14:textId="77777777" w:rsidR="002F2561" w:rsidRPr="004069D2" w:rsidRDefault="002F2561" w:rsidP="002F2561">
            <w:pPr>
              <w:pStyle w:val="APVMATableText"/>
            </w:pPr>
            <w:r w:rsidRPr="004069D2">
              <w:t>Officers from the APVMA Compliance and Monitoring program.</w:t>
            </w:r>
          </w:p>
        </w:tc>
      </w:tr>
      <w:tr w:rsidR="004069D2" w:rsidRPr="004069D2" w14:paraId="26AB0504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3BF7B674" w14:textId="77777777" w:rsidR="002F2561" w:rsidRPr="004069D2" w:rsidRDefault="002F2561" w:rsidP="00980202">
            <w:pPr>
              <w:pStyle w:val="APVMATableText"/>
            </w:pPr>
            <w:r w:rsidRPr="004069D2">
              <w:t>GRDC roadshow, northern regions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291F5988" w14:textId="77777777" w:rsidR="002F2561" w:rsidRPr="004069D2" w:rsidRDefault="002F2561" w:rsidP="00980202">
            <w:pPr>
              <w:pStyle w:val="APVMATableText"/>
            </w:pPr>
            <w:r w:rsidRPr="004069D2">
              <w:t>To further understanding of Australia’s regulatory system.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32BA84A2" w14:textId="77777777" w:rsidR="002F2561" w:rsidRPr="004069D2" w:rsidRDefault="002F2561" w:rsidP="002F2561">
            <w:pPr>
              <w:pStyle w:val="APVMATableText"/>
            </w:pPr>
            <w:r w:rsidRPr="004069D2">
              <w:t>Presentation: ‘</w:t>
            </w:r>
            <w:r w:rsidRPr="004069D2">
              <w:rPr>
                <w:i/>
              </w:rPr>
              <w:t>Herbicide approval processes—they can be relied on!</w:t>
            </w:r>
            <w:r w:rsidRPr="004069D2">
              <w:t>’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387F069B" w14:textId="77777777" w:rsidR="002F2561" w:rsidRPr="004069D2" w:rsidRDefault="002F2561" w:rsidP="002F2561">
            <w:pPr>
              <w:pStyle w:val="APVMATableText"/>
            </w:pPr>
            <w:r w:rsidRPr="004069D2">
              <w:t>Multiple sessions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7C2D3448" w14:textId="736088AC" w:rsidR="002F2561" w:rsidRPr="004069D2" w:rsidRDefault="00750D7E" w:rsidP="00980202">
            <w:pPr>
              <w:pStyle w:val="APVMATableText"/>
            </w:pPr>
            <w:r w:rsidRPr="004069D2">
              <w:t>90–</w:t>
            </w:r>
            <w:r w:rsidR="002F2561" w:rsidRPr="004069D2">
              <w:t>400 attendees at each session, with a mixture of producers, agronomists and consultants.</w:t>
            </w:r>
          </w:p>
          <w:p w14:paraId="6D3BB566" w14:textId="77777777" w:rsidR="002F2561" w:rsidRPr="004069D2" w:rsidRDefault="002F2561" w:rsidP="00980202">
            <w:pPr>
              <w:pStyle w:val="APVMATableText"/>
            </w:pPr>
            <w:r w:rsidRPr="004069D2">
              <w:t>EL2-led.</w:t>
            </w:r>
          </w:p>
        </w:tc>
      </w:tr>
      <w:tr w:rsidR="004069D2" w:rsidRPr="004069D2" w14:paraId="75EDDA5B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09EC20C8" w14:textId="2087DE9F" w:rsidR="002F2561" w:rsidRPr="004069D2" w:rsidRDefault="008B3834" w:rsidP="008B3834">
            <w:pPr>
              <w:pStyle w:val="APVMATableText"/>
            </w:pPr>
            <w:r w:rsidRPr="008B3834">
              <w:t>Manufacturers' Licensing Scheme</w:t>
            </w:r>
            <w:r w:rsidR="009F4533">
              <w:t>—</w:t>
            </w:r>
            <w:r>
              <w:t>Industry Liaison Forum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42B24038" w14:textId="6891C585" w:rsidR="002F2561" w:rsidRPr="004069D2" w:rsidRDefault="002F2561" w:rsidP="008B3834">
            <w:pPr>
              <w:pStyle w:val="APVMATableText"/>
            </w:pPr>
            <w:r w:rsidRPr="004069D2">
              <w:t xml:space="preserve">To seek feedback and input from </w:t>
            </w:r>
            <w:r w:rsidR="008B3834">
              <w:t xml:space="preserve">veterinary </w:t>
            </w:r>
            <w:r w:rsidRPr="004069D2">
              <w:t xml:space="preserve">chemical </w:t>
            </w:r>
            <w:r w:rsidR="008B3834">
              <w:t xml:space="preserve">product </w:t>
            </w:r>
            <w:r w:rsidRPr="004069D2">
              <w:t>manufacturers.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4B567A96" w14:textId="33FF4C3F" w:rsidR="002F2561" w:rsidRPr="004069D2" w:rsidRDefault="002F2561" w:rsidP="008B3834">
            <w:pPr>
              <w:pStyle w:val="APVMATableText"/>
              <w:rPr>
                <w:highlight w:val="yellow"/>
              </w:rPr>
            </w:pPr>
            <w:r w:rsidRPr="004069D2">
              <w:t xml:space="preserve">Working level </w:t>
            </w:r>
            <w:r w:rsidR="008B3834">
              <w:t xml:space="preserve">discussion on </w:t>
            </w:r>
            <w:r w:rsidRPr="004069D2">
              <w:t xml:space="preserve">issues </w:t>
            </w:r>
            <w:r w:rsidR="008B3834">
              <w:t>relevant to licensed manufacturers</w:t>
            </w:r>
            <w:r w:rsidRPr="004069D2">
              <w:t>.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4FA9A8F4" w14:textId="76A79976" w:rsidR="002F2561" w:rsidRPr="004069D2" w:rsidRDefault="008B3834" w:rsidP="00980202">
            <w:pPr>
              <w:pStyle w:val="APVMATableText"/>
            </w:pPr>
            <w:r>
              <w:t>Twice per year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3AC37806" w14:textId="75A4D63B" w:rsidR="002F2561" w:rsidRPr="004069D2" w:rsidRDefault="008B3834" w:rsidP="00980202">
            <w:pPr>
              <w:pStyle w:val="APVMATableText"/>
            </w:pPr>
            <w:r>
              <w:t xml:space="preserve">Representatives from </w:t>
            </w:r>
            <w:r w:rsidRPr="008B3834">
              <w:t>veterinary chemical product manufacturers</w:t>
            </w:r>
            <w:r w:rsidR="002F2561" w:rsidRPr="004069D2">
              <w:t>.</w:t>
            </w:r>
          </w:p>
          <w:p w14:paraId="77E060C8" w14:textId="77777777" w:rsidR="002F2561" w:rsidRPr="004069D2" w:rsidRDefault="002F2561" w:rsidP="00980202">
            <w:pPr>
              <w:pStyle w:val="APVMATableText"/>
              <w:rPr>
                <w:highlight w:val="yellow"/>
              </w:rPr>
            </w:pPr>
            <w:r w:rsidRPr="004069D2">
              <w:t>EL2-led.</w:t>
            </w:r>
          </w:p>
        </w:tc>
      </w:tr>
      <w:tr w:rsidR="004069D2" w:rsidRPr="004069D2" w14:paraId="264C7839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3EB5CE6E" w14:textId="4A64C897" w:rsidR="0050389E" w:rsidRPr="004069D2" w:rsidRDefault="0050389E" w:rsidP="00980202">
            <w:pPr>
              <w:pStyle w:val="APVMATableText"/>
            </w:pPr>
            <w:r w:rsidRPr="004069D2">
              <w:t>Emerging technologies working group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5FBD2C3F" w14:textId="2FBEA45A" w:rsidR="0050389E" w:rsidRPr="004069D2" w:rsidRDefault="0050389E" w:rsidP="002F2561">
            <w:pPr>
              <w:pStyle w:val="APVMATableText"/>
            </w:pPr>
            <w:r w:rsidRPr="004069D2">
              <w:t xml:space="preserve">To consult with stakeholders about current and emerging technologies in the agvet chemical industry 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7757685E" w14:textId="3B819489" w:rsidR="0050389E" w:rsidRPr="004069D2" w:rsidRDefault="0050389E" w:rsidP="002F2561">
            <w:pPr>
              <w:pStyle w:val="APVMATableText"/>
            </w:pPr>
            <w:r w:rsidRPr="004069D2">
              <w:t xml:space="preserve">Working level discussion </w:t>
            </w:r>
            <w:r w:rsidR="008B3834">
              <w:t xml:space="preserve">of </w:t>
            </w:r>
            <w:r w:rsidRPr="004069D2">
              <w:t>relevant to current and emerging technologies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6F4BC52C" w14:textId="796168C3" w:rsidR="0050389E" w:rsidRPr="004069D2" w:rsidRDefault="004069D2" w:rsidP="00980202">
            <w:pPr>
              <w:pStyle w:val="APVMATableText"/>
            </w:pPr>
            <w:r>
              <w:t>As required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48D81FE5" w14:textId="36146CCF" w:rsidR="0050389E" w:rsidRPr="004069D2" w:rsidRDefault="004069D2" w:rsidP="00980202">
            <w:pPr>
              <w:pStyle w:val="APVMATableText"/>
            </w:pPr>
            <w:r w:rsidRPr="004069D2">
              <w:t>EL2-led</w:t>
            </w:r>
            <w:r>
              <w:t>.</w:t>
            </w:r>
          </w:p>
        </w:tc>
      </w:tr>
    </w:tbl>
    <w:p w14:paraId="6DD8505F" w14:textId="77777777" w:rsidR="009A4489" w:rsidRPr="004069D2" w:rsidRDefault="009A4489" w:rsidP="002F2561">
      <w:pPr>
        <w:pStyle w:val="Caption"/>
        <w:spacing w:before="500"/>
        <w:rPr>
          <w:color w:val="auto"/>
        </w:rPr>
        <w:sectPr w:rsidR="009A4489" w:rsidRPr="004069D2" w:rsidSect="00D0021B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40DEBF15" w14:textId="150B4EBC" w:rsidR="002F2561" w:rsidRPr="00212BEE" w:rsidRDefault="002F2561" w:rsidP="002F2561">
      <w:pPr>
        <w:pStyle w:val="Caption"/>
        <w:spacing w:before="500"/>
      </w:pPr>
      <w:r w:rsidRPr="00212BEE">
        <w:lastRenderedPageBreak/>
        <w:t xml:space="preserve">Table </w:t>
      </w:r>
      <w:r w:rsidRPr="00212BEE">
        <w:rPr>
          <w:noProof/>
        </w:rPr>
        <w:fldChar w:fldCharType="begin"/>
      </w:r>
      <w:r w:rsidRPr="00212BEE">
        <w:rPr>
          <w:noProof/>
        </w:rPr>
        <w:instrText xml:space="preserve"> SEQ Table \* ARABIC </w:instrText>
      </w:r>
      <w:r w:rsidRPr="00212BEE">
        <w:rPr>
          <w:noProof/>
        </w:rPr>
        <w:fldChar w:fldCharType="separate"/>
      </w:r>
      <w:r w:rsidR="002736A6" w:rsidRPr="00212BEE">
        <w:rPr>
          <w:noProof/>
        </w:rPr>
        <w:t>2</w:t>
      </w:r>
      <w:r w:rsidRPr="00212BEE">
        <w:rPr>
          <w:noProof/>
        </w:rPr>
        <w:fldChar w:fldCharType="end"/>
      </w:r>
      <w:r w:rsidRPr="00212BEE">
        <w:t>:</w:t>
      </w:r>
      <w:r w:rsidRPr="00212BEE">
        <w:tab/>
        <w:t>Stakeholder engagement activities</w:t>
      </w:r>
    </w:p>
    <w:tbl>
      <w:tblPr>
        <w:tblW w:w="5000" w:type="pct"/>
        <w:tblBorders>
          <w:bottom w:val="dotted" w:sz="2" w:space="0" w:color="auto"/>
          <w:insideH w:val="dotted" w:sz="2" w:space="0" w:color="auto"/>
        </w:tblBorders>
        <w:tblLook w:val="01E0" w:firstRow="1" w:lastRow="1" w:firstColumn="1" w:lastColumn="1" w:noHBand="0" w:noVBand="0"/>
      </w:tblPr>
      <w:tblGrid>
        <w:gridCol w:w="4134"/>
        <w:gridCol w:w="4940"/>
        <w:gridCol w:w="6630"/>
      </w:tblGrid>
      <w:tr w:rsidR="004069D2" w:rsidRPr="004069D2" w14:paraId="2941AA61" w14:textId="77777777" w:rsidTr="00980202">
        <w:trPr>
          <w:cantSplit/>
          <w:tblHeader/>
        </w:trPr>
        <w:tc>
          <w:tcPr>
            <w:tcW w:w="1316" w:type="pct"/>
            <w:tcBorders>
              <w:bottom w:val="single" w:sz="4" w:space="0" w:color="auto"/>
            </w:tcBorders>
            <w:shd w:val="clear" w:color="auto" w:fill="5C2946"/>
            <w:vAlign w:val="bottom"/>
          </w:tcPr>
          <w:p w14:paraId="3C55635E" w14:textId="77777777" w:rsidR="002F2561" w:rsidRPr="004069D2" w:rsidRDefault="002F2561" w:rsidP="00980202">
            <w:pPr>
              <w:pStyle w:val="APVMATableHead"/>
              <w:rPr>
                <w:color w:val="auto"/>
              </w:rPr>
            </w:pPr>
            <w:r w:rsidRPr="004069D2">
              <w:rPr>
                <w:color w:val="auto"/>
              </w:rPr>
              <w:t>Activity</w:t>
            </w:r>
          </w:p>
        </w:tc>
        <w:tc>
          <w:tcPr>
            <w:tcW w:w="1573" w:type="pct"/>
            <w:tcBorders>
              <w:bottom w:val="single" w:sz="4" w:space="0" w:color="auto"/>
            </w:tcBorders>
            <w:shd w:val="clear" w:color="auto" w:fill="5C2946"/>
            <w:vAlign w:val="bottom"/>
          </w:tcPr>
          <w:p w14:paraId="32D1E5B7" w14:textId="77777777" w:rsidR="002F2561" w:rsidRPr="004069D2" w:rsidRDefault="002F2561" w:rsidP="00980202">
            <w:pPr>
              <w:pStyle w:val="APVMATableHead"/>
              <w:rPr>
                <w:color w:val="auto"/>
              </w:rPr>
            </w:pPr>
            <w:r w:rsidRPr="004069D2">
              <w:rPr>
                <w:color w:val="auto"/>
              </w:rPr>
              <w:t>Objective</w:t>
            </w:r>
          </w:p>
        </w:tc>
        <w:tc>
          <w:tcPr>
            <w:tcW w:w="2111" w:type="pct"/>
            <w:tcBorders>
              <w:bottom w:val="single" w:sz="4" w:space="0" w:color="auto"/>
            </w:tcBorders>
            <w:shd w:val="clear" w:color="auto" w:fill="5C2946"/>
          </w:tcPr>
          <w:p w14:paraId="39666BC8" w14:textId="77777777" w:rsidR="002F2561" w:rsidRPr="004069D2" w:rsidRDefault="002F2561" w:rsidP="00980202">
            <w:pPr>
              <w:pStyle w:val="APVMATableHead"/>
              <w:rPr>
                <w:color w:val="auto"/>
              </w:rPr>
            </w:pPr>
            <w:r w:rsidRPr="004069D2">
              <w:rPr>
                <w:color w:val="auto"/>
              </w:rPr>
              <w:t>Outcomes</w:t>
            </w:r>
          </w:p>
        </w:tc>
      </w:tr>
      <w:tr w:rsidR="004069D2" w:rsidRPr="004069D2" w14:paraId="51BC3EF9" w14:textId="77777777" w:rsidTr="00980202">
        <w:trPr>
          <w:cantSplit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</w:tcPr>
          <w:p w14:paraId="57321318" w14:textId="77777777" w:rsidR="002F2561" w:rsidRPr="004069D2" w:rsidRDefault="002F2561" w:rsidP="00980202">
            <w:pPr>
              <w:pStyle w:val="APVMATableText"/>
            </w:pPr>
            <w:r w:rsidRPr="004069D2">
              <w:t>Enhancing our consultation process</w:t>
            </w:r>
          </w:p>
        </w:tc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</w:tcPr>
          <w:p w14:paraId="371360FA" w14:textId="77777777" w:rsidR="002F2561" w:rsidRPr="004069D2" w:rsidRDefault="002F2561" w:rsidP="00980202">
            <w:pPr>
              <w:pStyle w:val="APVMATableText"/>
            </w:pPr>
            <w:r w:rsidRPr="004069D2">
              <w:t>Improve how we share information about consultations and make the process accessible for all stakeholders.</w:t>
            </w:r>
          </w:p>
        </w:tc>
        <w:tc>
          <w:tcPr>
            <w:tcW w:w="2111" w:type="pct"/>
            <w:tcBorders>
              <w:top w:val="single" w:sz="4" w:space="0" w:color="auto"/>
              <w:bottom w:val="single" w:sz="4" w:space="0" w:color="auto"/>
            </w:tcBorders>
          </w:tcPr>
          <w:p w14:paraId="7D7C27D0" w14:textId="77777777" w:rsidR="002F2561" w:rsidRPr="004069D2" w:rsidRDefault="002F2561" w:rsidP="00980202">
            <w:pPr>
              <w:pStyle w:val="APVMATableText"/>
            </w:pPr>
            <w:r w:rsidRPr="004069D2">
              <w:t>An online questionnaire-style format for each consultation will be released to help guide stakeholders through the online submission process.</w:t>
            </w:r>
          </w:p>
          <w:p w14:paraId="1F106454" w14:textId="77777777" w:rsidR="002F2561" w:rsidRPr="004069D2" w:rsidRDefault="002F2561" w:rsidP="00980202">
            <w:pPr>
              <w:pStyle w:val="APVMATableText"/>
            </w:pPr>
            <w:r w:rsidRPr="004069D2">
              <w:t>Our consultations will be added to the business.gov.au consultation website to increase circulation and visibility, and stakeholders can make their submissions through this website.</w:t>
            </w:r>
          </w:p>
          <w:p w14:paraId="52E5B777" w14:textId="77777777" w:rsidR="002F2561" w:rsidRPr="004069D2" w:rsidRDefault="002F2561" w:rsidP="00980202">
            <w:pPr>
              <w:pStyle w:val="APVMATableText"/>
            </w:pPr>
            <w:r w:rsidRPr="004069D2">
              <w:t>Stakeholders will be given the option to ‘opt-in’ to receiving email notification when a consultation opens. Consultations will also be promoted on our social media channels, primarily Twitter, to increase reach amongst our stakeholders.</w:t>
            </w:r>
          </w:p>
        </w:tc>
      </w:tr>
      <w:tr w:rsidR="004069D2" w:rsidRPr="004069D2" w14:paraId="49230A91" w14:textId="77777777" w:rsidTr="00980202">
        <w:trPr>
          <w:cantSplit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</w:tcPr>
          <w:p w14:paraId="3DC8C221" w14:textId="77777777" w:rsidR="002F2561" w:rsidRPr="004069D2" w:rsidRDefault="002F2561" w:rsidP="00980202">
            <w:pPr>
              <w:pStyle w:val="APVMATableText"/>
            </w:pPr>
            <w:r w:rsidRPr="004069D2">
              <w:t>Introducing tailored e-newsletters</w:t>
            </w:r>
          </w:p>
        </w:tc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</w:tcPr>
          <w:p w14:paraId="59CC4680" w14:textId="77777777" w:rsidR="002F2561" w:rsidRPr="004069D2" w:rsidRDefault="002F2561" w:rsidP="00980202">
            <w:pPr>
              <w:pStyle w:val="APVMATableText"/>
            </w:pPr>
            <w:r w:rsidRPr="004069D2">
              <w:t>Tailor e-newsletter content to meet the needs and interests of our stakeholders.</w:t>
            </w:r>
          </w:p>
        </w:tc>
        <w:tc>
          <w:tcPr>
            <w:tcW w:w="2111" w:type="pct"/>
            <w:tcBorders>
              <w:top w:val="single" w:sz="4" w:space="0" w:color="auto"/>
              <w:bottom w:val="single" w:sz="4" w:space="0" w:color="auto"/>
            </w:tcBorders>
          </w:tcPr>
          <w:p w14:paraId="0CB98687" w14:textId="77777777" w:rsidR="002F2561" w:rsidRPr="004069D2" w:rsidRDefault="002F2561" w:rsidP="00980202">
            <w:pPr>
              <w:pStyle w:val="APVMATableText"/>
            </w:pPr>
            <w:r w:rsidRPr="004069D2">
              <w:t>Our stakeholders will be given the option to ‘opt-in’ to specific areas of interest and receive regular e-newsletter updates about this area.</w:t>
            </w:r>
          </w:p>
          <w:p w14:paraId="446A9D58" w14:textId="0D89E244" w:rsidR="002F2561" w:rsidRPr="004069D2" w:rsidRDefault="002F2561" w:rsidP="009F4533">
            <w:pPr>
              <w:pStyle w:val="APVMATableText"/>
            </w:pPr>
            <w:r w:rsidRPr="004069D2">
              <w:t xml:space="preserve">Tailored e-newsletters will be sent in addition </w:t>
            </w:r>
            <w:r w:rsidR="009F4533">
              <w:t>to other APVMA email notifications, including news and updates, the Gazette and recall notices.</w:t>
            </w:r>
          </w:p>
        </w:tc>
      </w:tr>
      <w:tr w:rsidR="004069D2" w:rsidRPr="004069D2" w14:paraId="3A03E81D" w14:textId="77777777" w:rsidTr="00980202">
        <w:trPr>
          <w:cantSplit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</w:tcPr>
          <w:p w14:paraId="32A55930" w14:textId="77B09EF9" w:rsidR="0050389E" w:rsidRPr="004069D2" w:rsidRDefault="0050389E" w:rsidP="00980202">
            <w:pPr>
              <w:pStyle w:val="APVMATableText"/>
            </w:pPr>
            <w:r w:rsidRPr="004069D2">
              <w:t>Compliance and enforcement email updates</w:t>
            </w:r>
          </w:p>
        </w:tc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</w:tcPr>
          <w:p w14:paraId="0C5B4F7F" w14:textId="63A63050" w:rsidR="0050389E" w:rsidRPr="004069D2" w:rsidRDefault="0050389E" w:rsidP="00980202">
            <w:pPr>
              <w:pStyle w:val="APVMATableText"/>
            </w:pPr>
            <w:r w:rsidRPr="004069D2">
              <w:t>Communicate outcomes of monitoring, detection and enforcement activities with our stakeholders.</w:t>
            </w:r>
          </w:p>
        </w:tc>
        <w:tc>
          <w:tcPr>
            <w:tcW w:w="2111" w:type="pct"/>
            <w:tcBorders>
              <w:top w:val="single" w:sz="4" w:space="0" w:color="auto"/>
              <w:bottom w:val="single" w:sz="4" w:space="0" w:color="auto"/>
            </w:tcBorders>
          </w:tcPr>
          <w:p w14:paraId="26057270" w14:textId="4EEE210D" w:rsidR="0050389E" w:rsidRPr="004069D2" w:rsidRDefault="0050389E" w:rsidP="00980202">
            <w:pPr>
              <w:pStyle w:val="APVMATableText"/>
            </w:pPr>
            <w:r w:rsidRPr="004069D2">
              <w:t>Our stakeholders will be given the</w:t>
            </w:r>
            <w:r w:rsidR="009F4533">
              <w:t xml:space="preserve"> option to ‘opt-in’ to receive</w:t>
            </w:r>
            <w:r w:rsidRPr="004069D2">
              <w:t xml:space="preserve"> regular email updates detailing recent compliance and enforcement activities and outcomes, which will also be published on our website.</w:t>
            </w:r>
          </w:p>
        </w:tc>
      </w:tr>
      <w:tr w:rsidR="004069D2" w:rsidRPr="004069D2" w14:paraId="56BD66D3" w14:textId="77777777" w:rsidTr="00980202">
        <w:trPr>
          <w:cantSplit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</w:tcPr>
          <w:p w14:paraId="60592F18" w14:textId="77777777" w:rsidR="002F2561" w:rsidRPr="004069D2" w:rsidRDefault="002F2561" w:rsidP="00980202">
            <w:pPr>
              <w:pStyle w:val="APVMATableText"/>
            </w:pPr>
            <w:r w:rsidRPr="004069D2">
              <w:t xml:space="preserve">Compliance and Monitoring education campaigns for suppliers </w:t>
            </w:r>
          </w:p>
        </w:tc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</w:tcPr>
          <w:p w14:paraId="5870A46D" w14:textId="77777777" w:rsidR="002F2561" w:rsidRPr="004069D2" w:rsidRDefault="002F2561" w:rsidP="002F2561">
            <w:pPr>
              <w:pStyle w:val="APVMATableText"/>
            </w:pPr>
            <w:r w:rsidRPr="004069D2">
              <w:t>To educate suppliers about the importance of compliance with label instructions, how to report suspected non-compliance, hormone growth promotant (HGP) licensing requirements, and how to report adverse experiences to the APVMA.</w:t>
            </w:r>
          </w:p>
        </w:tc>
        <w:tc>
          <w:tcPr>
            <w:tcW w:w="2111" w:type="pct"/>
            <w:tcBorders>
              <w:top w:val="single" w:sz="4" w:space="0" w:color="auto"/>
              <w:bottom w:val="single" w:sz="4" w:space="0" w:color="auto"/>
            </w:tcBorders>
          </w:tcPr>
          <w:p w14:paraId="7460DB56" w14:textId="77777777" w:rsidR="002F2561" w:rsidRPr="004069D2" w:rsidRDefault="002F2561" w:rsidP="00980202">
            <w:pPr>
              <w:pStyle w:val="APVMATableText"/>
            </w:pPr>
            <w:r w:rsidRPr="004069D2">
              <w:t>Helping industry, suppliers and the general public learn more about:</w:t>
            </w:r>
          </w:p>
          <w:p w14:paraId="42CB681B" w14:textId="77777777" w:rsidR="002F2561" w:rsidRPr="004069D2" w:rsidRDefault="002F2561" w:rsidP="00980202">
            <w:pPr>
              <w:pStyle w:val="APVMATableText"/>
              <w:numPr>
                <w:ilvl w:val="0"/>
                <w:numId w:val="1"/>
              </w:numPr>
              <w:ind w:left="170" w:hanging="170"/>
            </w:pPr>
            <w:r w:rsidRPr="004069D2">
              <w:t>the role of APVMA Compliance</w:t>
            </w:r>
          </w:p>
          <w:p w14:paraId="1065A303" w14:textId="77777777" w:rsidR="002F2561" w:rsidRPr="004069D2" w:rsidRDefault="002F2561" w:rsidP="00980202">
            <w:pPr>
              <w:pStyle w:val="APVMATableText"/>
              <w:numPr>
                <w:ilvl w:val="0"/>
                <w:numId w:val="1"/>
              </w:numPr>
              <w:ind w:left="170" w:hanging="170"/>
            </w:pPr>
            <w:r w:rsidRPr="004069D2">
              <w:t>how to report suspected non-compliance</w:t>
            </w:r>
          </w:p>
          <w:p w14:paraId="262B5D58" w14:textId="77777777" w:rsidR="002F2561" w:rsidRPr="004069D2" w:rsidRDefault="002F2561" w:rsidP="00980202">
            <w:pPr>
              <w:pStyle w:val="APVMATableText"/>
              <w:numPr>
                <w:ilvl w:val="0"/>
                <w:numId w:val="1"/>
              </w:numPr>
              <w:ind w:left="170" w:hanging="170"/>
            </w:pPr>
            <w:r w:rsidRPr="004069D2">
              <w:t>how to report adverse experiences</w:t>
            </w:r>
          </w:p>
          <w:p w14:paraId="68A8B5BC" w14:textId="77777777" w:rsidR="002F2561" w:rsidRPr="004069D2" w:rsidRDefault="002F2561" w:rsidP="00980202">
            <w:pPr>
              <w:pStyle w:val="APVMATableText"/>
              <w:numPr>
                <w:ilvl w:val="0"/>
                <w:numId w:val="1"/>
              </w:numPr>
              <w:ind w:left="170" w:hanging="170"/>
            </w:pPr>
            <w:r w:rsidRPr="004069D2">
              <w:t>HGP licensing requirements.</w:t>
            </w:r>
          </w:p>
          <w:p w14:paraId="2B50D30D" w14:textId="6E5655C5" w:rsidR="002F2561" w:rsidRPr="004069D2" w:rsidRDefault="002F2561" w:rsidP="00980202">
            <w:pPr>
              <w:pStyle w:val="APVMATableText"/>
            </w:pPr>
            <w:r w:rsidRPr="004069D2">
              <w:t>On an ad hoc basis, APVMA’s Compliance and M</w:t>
            </w:r>
            <w:r w:rsidR="00750D7E" w:rsidRPr="004069D2">
              <w:t>onitoring program will attend 3–</w:t>
            </w:r>
            <w:r w:rsidRPr="004069D2">
              <w:t>4 field days to speak with members from industry, the general public and suppliers, as well as representation at Safemeat and MLA or Integrity Systems Company meetings.</w:t>
            </w:r>
          </w:p>
        </w:tc>
      </w:tr>
      <w:tr w:rsidR="0050389E" w:rsidRPr="004069D2" w14:paraId="66693D9C" w14:textId="77777777" w:rsidTr="00980202">
        <w:trPr>
          <w:cantSplit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</w:tcPr>
          <w:p w14:paraId="5A10016A" w14:textId="5F2D50F2" w:rsidR="0050389E" w:rsidRPr="004069D2" w:rsidRDefault="0050389E" w:rsidP="00980202">
            <w:pPr>
              <w:pStyle w:val="APVMATableText"/>
            </w:pPr>
            <w:r w:rsidRPr="004069D2">
              <w:lastRenderedPageBreak/>
              <w:t>Website accessibility review</w:t>
            </w:r>
          </w:p>
        </w:tc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</w:tcPr>
          <w:p w14:paraId="3313342C" w14:textId="0E47DE23" w:rsidR="0050389E" w:rsidRPr="004069D2" w:rsidRDefault="0050389E" w:rsidP="002F2561">
            <w:pPr>
              <w:pStyle w:val="APVMATableText"/>
            </w:pPr>
            <w:r w:rsidRPr="004069D2">
              <w:t>Ensure our website content is accessible to a non-technical audience</w:t>
            </w:r>
          </w:p>
        </w:tc>
        <w:tc>
          <w:tcPr>
            <w:tcW w:w="2111" w:type="pct"/>
            <w:tcBorders>
              <w:top w:val="single" w:sz="4" w:space="0" w:color="auto"/>
              <w:bottom w:val="single" w:sz="4" w:space="0" w:color="auto"/>
            </w:tcBorders>
          </w:tcPr>
          <w:p w14:paraId="02C54EB6" w14:textId="7104C6FB" w:rsidR="0050389E" w:rsidRPr="004069D2" w:rsidRDefault="0050389E" w:rsidP="00B17FB2">
            <w:pPr>
              <w:pStyle w:val="APVMATableText"/>
            </w:pPr>
            <w:r w:rsidRPr="004069D2">
              <w:t xml:space="preserve">We will review our website and identify content that can be better </w:t>
            </w:r>
            <w:r w:rsidR="00B17FB2" w:rsidRPr="004069D2">
              <w:t>explained</w:t>
            </w:r>
            <w:r w:rsidRPr="004069D2">
              <w:t xml:space="preserve"> for non-technical audiences, and ensure future website content produced is accessible for </w:t>
            </w:r>
            <w:r w:rsidR="00B17FB2" w:rsidRPr="004069D2">
              <w:t>all users</w:t>
            </w:r>
            <w:r w:rsidRPr="004069D2">
              <w:t>.</w:t>
            </w:r>
          </w:p>
        </w:tc>
      </w:tr>
    </w:tbl>
    <w:p w14:paraId="1C934787" w14:textId="0502D23B" w:rsidR="00524767" w:rsidRPr="004069D2" w:rsidRDefault="00524767"/>
    <w:sectPr w:rsidR="00524767" w:rsidRPr="004069D2" w:rsidSect="00D002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E62A6" w14:textId="77777777" w:rsidR="00183232" w:rsidRDefault="00183232" w:rsidP="002F2561">
      <w:pPr>
        <w:spacing w:after="0" w:line="240" w:lineRule="auto"/>
      </w:pPr>
      <w:r>
        <w:separator/>
      </w:r>
    </w:p>
  </w:endnote>
  <w:endnote w:type="continuationSeparator" w:id="0">
    <w:p w14:paraId="2153AB64" w14:textId="77777777" w:rsidR="00183232" w:rsidRDefault="00183232" w:rsidP="002F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5A9CF" w14:textId="77777777" w:rsidR="00183232" w:rsidRDefault="00183232" w:rsidP="002F2561">
      <w:pPr>
        <w:spacing w:after="0" w:line="240" w:lineRule="auto"/>
      </w:pPr>
      <w:r>
        <w:separator/>
      </w:r>
    </w:p>
  </w:footnote>
  <w:footnote w:type="continuationSeparator" w:id="0">
    <w:p w14:paraId="32E52AB9" w14:textId="77777777" w:rsidR="00183232" w:rsidRDefault="00183232" w:rsidP="002F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8C4CC" w14:textId="343977CA" w:rsidR="00851BD9" w:rsidRPr="00D0021B" w:rsidRDefault="002F2561" w:rsidP="003713D6">
    <w:pPr>
      <w:pStyle w:val="Header"/>
      <w:tabs>
        <w:tab w:val="clear" w:pos="4513"/>
        <w:tab w:val="center" w:pos="5954"/>
      </w:tabs>
      <w:spacing w:after="600"/>
      <w:ind w:firstLine="284"/>
      <w:rPr>
        <w:rFonts w:ascii="Franklin Gothic Medium" w:hAnsi="Franklin Gothic Medium"/>
        <w:sz w:val="40"/>
      </w:rPr>
    </w:pPr>
    <w:r w:rsidRPr="00D0021B">
      <w:rPr>
        <w:noProof/>
        <w:sz w:val="20"/>
        <w:lang w:eastAsia="en-AU"/>
      </w:rPr>
      <w:drawing>
        <wp:inline distT="0" distB="0" distL="0" distR="0" wp14:anchorId="19475DD0" wp14:editId="5D82C774">
          <wp:extent cx="2276475" cy="584200"/>
          <wp:effectExtent l="0" t="0" r="9525" b="6350"/>
          <wp:docPr id="1" name="Picture 1" descr="Australian Pesticides and Veterinary Medicines Authority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elliot\Objects\apvma_inline_pms446_trans (A35263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13D6">
      <w:rPr>
        <w:rFonts w:ascii="Franklin Gothic Medium" w:hAnsi="Franklin Gothic Medium"/>
        <w:sz w:val="40"/>
      </w:rPr>
      <w:tab/>
    </w:r>
    <w:r w:rsidR="003713D6">
      <w:rPr>
        <w:rFonts w:ascii="Franklin Gothic Medium" w:hAnsi="Franklin Gothic Medium"/>
        <w:sz w:val="40"/>
      </w:rPr>
      <w:tab/>
    </w:r>
    <w:r w:rsidRPr="00D0021B">
      <w:rPr>
        <w:rFonts w:ascii="Franklin Gothic Medium" w:hAnsi="Franklin Gothic Medium"/>
        <w:sz w:val="40"/>
      </w:rPr>
      <w:t xml:space="preserve">APVMA Stakeholder Engagement </w:t>
    </w:r>
    <w:r>
      <w:rPr>
        <w:rFonts w:ascii="Franklin Gothic Medium" w:hAnsi="Franklin Gothic Medium"/>
        <w:sz w:val="40"/>
      </w:rPr>
      <w:t xml:space="preserve">Activities </w:t>
    </w:r>
    <w:r w:rsidR="00187CB7">
      <w:rPr>
        <w:rFonts w:ascii="Franklin Gothic Medium" w:hAnsi="Franklin Gothic Medium"/>
        <w:sz w:val="40"/>
      </w:rPr>
      <w:t>2020</w:t>
    </w:r>
    <w:r w:rsidR="00C5756D">
      <w:rPr>
        <w:rFonts w:ascii="Franklin Gothic Medium" w:hAnsi="Franklin Gothic Medium"/>
        <w:sz w:val="40"/>
      </w:rPr>
      <w:t>–2</w:t>
    </w:r>
    <w:r w:rsidR="00187CB7">
      <w:rPr>
        <w:rFonts w:ascii="Franklin Gothic Medium" w:hAnsi="Franklin Gothic Medium"/>
        <w:sz w:val="4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2451"/>
    <w:multiLevelType w:val="hybridMultilevel"/>
    <w:tmpl w:val="BE58B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61"/>
    <w:rsid w:val="00040F3D"/>
    <w:rsid w:val="000C28CD"/>
    <w:rsid w:val="00151E78"/>
    <w:rsid w:val="00183232"/>
    <w:rsid w:val="0018452D"/>
    <w:rsid w:val="00187CB7"/>
    <w:rsid w:val="001C2F80"/>
    <w:rsid w:val="001D2D63"/>
    <w:rsid w:val="002104C6"/>
    <w:rsid w:val="00212BEE"/>
    <w:rsid w:val="00214002"/>
    <w:rsid w:val="00223EE7"/>
    <w:rsid w:val="00236A94"/>
    <w:rsid w:val="002736A6"/>
    <w:rsid w:val="002C3FC6"/>
    <w:rsid w:val="002F2561"/>
    <w:rsid w:val="002F3D88"/>
    <w:rsid w:val="003713D6"/>
    <w:rsid w:val="004069D2"/>
    <w:rsid w:val="0050389E"/>
    <w:rsid w:val="00524767"/>
    <w:rsid w:val="006125C6"/>
    <w:rsid w:val="00665A71"/>
    <w:rsid w:val="00693039"/>
    <w:rsid w:val="00735351"/>
    <w:rsid w:val="00736E33"/>
    <w:rsid w:val="00750D7E"/>
    <w:rsid w:val="007560A1"/>
    <w:rsid w:val="00770D69"/>
    <w:rsid w:val="00791E49"/>
    <w:rsid w:val="007E3529"/>
    <w:rsid w:val="007E706E"/>
    <w:rsid w:val="007F3C01"/>
    <w:rsid w:val="008023CD"/>
    <w:rsid w:val="008306CD"/>
    <w:rsid w:val="00834212"/>
    <w:rsid w:val="00881718"/>
    <w:rsid w:val="008B3834"/>
    <w:rsid w:val="00907E72"/>
    <w:rsid w:val="00921F42"/>
    <w:rsid w:val="009A4489"/>
    <w:rsid w:val="009F4533"/>
    <w:rsid w:val="00A364C5"/>
    <w:rsid w:val="00A94DB0"/>
    <w:rsid w:val="00B17FB2"/>
    <w:rsid w:val="00B65494"/>
    <w:rsid w:val="00BC0A54"/>
    <w:rsid w:val="00BD653D"/>
    <w:rsid w:val="00C5756D"/>
    <w:rsid w:val="00D27309"/>
    <w:rsid w:val="00D4721C"/>
    <w:rsid w:val="00E10CAD"/>
    <w:rsid w:val="00E35E79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AB7E5"/>
  <w15:chartTrackingRefBased/>
  <w15:docId w15:val="{CE7F750E-49C5-4F1A-9A47-2C53099F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61"/>
  </w:style>
  <w:style w:type="paragraph" w:customStyle="1" w:styleId="APVMATableText">
    <w:name w:val="APVMA_TableText"/>
    <w:basedOn w:val="Normal"/>
    <w:uiPriority w:val="4"/>
    <w:qFormat/>
    <w:rsid w:val="002F2561"/>
    <w:pPr>
      <w:suppressAutoHyphens/>
      <w:spacing w:before="120" w:after="120" w:line="210" w:lineRule="exact"/>
    </w:pPr>
    <w:rPr>
      <w:rFonts w:ascii="Arial" w:eastAsia="Times New Roman" w:hAnsi="Arial" w:cs="Arial"/>
      <w:spacing w:val="6"/>
      <w:kern w:val="20"/>
      <w:sz w:val="17"/>
      <w:szCs w:val="24"/>
      <w:u w:color="000000"/>
    </w:rPr>
  </w:style>
  <w:style w:type="paragraph" w:customStyle="1" w:styleId="APVMATableHead">
    <w:name w:val="APVMA_TableHead"/>
    <w:basedOn w:val="APVMATableText"/>
    <w:uiPriority w:val="4"/>
    <w:qFormat/>
    <w:rsid w:val="002F2561"/>
    <w:pPr>
      <w:keepNext/>
      <w:keepLines/>
      <w:spacing w:before="60" w:after="60" w:line="240" w:lineRule="exact"/>
    </w:pPr>
    <w:rPr>
      <w:rFonts w:ascii="Franklin Gothic Medium" w:hAnsi="Franklin Gothic Medium"/>
      <w:bCs/>
      <w:color w:val="F8F8F8"/>
      <w:sz w:val="18"/>
    </w:rPr>
  </w:style>
  <w:style w:type="paragraph" w:styleId="Caption">
    <w:name w:val="caption"/>
    <w:aliases w:val="APVMA_Caption"/>
    <w:basedOn w:val="Normal"/>
    <w:next w:val="Normal"/>
    <w:uiPriority w:val="4"/>
    <w:rsid w:val="002F2561"/>
    <w:pPr>
      <w:keepNext/>
      <w:keepLines/>
      <w:tabs>
        <w:tab w:val="left" w:pos="907"/>
      </w:tabs>
      <w:spacing w:before="240" w:after="120" w:line="280" w:lineRule="exact"/>
      <w:ind w:left="907" w:hanging="907"/>
    </w:pPr>
    <w:rPr>
      <w:rFonts w:ascii="Franklin Gothic Medium" w:eastAsia="Times New Roman" w:hAnsi="Franklin Gothic Medium" w:cs="Times New Roman"/>
      <w:color w:val="5C2946"/>
      <w:sz w:val="20"/>
      <w:szCs w:val="24"/>
    </w:rPr>
  </w:style>
  <w:style w:type="paragraph" w:customStyle="1" w:styleId="NormalText">
    <w:name w:val="Normal Text"/>
    <w:basedOn w:val="Normal"/>
    <w:qFormat/>
    <w:rsid w:val="002F2561"/>
    <w:pPr>
      <w:suppressAutoHyphens/>
      <w:spacing w:before="240" w:after="240" w:line="280" w:lineRule="exact"/>
    </w:pPr>
    <w:rPr>
      <w:rFonts w:ascii="Arial" w:eastAsia="Times New Roman" w:hAnsi="Arial" w:cs="Arial"/>
      <w:kern w:val="20"/>
      <w:sz w:val="19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F2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56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56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F2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5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5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35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23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1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pvma.gov.au/node/72861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975e0bc2e8e54d4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A1890077</value>
    </field>
    <field name="Objective-Title">
      <value order="0">APVMA Stakeholder Engagement Activities</value>
    </field>
    <field name="Objective-Description">
      <value order="0"/>
    </field>
    <field name="Objective-CreationStamp">
      <value order="0">2020-09-01T23:46:05Z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2020-09-03T03:29:35Z</value>
    </field>
    <field name="Objective-Owner">
      <value order="0">Amy Elliott</value>
    </field>
    <field name="Objective-Path">
      <value order="0">APVMA:PUBLIC AFFAIRS AND COMMUNICATION:Public Affairs and Communication - Liaison:Public Affairs and Communication - Liaison - Stakeholder Engagement:PAC - Liaison - Stakeholder Engagement - Framework 2019:Final documents to be approved for publishing:FINAL</value>
    </field>
    <field name="Objective-Parent">
      <value order="0">FINAL</value>
    </field>
    <field name="Objective-State">
      <value order="0">Being Drafted</value>
    </field>
    <field name="Objective-VersionId">
      <value order="0">vA2921574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2019\2276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807</Words>
  <Characters>4813</Characters>
  <Application>Microsoft Office Word</Application>
  <DocSecurity>0</DocSecurity>
  <Lines>90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APVMA Stakeholder Engagement Activities</vt:lpstr>
    </vt:vector>
  </TitlesOfParts>
  <Company>APVMA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APVMA Stakeholder Engagement Activities</dc:title>
  <dc:subject/>
  <dc:creator>APVMA</dc:creator>
  <cp:keywords/>
  <dc:description/>
  <cp:lastModifiedBy>ELLIOTT, Amy</cp:lastModifiedBy>
  <cp:revision>6</cp:revision>
  <cp:lastPrinted>2019-12-17T00:34:00Z</cp:lastPrinted>
  <dcterms:created xsi:type="dcterms:W3CDTF">2020-09-01T23:46:00Z</dcterms:created>
  <dcterms:modified xsi:type="dcterms:W3CDTF">2020-09-03T03:29:00Z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A1890077</vt:lpwstr>
  </property>
  <property fmtid="{D5CDD505-2E9C-101B-9397-08002B2CF9AE}" pid="4" name="Objective-Title">
    <vt:lpwstr>APVMA Stakeholder Engagement Activities</vt:lpwstr>
  </property>
  <property fmtid="{D5CDD505-2E9C-101B-9397-08002B2CF9AE}" pid="5" name="Objective-Description">
    <vt:lpwstr/>
  </property>
  <property fmtid="{D5CDD505-2E9C-101B-9397-08002B2CF9AE}" pid="6" name="Objective-CreationStamp">
    <vt:filetime>2020-09-03T01:53:00Z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2020-09-03T03:29:35Z</vt:filetime>
  </property>
  <property fmtid="{D5CDD505-2E9C-101B-9397-08002B2CF9AE}" pid="11" name="Objective-Owner">
    <vt:lpwstr>Amy Elliott</vt:lpwstr>
  </property>
  <property fmtid="{D5CDD505-2E9C-101B-9397-08002B2CF9AE}" pid="12" name="Objective-Path">
    <vt:lpwstr>APVMA:PUBLIC AFFAIRS AND COMMUNICATION:Public Affairs and Communication - Liaison:Public Affairs and Communication - Liaison - Stakeholder Engagement:PAC - Liaison - Stakeholder Engagement - Framework 2019:Final documents to be approved for publishing:FINAL:</vt:lpwstr>
  </property>
  <property fmtid="{D5CDD505-2E9C-101B-9397-08002B2CF9AE}" pid="13" name="Objective-Parent">
    <vt:lpwstr>FINAL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vA2921574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Caveats_Count">
    <vt:lpwstr>0</vt:lpwstr>
  </property>
  <property fmtid="{D5CDD505-2E9C-101B-9397-08002B2CF9AE}" pid="26" name="PM_DisplayValueSecClassificationWithQualifier">
    <vt:lpwstr>UNOFFICIAL</vt:lpwstr>
  </property>
  <property fmtid="{D5CDD505-2E9C-101B-9397-08002B2CF9AE}" pid="27" name="PM_Qualifier">
    <vt:lpwstr/>
  </property>
  <property fmtid="{D5CDD505-2E9C-101B-9397-08002B2CF9AE}" pid="28" name="PM_SecurityClassification">
    <vt:lpwstr>UNOFFICIAL</vt:lpwstr>
  </property>
  <property fmtid="{D5CDD505-2E9C-101B-9397-08002B2CF9AE}" pid="29" name="PM_InsertionValue">
    <vt:lpwstr>UNOFFICIAL</vt:lpwstr>
  </property>
  <property fmtid="{D5CDD505-2E9C-101B-9397-08002B2CF9AE}" pid="30" name="PM_Originating_FileId">
    <vt:lpwstr>E0D3011D0D4D4368BB59997F6A9E8019</vt:lpwstr>
  </property>
  <property fmtid="{D5CDD505-2E9C-101B-9397-08002B2CF9AE}" pid="31" name="PM_ProtectiveMarkingValue_Footer">
    <vt:lpwstr>UNOFFICIAL</vt:lpwstr>
  </property>
  <property fmtid="{D5CDD505-2E9C-101B-9397-08002B2CF9AE}" pid="32" name="PM_Originator_Hash_SHA1">
    <vt:lpwstr>2DC59E4B4709FBBF044148E580146E91C47C1B5D</vt:lpwstr>
  </property>
  <property fmtid="{D5CDD505-2E9C-101B-9397-08002B2CF9AE}" pid="33" name="PM_OriginationTimeStamp">
    <vt:lpwstr>2020-08-13T05:33:07Z</vt:lpwstr>
  </property>
  <property fmtid="{D5CDD505-2E9C-101B-9397-08002B2CF9AE}" pid="34" name="PM_ProtectiveMarkingValue_Header">
    <vt:lpwstr>UNOFFICIAL</vt:lpwstr>
  </property>
  <property fmtid="{D5CDD505-2E9C-101B-9397-08002B2CF9AE}" pid="35" name="PM_ProtectiveMarkingImage_Footer">
    <vt:lpwstr>C:\Program Files (x86)\Common Files\janusNET Shared\janusSEAL\Images\DocumentSlashBlue.png</vt:lpwstr>
  </property>
  <property fmtid="{D5CDD505-2E9C-101B-9397-08002B2CF9AE}" pid="36" name="PM_Namespace">
    <vt:lpwstr>gov.au</vt:lpwstr>
  </property>
  <property fmtid="{D5CDD505-2E9C-101B-9397-08002B2CF9AE}" pid="37" name="PM_Version">
    <vt:lpwstr>2018.3</vt:lpwstr>
  </property>
  <property fmtid="{D5CDD505-2E9C-101B-9397-08002B2CF9AE}" pid="38" name="PM_Note">
    <vt:lpwstr/>
  </property>
  <property fmtid="{D5CDD505-2E9C-101B-9397-08002B2CF9AE}" pid="39" name="PM_Markers">
    <vt:lpwstr/>
  </property>
  <property fmtid="{D5CDD505-2E9C-101B-9397-08002B2CF9AE}" pid="40" name="PM_Hash_Version">
    <vt:lpwstr>2018.0</vt:lpwstr>
  </property>
  <property fmtid="{D5CDD505-2E9C-101B-9397-08002B2CF9AE}" pid="41" name="PM_Hash_Salt_Prev">
    <vt:lpwstr>53FBCE42E4222F4020B4E9A36665A4F9</vt:lpwstr>
  </property>
  <property fmtid="{D5CDD505-2E9C-101B-9397-08002B2CF9AE}" pid="42" name="PM_Hash_Salt">
    <vt:lpwstr>317C1944042C82CEB008E6047CEB184A</vt:lpwstr>
  </property>
  <property fmtid="{D5CDD505-2E9C-101B-9397-08002B2CF9AE}" pid="43" name="PM_Hash_SHA1">
    <vt:lpwstr>6CD9A2799B1AA197CC06B25051FED1CEB62EA059</vt:lpwstr>
  </property>
  <property fmtid="{D5CDD505-2E9C-101B-9397-08002B2CF9AE}" pid="44" name="PM_SecurityClassification_Prev">
    <vt:lpwstr>UNOFFICIAL</vt:lpwstr>
  </property>
  <property fmtid="{D5CDD505-2E9C-101B-9397-08002B2CF9AE}" pid="45" name="PM_Qualifier_Prev">
    <vt:lpwstr/>
  </property>
</Properties>
</file>