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144B2" w14:textId="77777777" w:rsidR="009E2547" w:rsidRDefault="009E2547" w:rsidP="009E2547">
      <w:pPr>
        <w:pBdr>
          <w:top w:val="single" w:sz="12" w:space="1" w:color="auto"/>
        </w:pBdr>
        <w:rPr>
          <w:noProof/>
          <w:lang w:eastAsia="en-AU"/>
        </w:rPr>
      </w:pPr>
    </w:p>
    <w:p w14:paraId="38F53EA0" w14:textId="77777777" w:rsidR="009E2547" w:rsidRDefault="009E2547" w:rsidP="009E2547">
      <w:pPr>
        <w:spacing w:after="320"/>
      </w:pPr>
      <w:r>
        <w:rPr>
          <w:noProof/>
          <w:lang w:eastAsia="en-AU"/>
        </w:rPr>
        <w:drawing>
          <wp:inline distT="0" distB="0" distL="0" distR="0" wp14:anchorId="4B363787" wp14:editId="79FD1B0B">
            <wp:extent cx="3181350" cy="704850"/>
            <wp:effectExtent l="0" t="0" r="0" b="0"/>
            <wp:docPr id="3" name="Picture 3" descr="Commonwealth of Australi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of Australia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1350" cy="704850"/>
                    </a:xfrm>
                    <a:prstGeom prst="rect">
                      <a:avLst/>
                    </a:prstGeom>
                    <a:noFill/>
                    <a:ln>
                      <a:noFill/>
                    </a:ln>
                  </pic:spPr>
                </pic:pic>
              </a:graphicData>
            </a:graphic>
          </wp:inline>
        </w:drawing>
      </w:r>
    </w:p>
    <w:tbl>
      <w:tblPr>
        <w:tblStyle w:val="TableGrid"/>
        <w:tblW w:w="0" w:type="auto"/>
        <w:tblLook w:val="04A0" w:firstRow="1" w:lastRow="0" w:firstColumn="1" w:lastColumn="0" w:noHBand="0" w:noVBand="1"/>
        <w:tblCaption w:val="APVMA Gazette title"/>
        <w:tblDescription w:val="APVMA Gazette Agricultural and Veterinary Chemicals"/>
      </w:tblPr>
      <w:tblGrid>
        <w:gridCol w:w="4819"/>
        <w:gridCol w:w="4820"/>
      </w:tblGrid>
      <w:tr w:rsidR="009E2547" w14:paraId="60413E62" w14:textId="77777777" w:rsidTr="003F2769">
        <w:trPr>
          <w:trHeight w:val="1701"/>
          <w:tblHeader/>
        </w:trPr>
        <w:tc>
          <w:tcPr>
            <w:tcW w:w="4819" w:type="dxa"/>
            <w:tcBorders>
              <w:top w:val="single" w:sz="12" w:space="0" w:color="353735"/>
              <w:bottom w:val="single" w:sz="12" w:space="0" w:color="353735"/>
            </w:tcBorders>
            <w:vAlign w:val="center"/>
          </w:tcPr>
          <w:p w14:paraId="3370516C" w14:textId="77777777" w:rsidR="009E2547" w:rsidRPr="00A83740" w:rsidRDefault="009E2547" w:rsidP="009E2547">
            <w:pPr>
              <w:rPr>
                <w:rFonts w:cs="Arial"/>
              </w:rPr>
            </w:pPr>
            <w:r w:rsidRPr="00A83740">
              <w:rPr>
                <w:rFonts w:cs="Arial"/>
                <w:b/>
                <w:color w:val="353735"/>
                <w:sz w:val="90"/>
                <w:szCs w:val="90"/>
              </w:rPr>
              <w:t>Gazette</w:t>
            </w:r>
          </w:p>
        </w:tc>
        <w:tc>
          <w:tcPr>
            <w:tcW w:w="4820" w:type="dxa"/>
            <w:tcBorders>
              <w:bottom w:val="single" w:sz="12" w:space="0" w:color="353735"/>
            </w:tcBorders>
            <w:shd w:val="clear" w:color="auto" w:fill="353735"/>
            <w:vAlign w:val="center"/>
          </w:tcPr>
          <w:p w14:paraId="76F07924" w14:textId="77777777" w:rsidR="009E2547" w:rsidRPr="00A83740" w:rsidRDefault="009E2547" w:rsidP="009E2547">
            <w:pPr>
              <w:spacing w:line="500" w:lineRule="exact"/>
              <w:jc w:val="right"/>
              <w:rPr>
                <w:rFonts w:cs="Arial"/>
                <w:b/>
                <w:color w:val="FFFFFF" w:themeColor="background1"/>
                <w:sz w:val="40"/>
                <w:szCs w:val="40"/>
              </w:rPr>
            </w:pPr>
            <w:r w:rsidRPr="00A83740">
              <w:rPr>
                <w:rFonts w:cs="Arial"/>
                <w:b/>
                <w:color w:val="FFFFFF" w:themeColor="background1"/>
                <w:sz w:val="40"/>
                <w:szCs w:val="40"/>
              </w:rPr>
              <w:t>Agricultural and</w:t>
            </w:r>
          </w:p>
          <w:p w14:paraId="02646347" w14:textId="77777777" w:rsidR="009E2547" w:rsidRDefault="009E2547" w:rsidP="009E2547">
            <w:pPr>
              <w:spacing w:line="500" w:lineRule="exact"/>
              <w:jc w:val="right"/>
            </w:pPr>
            <w:r w:rsidRPr="00A83740">
              <w:rPr>
                <w:rFonts w:cs="Arial"/>
                <w:b/>
                <w:color w:val="FFFFFF" w:themeColor="background1"/>
                <w:sz w:val="40"/>
                <w:szCs w:val="40"/>
              </w:rPr>
              <w:t>Veterinary Chemicals</w:t>
            </w:r>
          </w:p>
        </w:tc>
      </w:tr>
    </w:tbl>
    <w:p w14:paraId="42031A28" w14:textId="77777777" w:rsidR="00546BD8" w:rsidRDefault="00546BD8" w:rsidP="00546BD8">
      <w:pPr>
        <w:pStyle w:val="GazetteNumber"/>
        <w:spacing w:before="240" w:after="240"/>
        <w:ind w:left="-11"/>
      </w:pPr>
      <w:r>
        <w:t xml:space="preserve">APVMA </w:t>
      </w:r>
      <w:r w:rsidR="00FA75EE">
        <w:t>Special Gazette</w:t>
      </w:r>
      <w:r>
        <w:t xml:space="preserve">, </w:t>
      </w:r>
      <w:r w:rsidR="00BA4C79">
        <w:t>Wednesday</w:t>
      </w:r>
      <w:r>
        <w:t xml:space="preserve">, </w:t>
      </w:r>
      <w:r w:rsidR="00415019">
        <w:t>25 September 2019</w:t>
      </w:r>
    </w:p>
    <w:p w14:paraId="0C0F583C" w14:textId="77777777" w:rsidR="00546BD8" w:rsidRPr="00546BD8" w:rsidRDefault="00546BD8" w:rsidP="00546BD8">
      <w:pPr>
        <w:spacing w:after="160"/>
        <w:rPr>
          <w:sz w:val="20"/>
        </w:rPr>
      </w:pPr>
      <w:r>
        <w:rPr>
          <w:sz w:val="20"/>
        </w:rPr>
        <w:t>Published by t</w:t>
      </w:r>
      <w:r w:rsidRPr="00546BD8">
        <w:rPr>
          <w:sz w:val="20"/>
        </w:rPr>
        <w:t>he Australian Pesticides and Veterinary Medicines Authority</w:t>
      </w:r>
    </w:p>
    <w:p w14:paraId="43B8B842" w14:textId="77777777" w:rsidR="007C4CA4" w:rsidRDefault="009765B1" w:rsidP="00546BD8">
      <w:pPr>
        <w:spacing w:before="1600" w:after="1600"/>
        <w:jc w:val="center"/>
        <w:rPr>
          <w:szCs w:val="20"/>
        </w:rPr>
      </w:pPr>
      <w:r>
        <w:rPr>
          <w:noProof/>
          <w:szCs w:val="20"/>
          <w:lang w:eastAsia="en-AU"/>
        </w:rPr>
        <w:drawing>
          <wp:inline distT="0" distB="0" distL="0" distR="0" wp14:anchorId="7E036F80" wp14:editId="64D9811A">
            <wp:extent cx="5810250" cy="1457325"/>
            <wp:effectExtent l="0" t="0" r="0" b="9525"/>
            <wp:docPr id="2" name="Picture 2" descr="Australian Government Australian Pesticides and Veterinary Medicines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20819A3D" w14:textId="77777777" w:rsidR="00FF0420" w:rsidRDefault="00FF0420" w:rsidP="00546BD8">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w:t>
      </w:r>
      <w:proofErr w:type="spellStart"/>
      <w:r>
        <w:rPr>
          <w:szCs w:val="18"/>
        </w:rPr>
        <w:t>Agvet</w:t>
      </w:r>
      <w:proofErr w:type="spellEnd"/>
      <w:r>
        <w:rPr>
          <w:szCs w:val="18"/>
        </w:rPr>
        <w:t xml:space="preserve">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w:t>
      </w:r>
      <w:proofErr w:type="spellStart"/>
      <w:r>
        <w:rPr>
          <w:szCs w:val="18"/>
        </w:rPr>
        <w:t>Agvet</w:t>
      </w:r>
      <w:proofErr w:type="spellEnd"/>
      <w:r>
        <w:rPr>
          <w:szCs w:val="18"/>
        </w:rPr>
        <w:t xml:space="preserve"> Code and related legislation also requires certain other notices to be published in the </w:t>
      </w:r>
      <w:r>
        <w:rPr>
          <w:i/>
          <w:iCs/>
          <w:szCs w:val="18"/>
        </w:rPr>
        <w:t>Gazette</w:t>
      </w:r>
      <w:r>
        <w:rPr>
          <w:szCs w:val="18"/>
        </w:rPr>
        <w:t xml:space="preserve">. A reference to </w:t>
      </w:r>
      <w:proofErr w:type="spellStart"/>
      <w:r>
        <w:rPr>
          <w:szCs w:val="18"/>
        </w:rPr>
        <w:t>Agvet</w:t>
      </w:r>
      <w:proofErr w:type="spellEnd"/>
      <w:r>
        <w:rPr>
          <w:szCs w:val="18"/>
        </w:rPr>
        <w:t xml:space="preserve"> Codes in this publication is a reference to the </w:t>
      </w:r>
      <w:proofErr w:type="spellStart"/>
      <w:r>
        <w:rPr>
          <w:szCs w:val="18"/>
        </w:rPr>
        <w:t>Agvet</w:t>
      </w:r>
      <w:proofErr w:type="spellEnd"/>
      <w:r>
        <w:rPr>
          <w:szCs w:val="18"/>
        </w:rPr>
        <w:t xml:space="preserve"> Code in each state and territory jurisdiction.</w:t>
      </w:r>
    </w:p>
    <w:p w14:paraId="2706DCF8" w14:textId="77777777" w:rsidR="007C4CA4" w:rsidRDefault="00546BD8" w:rsidP="00520DE2">
      <w:pPr>
        <w:pStyle w:val="GazetteImprintText"/>
        <w:pBdr>
          <w:top w:val="single" w:sz="12" w:space="12" w:color="auto"/>
        </w:pBdr>
        <w:spacing w:before="1200" w:after="0"/>
        <w:ind w:right="4888"/>
        <w:rPr>
          <w:color w:val="auto"/>
        </w:rPr>
        <w:sectPr w:rsidR="007C4CA4" w:rsidSect="00FF0420">
          <w:headerReference w:type="even" r:id="rId11"/>
          <w:pgSz w:w="11907" w:h="16839" w:code="9"/>
          <w:pgMar w:top="1440" w:right="1134" w:bottom="1440" w:left="1134" w:header="709" w:footer="709" w:gutter="0"/>
          <w:cols w:space="708"/>
          <w:docGrid w:linePitch="360"/>
        </w:sectPr>
      </w:pPr>
      <w:r>
        <w:rPr>
          <w:color w:val="auto"/>
        </w:rPr>
        <w:t>ISSN 1837-</w:t>
      </w:r>
      <w:r w:rsidR="007C4CA4">
        <w:rPr>
          <w:color w:val="auto"/>
        </w:rPr>
        <w:t>7629</w:t>
      </w:r>
    </w:p>
    <w:p w14:paraId="4D57E285" w14:textId="0FB867C9" w:rsidR="0055403E" w:rsidRPr="00546BD8" w:rsidRDefault="00546BD8" w:rsidP="00FC1DF3">
      <w:pPr>
        <w:spacing w:before="840" w:after="120" w:line="280" w:lineRule="atLeast"/>
        <w:rPr>
          <w:rFonts w:cs="Arial"/>
          <w:color w:val="000000"/>
          <w:spacing w:val="4"/>
          <w:sz w:val="16"/>
          <w:szCs w:val="16"/>
        </w:rPr>
      </w:pPr>
      <w:r w:rsidRPr="00546BD8">
        <w:rPr>
          <w:rFonts w:cs="Arial"/>
          <w:sz w:val="16"/>
          <w:szCs w:val="16"/>
          <w:lang w:eastAsia="en-AU"/>
        </w:rPr>
        <w:lastRenderedPageBreak/>
        <w:t xml:space="preserve">© </w:t>
      </w:r>
      <w:r w:rsidR="0055403E" w:rsidRPr="00546BD8">
        <w:rPr>
          <w:rFonts w:cs="Arial"/>
          <w:color w:val="000000"/>
          <w:spacing w:val="4"/>
          <w:sz w:val="16"/>
          <w:szCs w:val="16"/>
        </w:rPr>
        <w:t xml:space="preserve">Commonwealth of Australia </w:t>
      </w:r>
      <w:r w:rsidR="0055403E" w:rsidRPr="00546BD8">
        <w:rPr>
          <w:rFonts w:cs="Arial"/>
          <w:color w:val="000000"/>
          <w:spacing w:val="4"/>
          <w:sz w:val="16"/>
          <w:szCs w:val="16"/>
        </w:rPr>
        <w:fldChar w:fldCharType="begin"/>
      </w:r>
      <w:r w:rsidR="0055403E" w:rsidRPr="00546BD8">
        <w:rPr>
          <w:rFonts w:cs="Arial"/>
          <w:color w:val="000000"/>
          <w:spacing w:val="4"/>
          <w:sz w:val="16"/>
          <w:szCs w:val="16"/>
        </w:rPr>
        <w:instrText xml:space="preserve"> DATE \@ "yyyy" </w:instrText>
      </w:r>
      <w:r w:rsidR="0055403E" w:rsidRPr="00546BD8">
        <w:rPr>
          <w:rFonts w:cs="Arial"/>
          <w:color w:val="000000"/>
          <w:spacing w:val="4"/>
          <w:sz w:val="16"/>
          <w:szCs w:val="16"/>
        </w:rPr>
        <w:fldChar w:fldCharType="separate"/>
      </w:r>
      <w:r w:rsidR="00A57DA0">
        <w:rPr>
          <w:rFonts w:cs="Arial"/>
          <w:noProof/>
          <w:color w:val="000000"/>
          <w:spacing w:val="4"/>
          <w:sz w:val="16"/>
          <w:szCs w:val="16"/>
        </w:rPr>
        <w:t>2019</w:t>
      </w:r>
      <w:r w:rsidR="0055403E" w:rsidRPr="00546BD8">
        <w:rPr>
          <w:rFonts w:cs="Arial"/>
          <w:color w:val="000000"/>
          <w:spacing w:val="4"/>
          <w:sz w:val="16"/>
          <w:szCs w:val="16"/>
        </w:rPr>
        <w:fldChar w:fldCharType="end"/>
      </w:r>
    </w:p>
    <w:p w14:paraId="3F99ECA5" w14:textId="77777777"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This work is copyright. Apart from any use as permitted under the </w:t>
      </w:r>
      <w:r w:rsidRPr="00546BD8">
        <w:rPr>
          <w:rFonts w:cs="Arial"/>
          <w:i/>
          <w:color w:val="000000"/>
          <w:spacing w:val="4"/>
          <w:sz w:val="16"/>
          <w:szCs w:val="16"/>
        </w:rPr>
        <w:t>Copyright Act 1968</w:t>
      </w:r>
      <w:r w:rsidRPr="00546BD8">
        <w:rPr>
          <w:rFonts w:cs="Arial"/>
          <w:color w:val="000000"/>
          <w:spacing w:val="4"/>
          <w:sz w:val="16"/>
          <w:szCs w:val="16"/>
        </w:rPr>
        <w:t>, no part may be reproduced by any process without prior written permission from the Australian Pesticides and Veterinary Medicines Authority. Requests and inquiries concerning reproduction and</w:t>
      </w:r>
      <w:r w:rsidR="00546BD8">
        <w:rPr>
          <w:rFonts w:cs="Arial"/>
          <w:color w:val="000000"/>
          <w:spacing w:val="4"/>
          <w:sz w:val="16"/>
          <w:szCs w:val="16"/>
        </w:rPr>
        <w:t xml:space="preserve"> rights should be addressed to:</w:t>
      </w:r>
    </w:p>
    <w:p w14:paraId="0F18581A" w14:textId="77777777" w:rsidR="00FC1DF3" w:rsidRPr="00546BD8" w:rsidRDefault="00270632" w:rsidP="00FC1DF3">
      <w:pPr>
        <w:spacing w:before="120" w:after="120" w:line="280" w:lineRule="atLeast"/>
        <w:rPr>
          <w:rFonts w:cs="Arial"/>
          <w:color w:val="000000"/>
          <w:spacing w:val="4"/>
          <w:sz w:val="16"/>
          <w:szCs w:val="16"/>
        </w:rPr>
      </w:pPr>
      <w:r>
        <w:rPr>
          <w:rFonts w:cs="Arial"/>
          <w:color w:val="000000"/>
          <w:spacing w:val="4"/>
          <w:sz w:val="16"/>
          <w:szCs w:val="16"/>
        </w:rPr>
        <w:t xml:space="preserve">Assistant Director, </w:t>
      </w:r>
      <w:r w:rsidR="0055403E" w:rsidRPr="00546BD8">
        <w:rPr>
          <w:rFonts w:cs="Arial"/>
          <w:color w:val="000000"/>
          <w:spacing w:val="4"/>
          <w:sz w:val="16"/>
          <w:szCs w:val="16"/>
        </w:rPr>
        <w:t>Communications</w:t>
      </w:r>
      <w:r w:rsidR="00D87A53" w:rsidRPr="00546BD8">
        <w:rPr>
          <w:rFonts w:cs="Arial"/>
          <w:color w:val="000000"/>
          <w:spacing w:val="4"/>
          <w:sz w:val="16"/>
          <w:szCs w:val="16"/>
        </w:rPr>
        <w:br/>
      </w:r>
      <w:r w:rsidR="0055403E" w:rsidRPr="00546BD8">
        <w:rPr>
          <w:rFonts w:cs="Arial"/>
          <w:color w:val="000000"/>
          <w:spacing w:val="4"/>
          <w:sz w:val="16"/>
          <w:szCs w:val="16"/>
        </w:rPr>
        <w:t>Australian Pesticides and Veterinary Medicines Authority</w:t>
      </w:r>
      <w:r w:rsidR="00546BD8">
        <w:rPr>
          <w:rFonts w:cs="Arial"/>
          <w:color w:val="000000"/>
          <w:spacing w:val="4"/>
          <w:sz w:val="16"/>
          <w:szCs w:val="16"/>
        </w:rPr>
        <w:br/>
        <w:t xml:space="preserve">PO Box 6182 </w:t>
      </w:r>
      <w:r w:rsidR="00546BD8">
        <w:rPr>
          <w:rFonts w:cs="Arial"/>
          <w:color w:val="000000"/>
          <w:spacing w:val="4"/>
          <w:sz w:val="16"/>
          <w:szCs w:val="16"/>
        </w:rPr>
        <w:br/>
        <w:t>Kingston ACT 2604</w:t>
      </w:r>
    </w:p>
    <w:p w14:paraId="33F88EF9" w14:textId="77777777" w:rsidR="0055403E" w:rsidRPr="00546BD8" w:rsidRDefault="0055403E" w:rsidP="007D72FB">
      <w:pPr>
        <w:spacing w:before="360" w:after="360" w:line="280" w:lineRule="atLeast"/>
        <w:rPr>
          <w:rFonts w:cs="Arial"/>
          <w:color w:val="000000"/>
          <w:spacing w:val="4"/>
          <w:sz w:val="16"/>
          <w:szCs w:val="16"/>
        </w:rPr>
      </w:pPr>
      <w:r w:rsidRPr="00546BD8">
        <w:rPr>
          <w:rFonts w:cs="Arial"/>
          <w:color w:val="000000"/>
          <w:spacing w:val="4"/>
          <w:sz w:val="16"/>
          <w:szCs w:val="16"/>
        </w:rPr>
        <w:t xml:space="preserve">Email: </w:t>
      </w:r>
      <w:hyperlink r:id="rId12" w:history="1">
        <w:r w:rsidRPr="00546BD8">
          <w:rPr>
            <w:rFonts w:cs="Arial"/>
            <w:color w:val="0000FF"/>
            <w:spacing w:val="4"/>
            <w:sz w:val="16"/>
            <w:szCs w:val="16"/>
            <w:u w:val="single"/>
          </w:rPr>
          <w:t>communications@apvma.gov.au</w:t>
        </w:r>
      </w:hyperlink>
      <w:r w:rsidRPr="00546BD8">
        <w:rPr>
          <w:rFonts w:cs="Arial"/>
          <w:color w:val="000000"/>
          <w:spacing w:val="4"/>
          <w:sz w:val="16"/>
          <w:szCs w:val="16"/>
        </w:rPr>
        <w:t xml:space="preserve"> </w:t>
      </w:r>
      <w:r w:rsidRPr="00546BD8">
        <w:rPr>
          <w:rFonts w:cs="Arial"/>
          <w:color w:val="000000"/>
          <w:spacing w:val="4"/>
          <w:sz w:val="16"/>
          <w:szCs w:val="16"/>
        </w:rPr>
        <w:br/>
        <w:t xml:space="preserve">Website: </w:t>
      </w:r>
      <w:hyperlink r:id="rId13" w:history="1">
        <w:r w:rsidRPr="00546BD8">
          <w:rPr>
            <w:rFonts w:cs="Arial"/>
            <w:color w:val="0000FF"/>
            <w:spacing w:val="4"/>
            <w:sz w:val="16"/>
            <w:szCs w:val="16"/>
            <w:u w:val="single"/>
          </w:rPr>
          <w:t>apvma.gov.au</w:t>
        </w:r>
      </w:hyperlink>
    </w:p>
    <w:p w14:paraId="6191C2C4" w14:textId="77777777" w:rsidR="0055403E" w:rsidRPr="00546BD8" w:rsidRDefault="0055403E" w:rsidP="0055403E">
      <w:pPr>
        <w:keepNext/>
        <w:tabs>
          <w:tab w:val="left" w:pos="360"/>
        </w:tabs>
        <w:spacing w:before="240" w:after="240" w:line="280" w:lineRule="exact"/>
        <w:rPr>
          <w:rFonts w:cs="Arial"/>
          <w:b/>
          <w:caps/>
          <w:szCs w:val="20"/>
        </w:rPr>
      </w:pPr>
      <w:r w:rsidRPr="00546BD8">
        <w:rPr>
          <w:rFonts w:cs="Arial"/>
          <w:b/>
          <w:caps/>
          <w:szCs w:val="20"/>
        </w:rPr>
        <w:t>General Information</w:t>
      </w:r>
    </w:p>
    <w:p w14:paraId="2FE9D104" w14:textId="77777777"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The </w:t>
      </w:r>
      <w:r w:rsidRPr="00546BD8">
        <w:rPr>
          <w:rFonts w:cs="Arial"/>
          <w:i/>
          <w:color w:val="000000"/>
          <w:spacing w:val="4"/>
          <w:sz w:val="16"/>
          <w:szCs w:val="16"/>
        </w:rPr>
        <w:t>APVMA (Australian Pesticides and Veterinary Medicines Authority) Gazette</w:t>
      </w:r>
      <w:r w:rsidRPr="00546BD8">
        <w:rPr>
          <w:rFonts w:cs="Arial"/>
          <w:color w:val="000000"/>
          <w:spacing w:val="4"/>
          <w:sz w:val="16"/>
          <w:szCs w:val="16"/>
        </w:rPr>
        <w:t xml:space="preserve"> is published fortnightly and contains details of the registration of agricultural and veterinary chemicals products and other approvals granted by the APVMA, notices as required by the Agricultural and Veterinary Chemicals Code (the </w:t>
      </w:r>
      <w:proofErr w:type="spellStart"/>
      <w:r w:rsidRPr="00546BD8">
        <w:rPr>
          <w:rFonts w:cs="Arial"/>
          <w:color w:val="000000"/>
          <w:spacing w:val="4"/>
          <w:sz w:val="16"/>
          <w:szCs w:val="16"/>
        </w:rPr>
        <w:t>Agvet</w:t>
      </w:r>
      <w:proofErr w:type="spellEnd"/>
      <w:r w:rsidRPr="00546BD8">
        <w:rPr>
          <w:rFonts w:cs="Arial"/>
          <w:color w:val="000000"/>
          <w:spacing w:val="4"/>
          <w:sz w:val="16"/>
          <w:szCs w:val="16"/>
        </w:rPr>
        <w:t xml:space="preserve"> Code) and related legislation and a range of regulatory material issued by the APVMA.</w:t>
      </w:r>
    </w:p>
    <w:p w14:paraId="38044AF0" w14:textId="77777777"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Pursuant to section </w:t>
      </w:r>
      <w:r w:rsidR="009765B1" w:rsidRPr="00546BD8">
        <w:rPr>
          <w:rFonts w:cs="Arial"/>
          <w:color w:val="000000"/>
          <w:spacing w:val="4"/>
          <w:sz w:val="16"/>
          <w:szCs w:val="16"/>
        </w:rPr>
        <w:t>8J</w:t>
      </w:r>
      <w:r w:rsidRPr="00546BD8">
        <w:rPr>
          <w:rFonts w:cs="Arial"/>
          <w:color w:val="000000"/>
          <w:spacing w:val="4"/>
          <w:sz w:val="16"/>
          <w:szCs w:val="16"/>
        </w:rPr>
        <w:t xml:space="preserve">(1) of the </w:t>
      </w:r>
      <w:proofErr w:type="spellStart"/>
      <w:r w:rsidRPr="00546BD8">
        <w:rPr>
          <w:rFonts w:cs="Arial"/>
          <w:color w:val="000000"/>
          <w:spacing w:val="4"/>
          <w:sz w:val="16"/>
          <w:szCs w:val="16"/>
        </w:rPr>
        <w:t>Agvet</w:t>
      </w:r>
      <w:proofErr w:type="spellEnd"/>
      <w:r w:rsidRPr="00546BD8">
        <w:rPr>
          <w:rFonts w:cs="Arial"/>
          <w:color w:val="000000"/>
          <w:spacing w:val="4"/>
          <w:sz w:val="16"/>
          <w:szCs w:val="16"/>
        </w:rPr>
        <w:t xml:space="preserve"> Code, the APVMA has decided that it is unnecessary to publish details of applications made for the purpose of notifying minor variations to registration details. The APVMA will however report notifications activity in quarterly statistical reports.</w:t>
      </w:r>
    </w:p>
    <w:p w14:paraId="17BBB3C7" w14:textId="77777777" w:rsidR="0055403E" w:rsidRPr="00546BD8" w:rsidRDefault="0055403E" w:rsidP="0055403E">
      <w:pPr>
        <w:keepNext/>
        <w:tabs>
          <w:tab w:val="left" w:pos="360"/>
        </w:tabs>
        <w:spacing w:before="240" w:after="240" w:line="280" w:lineRule="exact"/>
        <w:rPr>
          <w:rFonts w:cs="Arial"/>
          <w:b/>
          <w:caps/>
          <w:szCs w:val="20"/>
        </w:rPr>
      </w:pPr>
      <w:r w:rsidRPr="00546BD8">
        <w:rPr>
          <w:rFonts w:cs="Arial"/>
          <w:b/>
          <w:caps/>
          <w:szCs w:val="20"/>
        </w:rPr>
        <w:t>Distribution and subscription</w:t>
      </w:r>
    </w:p>
    <w:p w14:paraId="16ECA3ED" w14:textId="77777777" w:rsidR="009C4720" w:rsidRPr="00546BD8" w:rsidRDefault="0055403E" w:rsidP="009C4720">
      <w:pPr>
        <w:keepNext/>
        <w:tabs>
          <w:tab w:val="left" w:pos="360"/>
        </w:tabs>
        <w:spacing w:before="120" w:after="120" w:line="280" w:lineRule="atLeast"/>
        <w:rPr>
          <w:rFonts w:cs="Arial"/>
          <w:color w:val="000000"/>
          <w:spacing w:val="4"/>
          <w:sz w:val="16"/>
          <w:szCs w:val="16"/>
        </w:rPr>
      </w:pPr>
      <w:r w:rsidRPr="00546BD8">
        <w:rPr>
          <w:rFonts w:cs="Arial"/>
          <w:color w:val="000000"/>
          <w:spacing w:val="4"/>
          <w:sz w:val="16"/>
          <w:szCs w:val="16"/>
        </w:rPr>
        <w:t xml:space="preserve">The </w:t>
      </w:r>
      <w:r w:rsidRPr="00546BD8">
        <w:rPr>
          <w:rFonts w:cs="Arial"/>
          <w:i/>
          <w:iCs/>
          <w:color w:val="000000"/>
          <w:spacing w:val="4"/>
          <w:sz w:val="16"/>
          <w:szCs w:val="16"/>
        </w:rPr>
        <w:t>APVMA Gazette</w:t>
      </w:r>
      <w:r w:rsidRPr="00546BD8">
        <w:rPr>
          <w:rFonts w:cs="Arial"/>
          <w:color w:val="000000"/>
          <w:spacing w:val="4"/>
          <w:sz w:val="16"/>
          <w:szCs w:val="16"/>
        </w:rPr>
        <w:t xml:space="preserve"> is published in electronic format only and is available from the </w:t>
      </w:r>
      <w:hyperlink r:id="rId14" w:history="1">
        <w:r w:rsidRPr="00546BD8">
          <w:rPr>
            <w:rStyle w:val="Hyperlink"/>
            <w:rFonts w:cs="Arial"/>
            <w:spacing w:val="4"/>
            <w:sz w:val="16"/>
            <w:szCs w:val="16"/>
          </w:rPr>
          <w:t>APVMA website</w:t>
        </w:r>
      </w:hyperlink>
      <w:r w:rsidR="00546BD8">
        <w:rPr>
          <w:rFonts w:cs="Arial"/>
          <w:color w:val="000000"/>
          <w:spacing w:val="4"/>
          <w:sz w:val="16"/>
          <w:szCs w:val="16"/>
        </w:rPr>
        <w:t>.</w:t>
      </w:r>
    </w:p>
    <w:p w14:paraId="0F596B48" w14:textId="77777777" w:rsidR="0055403E" w:rsidRPr="00546BD8" w:rsidRDefault="0055403E" w:rsidP="0055403E">
      <w:pPr>
        <w:keepNext/>
        <w:tabs>
          <w:tab w:val="left" w:pos="360"/>
        </w:tabs>
        <w:spacing w:before="240" w:after="240" w:line="280" w:lineRule="exact"/>
        <w:rPr>
          <w:rFonts w:cs="Arial"/>
          <w:color w:val="000000"/>
          <w:spacing w:val="4"/>
          <w:sz w:val="16"/>
          <w:szCs w:val="16"/>
        </w:rPr>
      </w:pPr>
      <w:r w:rsidRPr="00546BD8">
        <w:rPr>
          <w:rFonts w:cs="Arial"/>
          <w:color w:val="000000"/>
          <w:spacing w:val="4"/>
          <w:sz w:val="16"/>
          <w:szCs w:val="16"/>
        </w:rPr>
        <w:t xml:space="preserve">If you would like to </w:t>
      </w:r>
      <w:r w:rsidR="007D72FB">
        <w:rPr>
          <w:rFonts w:cs="Arial"/>
          <w:color w:val="000000"/>
          <w:spacing w:val="4"/>
          <w:sz w:val="16"/>
          <w:szCs w:val="16"/>
        </w:rPr>
        <w:t xml:space="preserve">subscribe to </w:t>
      </w:r>
      <w:r w:rsidRPr="00546BD8">
        <w:rPr>
          <w:rFonts w:cs="Arial"/>
          <w:color w:val="000000"/>
          <w:spacing w:val="4"/>
          <w:sz w:val="16"/>
          <w:szCs w:val="16"/>
        </w:rPr>
        <w:t xml:space="preserve">receive email notification when a new edition is published, please </w:t>
      </w:r>
      <w:r w:rsidR="007D72FB">
        <w:rPr>
          <w:rFonts w:cs="Arial"/>
          <w:color w:val="000000"/>
          <w:spacing w:val="4"/>
          <w:sz w:val="16"/>
          <w:szCs w:val="16"/>
        </w:rPr>
        <w:t xml:space="preserve">complete the </w:t>
      </w:r>
      <w:hyperlink r:id="rId15" w:history="1">
        <w:r w:rsidR="007D72FB" w:rsidRPr="007D72FB">
          <w:rPr>
            <w:rStyle w:val="Hyperlink"/>
            <w:rFonts w:cs="Arial"/>
            <w:spacing w:val="4"/>
            <w:sz w:val="16"/>
            <w:szCs w:val="16"/>
          </w:rPr>
          <w:t>subscription form</w:t>
        </w:r>
      </w:hyperlink>
      <w:r w:rsidR="007D72FB">
        <w:rPr>
          <w:rFonts w:cs="Arial"/>
          <w:color w:val="000000"/>
          <w:spacing w:val="4"/>
          <w:sz w:val="16"/>
          <w:szCs w:val="16"/>
        </w:rPr>
        <w:t>.</w:t>
      </w:r>
    </w:p>
    <w:p w14:paraId="747554C3" w14:textId="77777777" w:rsidR="0055403E" w:rsidRPr="007D72FB" w:rsidRDefault="0055403E" w:rsidP="007D72FB">
      <w:pPr>
        <w:spacing w:before="240" w:after="240" w:line="280" w:lineRule="exact"/>
        <w:rPr>
          <w:rFonts w:cs="Arial"/>
          <w:sz w:val="16"/>
        </w:rPr>
      </w:pPr>
      <w:r w:rsidRPr="007D72FB">
        <w:rPr>
          <w:rFonts w:cs="Arial"/>
          <w:b/>
          <w:caps/>
          <w:szCs w:val="20"/>
        </w:rPr>
        <w:t>APVMA Contacts</w:t>
      </w:r>
    </w:p>
    <w:p w14:paraId="5441B21A" w14:textId="77777777" w:rsidR="0055403E" w:rsidRPr="00546BD8" w:rsidRDefault="0055403E" w:rsidP="0055403E">
      <w:pPr>
        <w:tabs>
          <w:tab w:val="left" w:pos="6593"/>
        </w:tabs>
        <w:spacing w:before="120" w:after="120" w:line="280" w:lineRule="atLeast"/>
        <w:rPr>
          <w:rFonts w:cs="Arial"/>
          <w:color w:val="000000"/>
          <w:spacing w:val="4"/>
          <w:sz w:val="16"/>
          <w:szCs w:val="16"/>
        </w:rPr>
      </w:pPr>
      <w:r w:rsidRPr="00546BD8">
        <w:rPr>
          <w:rFonts w:cs="Arial"/>
          <w:color w:val="000000"/>
          <w:spacing w:val="4"/>
          <w:sz w:val="16"/>
          <w:szCs w:val="16"/>
        </w:rPr>
        <w:t xml:space="preserve">For enquiries regarding the publishing and distribution of the </w:t>
      </w:r>
      <w:r w:rsidRPr="00546BD8">
        <w:rPr>
          <w:rFonts w:cs="Arial"/>
          <w:i/>
          <w:iCs/>
          <w:color w:val="000000"/>
          <w:spacing w:val="4"/>
          <w:sz w:val="16"/>
          <w:szCs w:val="16"/>
        </w:rPr>
        <w:t>APVMA Gazette</w:t>
      </w:r>
      <w:r w:rsidR="007D72FB">
        <w:rPr>
          <w:rFonts w:cs="Arial"/>
          <w:color w:val="000000"/>
          <w:spacing w:val="4"/>
          <w:sz w:val="16"/>
          <w:szCs w:val="16"/>
        </w:rPr>
        <w:t xml:space="preserve">: </w:t>
      </w:r>
      <w:r w:rsidRPr="00546BD8">
        <w:rPr>
          <w:rFonts w:cs="Arial"/>
          <w:color w:val="000000"/>
          <w:spacing w:val="4"/>
          <w:sz w:val="16"/>
          <w:szCs w:val="16"/>
        </w:rPr>
        <w:t>Tel</w:t>
      </w:r>
      <w:r w:rsidR="009C4720" w:rsidRPr="00546BD8">
        <w:rPr>
          <w:rFonts w:cs="Arial"/>
          <w:color w:val="000000"/>
          <w:spacing w:val="4"/>
          <w:sz w:val="16"/>
          <w:szCs w:val="16"/>
        </w:rPr>
        <w:t>ephone: +61 2 6</w:t>
      </w:r>
      <w:r w:rsidR="00270632">
        <w:rPr>
          <w:rFonts w:cs="Arial"/>
          <w:color w:val="000000"/>
          <w:spacing w:val="4"/>
          <w:sz w:val="16"/>
          <w:szCs w:val="16"/>
        </w:rPr>
        <w:t>770 2300.</w:t>
      </w:r>
    </w:p>
    <w:p w14:paraId="775A739F" w14:textId="77777777" w:rsidR="007C4CA4" w:rsidRDefault="0055403E" w:rsidP="007D72FB">
      <w:pPr>
        <w:spacing w:before="120" w:after="120" w:line="280" w:lineRule="atLeast"/>
        <w:rPr>
          <w:rFonts w:cs="Arial"/>
          <w:b/>
          <w:bCs/>
          <w:sz w:val="23"/>
          <w:szCs w:val="23"/>
        </w:rPr>
        <w:sectPr w:rsidR="007C4CA4" w:rsidSect="00430E77">
          <w:headerReference w:type="default" r:id="rId16"/>
          <w:pgSz w:w="11907" w:h="16839" w:code="9"/>
          <w:pgMar w:top="1440" w:right="1134" w:bottom="1440" w:left="1134" w:header="709" w:footer="709" w:gutter="0"/>
          <w:cols w:space="708"/>
          <w:docGrid w:linePitch="360"/>
        </w:sectPr>
      </w:pPr>
      <w:r w:rsidRPr="00546BD8">
        <w:rPr>
          <w:rFonts w:cs="Arial"/>
          <w:color w:val="000000"/>
          <w:spacing w:val="4"/>
          <w:sz w:val="16"/>
          <w:szCs w:val="16"/>
        </w:rPr>
        <w:t xml:space="preserve">For enquiries on the </w:t>
      </w:r>
      <w:r w:rsidRPr="00546BD8">
        <w:rPr>
          <w:rFonts w:cs="Arial"/>
          <w:i/>
          <w:color w:val="000000"/>
          <w:spacing w:val="4"/>
          <w:sz w:val="16"/>
          <w:szCs w:val="16"/>
        </w:rPr>
        <w:t>APVMA Gazette</w:t>
      </w:r>
      <w:r w:rsidRPr="00546BD8">
        <w:rPr>
          <w:rFonts w:cs="Arial"/>
          <w:color w:val="000000"/>
          <w:spacing w:val="4"/>
          <w:sz w:val="16"/>
          <w:szCs w:val="16"/>
        </w:rPr>
        <w:t xml:space="preserve"> content, please refer to the individual APVMA contacts listed under each notice.</w:t>
      </w:r>
    </w:p>
    <w:p w14:paraId="5B44F24B" w14:textId="77777777" w:rsidR="003C69F4" w:rsidRDefault="007C4CA4" w:rsidP="003C69F4">
      <w:pPr>
        <w:autoSpaceDE w:val="0"/>
        <w:autoSpaceDN w:val="0"/>
        <w:adjustRightInd w:val="0"/>
        <w:spacing w:before="360" w:after="360"/>
        <w:ind w:firstLine="198"/>
        <w:rPr>
          <w:noProof/>
        </w:rPr>
      </w:pPr>
      <w:r>
        <w:rPr>
          <w:rFonts w:cs="Arial"/>
          <w:b/>
          <w:bCs/>
          <w:sz w:val="23"/>
          <w:szCs w:val="23"/>
        </w:rPr>
        <w:lastRenderedPageBreak/>
        <w:t>CONTENTS</w:t>
      </w:r>
      <w:r>
        <w:rPr>
          <w:b/>
          <w:caps/>
        </w:rPr>
        <w:fldChar w:fldCharType="begin"/>
      </w:r>
      <w:r>
        <w:rPr>
          <w:caps/>
        </w:rPr>
        <w:instrText xml:space="preserve"> TOC \h \z \t "Gazette Section Heading,1,Gazette Heading 1,2" </w:instrText>
      </w:r>
      <w:r>
        <w:rPr>
          <w:b/>
          <w:caps/>
        </w:rPr>
        <w:fldChar w:fldCharType="separate"/>
      </w:r>
    </w:p>
    <w:p w14:paraId="2C451DF1" w14:textId="269E5A30" w:rsidR="003C69F4" w:rsidRPr="003C69F4" w:rsidRDefault="00A57DA0" w:rsidP="003C69F4">
      <w:pPr>
        <w:pStyle w:val="TOC2"/>
        <w:rPr>
          <w:rFonts w:eastAsiaTheme="minorEastAsia"/>
        </w:rPr>
      </w:pPr>
      <w:hyperlink w:anchor="_Toc20320616" w:history="1">
        <w:r w:rsidR="003C69F4" w:rsidRPr="003C69F4">
          <w:rPr>
            <w:rStyle w:val="Hyperlink"/>
            <w:color w:val="auto"/>
            <w:u w:val="none"/>
          </w:rPr>
          <w:t>Final regulatory decision for the registrations of chlorpyrifos home garden and domestic pest control products</w:t>
        </w:r>
        <w:r w:rsidR="003C69F4" w:rsidRPr="003C69F4">
          <w:rPr>
            <w:webHidden/>
          </w:rPr>
          <w:tab/>
        </w:r>
        <w:r w:rsidR="003C69F4" w:rsidRPr="003C69F4">
          <w:rPr>
            <w:webHidden/>
          </w:rPr>
          <w:fldChar w:fldCharType="begin"/>
        </w:r>
        <w:r w:rsidR="003C69F4" w:rsidRPr="003C69F4">
          <w:rPr>
            <w:webHidden/>
          </w:rPr>
          <w:instrText xml:space="preserve"> PAGEREF _Toc20320616 \h </w:instrText>
        </w:r>
        <w:r w:rsidR="003C69F4" w:rsidRPr="003C69F4">
          <w:rPr>
            <w:webHidden/>
          </w:rPr>
        </w:r>
        <w:r w:rsidR="003C69F4" w:rsidRPr="003C69F4">
          <w:rPr>
            <w:webHidden/>
          </w:rPr>
          <w:fldChar w:fldCharType="separate"/>
        </w:r>
        <w:r w:rsidR="003C69F4" w:rsidRPr="003C69F4">
          <w:rPr>
            <w:webHidden/>
          </w:rPr>
          <w:t>4</w:t>
        </w:r>
        <w:r w:rsidR="003C69F4" w:rsidRPr="003C69F4">
          <w:rPr>
            <w:webHidden/>
          </w:rPr>
          <w:fldChar w:fldCharType="end"/>
        </w:r>
      </w:hyperlink>
    </w:p>
    <w:p w14:paraId="47808E02" w14:textId="77777777" w:rsidR="00330BE7" w:rsidRDefault="007C4CA4" w:rsidP="003C69F4">
      <w:pPr>
        <w:pStyle w:val="TOC2"/>
        <w:sectPr w:rsidR="00330BE7" w:rsidSect="00430E77">
          <w:headerReference w:type="even" r:id="rId17"/>
          <w:headerReference w:type="default" r:id="rId18"/>
          <w:footerReference w:type="default" r:id="rId19"/>
          <w:pgSz w:w="11907" w:h="16839" w:code="9"/>
          <w:pgMar w:top="1440" w:right="1134" w:bottom="1440" w:left="1134" w:header="709" w:footer="709" w:gutter="0"/>
          <w:cols w:space="708"/>
          <w:docGrid w:linePitch="360"/>
        </w:sectPr>
      </w:pPr>
      <w:r>
        <w:fldChar w:fldCharType="end"/>
      </w:r>
    </w:p>
    <w:p w14:paraId="29D4BB38" w14:textId="77777777" w:rsidR="00FA75EE" w:rsidRPr="00FA75EE" w:rsidRDefault="00FA75EE" w:rsidP="00FA75EE">
      <w:pPr>
        <w:pStyle w:val="GazetteHeading1"/>
      </w:pPr>
      <w:bookmarkStart w:id="0" w:name="_Toc19172386"/>
      <w:bookmarkStart w:id="1" w:name="_Toc12947435"/>
      <w:bookmarkStart w:id="2" w:name="_Toc20320616"/>
      <w:r w:rsidRPr="00FA75EE">
        <w:lastRenderedPageBreak/>
        <w:t xml:space="preserve">Final regulatory decision for the registrations of </w:t>
      </w:r>
      <w:proofErr w:type="spellStart"/>
      <w:r w:rsidRPr="00FA75EE">
        <w:t>chlorpyrifos</w:t>
      </w:r>
      <w:proofErr w:type="spellEnd"/>
      <w:r w:rsidRPr="00FA75EE">
        <w:t xml:space="preserve"> home garden and domestic pest control product</w:t>
      </w:r>
      <w:bookmarkEnd w:id="0"/>
      <w:bookmarkEnd w:id="1"/>
      <w:r w:rsidR="002E7C73">
        <w:t>s</w:t>
      </w:r>
      <w:bookmarkEnd w:id="2"/>
    </w:p>
    <w:p w14:paraId="611F1AAC" w14:textId="77777777" w:rsidR="00FA75EE" w:rsidRPr="00841C99" w:rsidRDefault="00FA75EE" w:rsidP="00FA75EE">
      <w:pPr>
        <w:spacing w:before="240" w:after="240" w:line="280" w:lineRule="exact"/>
      </w:pPr>
      <w:r w:rsidRPr="00841C99">
        <w:t xml:space="preserve">The APVMA, in accordance with Part 2, Division 4, of the Agricultural and Veterinary Chemicals Code scheduled to the </w:t>
      </w:r>
      <w:r w:rsidRPr="00841C99">
        <w:rPr>
          <w:i/>
        </w:rPr>
        <w:t>Agricultural and Veterinary Chemicals Code Act 1994</w:t>
      </w:r>
      <w:r w:rsidRPr="00841C99">
        <w:t xml:space="preserve"> (</w:t>
      </w:r>
      <w:r w:rsidR="002E7C73" w:rsidRPr="002E7C73">
        <w:t>the</w:t>
      </w:r>
      <w:r w:rsidRPr="00533A7D">
        <w:rPr>
          <w:b/>
        </w:rPr>
        <w:t xml:space="preserve"> Code</w:t>
      </w:r>
      <w:r w:rsidRPr="00841C99">
        <w:t xml:space="preserve">), has reconsidered the </w:t>
      </w:r>
      <w:r>
        <w:t>registrations</w:t>
      </w:r>
      <w:r w:rsidRPr="00841C99">
        <w:t xml:space="preserve"> of </w:t>
      </w:r>
      <w:proofErr w:type="spellStart"/>
      <w:r w:rsidRPr="00533A7D">
        <w:t>chlorpyrifos</w:t>
      </w:r>
      <w:proofErr w:type="spellEnd"/>
      <w:r w:rsidRPr="00533A7D">
        <w:t xml:space="preserve"> home garden and domestic pest control products</w:t>
      </w:r>
      <w:r w:rsidR="00BA4C79">
        <w:t>.</w:t>
      </w:r>
    </w:p>
    <w:p w14:paraId="014F35B2" w14:textId="77777777" w:rsidR="00FA75EE" w:rsidRDefault="00FA75EE" w:rsidP="00FA75EE">
      <w:pPr>
        <w:spacing w:before="240" w:after="240" w:line="280" w:lineRule="exact"/>
      </w:pPr>
      <w:proofErr w:type="spellStart"/>
      <w:r w:rsidRPr="005D6C75">
        <w:t>Chlorpyrifos</w:t>
      </w:r>
      <w:proofErr w:type="spellEnd"/>
      <w:r w:rsidRPr="005D6C75">
        <w:t xml:space="preserve"> is a broad spectrum, non-systemic organophosph</w:t>
      </w:r>
      <w:r>
        <w:t>ate</w:t>
      </w:r>
      <w:r w:rsidRPr="005D6C75">
        <w:t xml:space="preserve"> insecticide. It acts by inhibiting the action of cholinesterase, an enzyme that moderates nerve impulses as part of the parasympathetic nervous system. </w:t>
      </w:r>
      <w:proofErr w:type="spellStart"/>
      <w:r w:rsidRPr="005D6C75">
        <w:t>Chlorpyrifos</w:t>
      </w:r>
      <w:proofErr w:type="spellEnd"/>
      <w:r w:rsidRPr="005D6C75">
        <w:t xml:space="preserve"> has some domestic uses for the control of common garden pests.</w:t>
      </w:r>
    </w:p>
    <w:p w14:paraId="56CB8EC8" w14:textId="77777777" w:rsidR="00FA75EE" w:rsidRDefault="00FA75EE" w:rsidP="00FA75EE">
      <w:pPr>
        <w:spacing w:before="240" w:after="240" w:line="280" w:lineRule="exact"/>
      </w:pPr>
      <w:r w:rsidRPr="00893211">
        <w:t xml:space="preserve">The APVMA commenced the reconsideration of </w:t>
      </w:r>
      <w:proofErr w:type="spellStart"/>
      <w:r w:rsidRPr="00893211">
        <w:t>chlorpyrifos</w:t>
      </w:r>
      <w:proofErr w:type="spellEnd"/>
      <w:r w:rsidRPr="00893211">
        <w:t xml:space="preserve"> in 1996 as part of the Existing Chemicals Review Program. </w:t>
      </w:r>
      <w:proofErr w:type="spellStart"/>
      <w:r w:rsidRPr="00893211">
        <w:t>Chlorpyrifos</w:t>
      </w:r>
      <w:proofErr w:type="spellEnd"/>
      <w:r w:rsidRPr="00893211">
        <w:t xml:space="preserve"> </w:t>
      </w:r>
      <w:r w:rsidRPr="00533A7D">
        <w:t>home garden and domestic pest control products</w:t>
      </w:r>
      <w:r>
        <w:t xml:space="preserve"> were</w:t>
      </w:r>
      <w:r w:rsidRPr="00893211">
        <w:t xml:space="preserve"> placed under reconsideration because of concerns over toxicology, occupational health and safety (OHS), residues, trade, environment, efficacy</w:t>
      </w:r>
      <w:r>
        <w:t>,</w:t>
      </w:r>
      <w:r w:rsidRPr="00893211">
        <w:t xml:space="preserve"> and crop safety.</w:t>
      </w:r>
    </w:p>
    <w:p w14:paraId="5A31736F" w14:textId="77777777" w:rsidR="002E7C73" w:rsidRDefault="002E7C73" w:rsidP="00FA75EE">
      <w:pPr>
        <w:spacing w:before="240" w:after="240" w:line="280" w:lineRule="exact"/>
      </w:pPr>
      <w:r w:rsidRPr="002E7C73">
        <w:t xml:space="preserve">The APVMA has concluded its reconsideration of </w:t>
      </w:r>
      <w:proofErr w:type="spellStart"/>
      <w:r w:rsidRPr="002E7C73">
        <w:t>chlorpyrifos</w:t>
      </w:r>
      <w:proofErr w:type="spellEnd"/>
      <w:r w:rsidRPr="002E7C73">
        <w:t xml:space="preserve"> home garden and domestic pest control products and decided on 2</w:t>
      </w:r>
      <w:r>
        <w:t>5</w:t>
      </w:r>
      <w:r w:rsidRPr="002E7C73">
        <w:t xml:space="preserve"> September 2019 to cancel the registrations of the 27 chemical products listed in Table 1 as the products may not meet the safety criteria.</w:t>
      </w:r>
    </w:p>
    <w:p w14:paraId="36265A64" w14:textId="77777777" w:rsidR="00FA75EE" w:rsidRDefault="00FA75EE" w:rsidP="00FA75EE">
      <w:pPr>
        <w:pStyle w:val="GazetteHeading2"/>
      </w:pPr>
      <w:r>
        <w:t>Reasons for the cancellation of</w:t>
      </w:r>
      <w:r w:rsidR="002E7C73">
        <w:t xml:space="preserve"> PRODUCT</w:t>
      </w:r>
      <w:r>
        <w:t xml:space="preserve"> registrations</w:t>
      </w:r>
    </w:p>
    <w:p w14:paraId="78668BD6" w14:textId="77777777" w:rsidR="00FA75EE" w:rsidRPr="00FA75EE" w:rsidRDefault="00FA75EE" w:rsidP="002E7C73">
      <w:pPr>
        <w:spacing w:before="240" w:after="240" w:line="280" w:lineRule="exact"/>
      </w:pPr>
      <w:r w:rsidRPr="00982A8B">
        <w:t xml:space="preserve">The basis for the reconsideration of the chemical products is whether the APVMA is satisfied that the safety, efficacy, trade and labelling criteria listed in sections 5A, 5B, 5C and 5D of the </w:t>
      </w:r>
      <w:proofErr w:type="spellStart"/>
      <w:r w:rsidRPr="00982A8B">
        <w:t>Ag</w:t>
      </w:r>
      <w:r w:rsidR="00BA4C79">
        <w:t>v</w:t>
      </w:r>
      <w:r w:rsidRPr="00982A8B">
        <w:t>et</w:t>
      </w:r>
      <w:proofErr w:type="spellEnd"/>
      <w:r w:rsidRPr="00982A8B">
        <w:t xml:space="preserve"> Code are being met. </w:t>
      </w:r>
      <w:r w:rsidR="002E7C73">
        <w:t>The full statement of reasons for this decision were published in the Special Gazette of 24 June 2019.</w:t>
      </w:r>
    </w:p>
    <w:p w14:paraId="110F84F6" w14:textId="77777777" w:rsidR="00FA75EE" w:rsidRPr="00982A8B" w:rsidRDefault="00FA75EE" w:rsidP="00FA75EE">
      <w:pPr>
        <w:spacing w:before="240" w:after="240" w:line="280" w:lineRule="exact"/>
      </w:pPr>
      <w:r w:rsidRPr="00982A8B">
        <w:t xml:space="preserve">After consideration of all data and information, and submissions from industry and the public, the APVMA has determined that the current registrations for </w:t>
      </w:r>
      <w:proofErr w:type="spellStart"/>
      <w:r w:rsidRPr="00982A8B">
        <w:t>chlorpyrifos</w:t>
      </w:r>
      <w:proofErr w:type="spellEnd"/>
      <w:r w:rsidRPr="00982A8B">
        <w:t xml:space="preserve"> home garden and domestic pest control products listed in Table</w:t>
      </w:r>
      <w:r>
        <w:t xml:space="preserve"> </w:t>
      </w:r>
      <w:r w:rsidRPr="00982A8B">
        <w:t>1 do not meet the safety criteria set out i</w:t>
      </w:r>
      <w:r>
        <w:t xml:space="preserve">n section 5A of </w:t>
      </w:r>
      <w:r w:rsidR="00BA4C79">
        <w:t xml:space="preserve">the </w:t>
      </w:r>
      <w:proofErr w:type="spellStart"/>
      <w:r w:rsidR="00BA4C79">
        <w:t>Agv</w:t>
      </w:r>
      <w:r>
        <w:t>et</w:t>
      </w:r>
      <w:proofErr w:type="spellEnd"/>
      <w:r>
        <w:t xml:space="preserve"> Code.</w:t>
      </w:r>
    </w:p>
    <w:p w14:paraId="1B6C7A5B" w14:textId="77777777" w:rsidR="00FA75EE" w:rsidRDefault="00FA75EE" w:rsidP="00FA75EE">
      <w:pPr>
        <w:spacing w:before="240" w:after="240" w:line="280" w:lineRule="exact"/>
      </w:pPr>
      <w:r w:rsidRPr="00982A8B">
        <w:t xml:space="preserve">Implementation of the reconsideration findings for these products, to meet the safety criteria, resulted in the approved labels containing no remaining uses. </w:t>
      </w:r>
      <w:r w:rsidR="00BA4C79">
        <w:t>Consequently</w:t>
      </w:r>
      <w:r w:rsidRPr="00982A8B">
        <w:t>, the APVMA cannot vary the product labels in such a way as to allow the registration to be affirmed. The APVMA has, therefore, cancelled the product registrations and associated label approvals und</w:t>
      </w:r>
      <w:r w:rsidR="00BA4C79">
        <w:t xml:space="preserve">er subsection </w:t>
      </w:r>
      <w:proofErr w:type="gramStart"/>
      <w:r w:rsidR="00BA4C79">
        <w:t>34AA(</w:t>
      </w:r>
      <w:proofErr w:type="gramEnd"/>
      <w:r w:rsidR="00BA4C79">
        <w:t xml:space="preserve">1) of the </w:t>
      </w:r>
      <w:proofErr w:type="spellStart"/>
      <w:r w:rsidR="00BA4C79">
        <w:t>Agv</w:t>
      </w:r>
      <w:r w:rsidRPr="00982A8B">
        <w:t>et</w:t>
      </w:r>
      <w:proofErr w:type="spellEnd"/>
      <w:r w:rsidRPr="00982A8B">
        <w:t xml:space="preserve"> Code.</w:t>
      </w:r>
    </w:p>
    <w:p w14:paraId="2B9EB63F" w14:textId="77777777" w:rsidR="00FA75EE" w:rsidRPr="0094738A" w:rsidRDefault="00FA75EE" w:rsidP="00FA75EE">
      <w:pPr>
        <w:pStyle w:val="GazetteHeading2"/>
      </w:pPr>
      <w:r w:rsidRPr="0094738A">
        <w:t>Consultation on proposed decisions</w:t>
      </w:r>
    </w:p>
    <w:p w14:paraId="02C269C7" w14:textId="77777777" w:rsidR="00FA75EE" w:rsidRPr="0094738A" w:rsidRDefault="00FA75EE" w:rsidP="00FA75EE">
      <w:pPr>
        <w:spacing w:before="240" w:after="240" w:line="280" w:lineRule="atLeast"/>
      </w:pPr>
      <w:r w:rsidRPr="0094738A">
        <w:t xml:space="preserve">On 24 June 2019, the APVMA issued the holders with notices under section </w:t>
      </w:r>
      <w:proofErr w:type="gramStart"/>
      <w:r w:rsidRPr="0094738A">
        <w:t>34AB(</w:t>
      </w:r>
      <w:proofErr w:type="gramEnd"/>
      <w:r w:rsidRPr="0094738A">
        <w:t xml:space="preserve">1)(b) setting out its proposed decision in respect to registered </w:t>
      </w:r>
      <w:proofErr w:type="spellStart"/>
      <w:r w:rsidRPr="0094738A">
        <w:t>chlorpyrifos</w:t>
      </w:r>
      <w:proofErr w:type="spellEnd"/>
      <w:r w:rsidRPr="0094738A">
        <w:t xml:space="preserve"> home garden and domestic pest control products. In accordance with section </w:t>
      </w:r>
      <w:proofErr w:type="gramStart"/>
      <w:r w:rsidRPr="0094738A">
        <w:t>34AB(</w:t>
      </w:r>
      <w:proofErr w:type="gramEnd"/>
      <w:r w:rsidRPr="0094738A">
        <w:t>2)(f), the notices invited holders to m</w:t>
      </w:r>
      <w:r w:rsidR="00BA4C79">
        <w:t>ake written submissions within three</w:t>
      </w:r>
      <w:r w:rsidRPr="0094738A">
        <w:t xml:space="preserve"> months.</w:t>
      </w:r>
    </w:p>
    <w:p w14:paraId="7760B76E" w14:textId="77777777" w:rsidR="00FA75EE" w:rsidRDefault="00FA75EE" w:rsidP="00FA75EE">
      <w:pPr>
        <w:spacing w:before="240" w:after="240" w:line="280" w:lineRule="atLeast"/>
      </w:pPr>
      <w:r w:rsidRPr="0094738A">
        <w:t xml:space="preserve">On 24 June 2019, pursuant to section 35(1)(a), the APVMA consulted with state and territory coordinators in writing on grounds of APVMA proposed regulatory decisions in the context of the reconsideration of </w:t>
      </w:r>
      <w:proofErr w:type="spellStart"/>
      <w:r w:rsidRPr="0094738A">
        <w:t>chlorpyrifos</w:t>
      </w:r>
      <w:proofErr w:type="spellEnd"/>
      <w:r w:rsidRPr="0094738A">
        <w:t>.</w:t>
      </w:r>
    </w:p>
    <w:p w14:paraId="5469E362" w14:textId="77777777" w:rsidR="00FA75EE" w:rsidRDefault="00FA75EE" w:rsidP="00FA75EE">
      <w:pPr>
        <w:pStyle w:val="GazetteHeading2"/>
      </w:pPr>
      <w:r>
        <w:t>Submission received</w:t>
      </w:r>
    </w:p>
    <w:p w14:paraId="7D451112" w14:textId="77777777" w:rsidR="00CC2151" w:rsidRDefault="00415019" w:rsidP="00415019">
      <w:pPr>
        <w:spacing w:before="240" w:after="240" w:line="280" w:lineRule="exact"/>
      </w:pPr>
      <w:r w:rsidRPr="0094738A">
        <w:t xml:space="preserve">No recommendations were received from the state and territory coordinators in response to the consultation. </w:t>
      </w:r>
    </w:p>
    <w:p w14:paraId="4CB42653" w14:textId="6EC17014" w:rsidR="00EB1EFA" w:rsidRDefault="00EB1EFA" w:rsidP="00415019">
      <w:pPr>
        <w:spacing w:before="240" w:after="240" w:line="280" w:lineRule="exact"/>
      </w:pPr>
    </w:p>
    <w:p w14:paraId="0DF5A222" w14:textId="77777777" w:rsidR="00AA3402" w:rsidRDefault="00AA3402" w:rsidP="00415019">
      <w:pPr>
        <w:spacing w:before="240" w:after="240" w:line="280" w:lineRule="exact"/>
      </w:pPr>
    </w:p>
    <w:p w14:paraId="362F12D2" w14:textId="77777777" w:rsidR="00415019" w:rsidRDefault="00CC2151" w:rsidP="00415019">
      <w:pPr>
        <w:spacing w:before="240" w:after="240" w:line="280" w:lineRule="exact"/>
        <w:rPr>
          <w:i/>
        </w:rPr>
      </w:pPr>
      <w:r>
        <w:rPr>
          <w:i/>
        </w:rPr>
        <w:lastRenderedPageBreak/>
        <w:t xml:space="preserve">Submission from </w:t>
      </w:r>
      <w:proofErr w:type="spellStart"/>
      <w:r>
        <w:rPr>
          <w:i/>
        </w:rPr>
        <w:t>CropLife</w:t>
      </w:r>
      <w:proofErr w:type="spellEnd"/>
    </w:p>
    <w:p w14:paraId="46F1E5DE" w14:textId="77777777" w:rsidR="00415019" w:rsidRPr="0094738A" w:rsidRDefault="00CC2151" w:rsidP="00415019">
      <w:pPr>
        <w:spacing w:before="240" w:after="240" w:line="280" w:lineRule="exact"/>
      </w:pPr>
      <w:r>
        <w:t xml:space="preserve">On 26 August 2019 </w:t>
      </w:r>
      <w:proofErr w:type="spellStart"/>
      <w:r w:rsidR="00415019" w:rsidRPr="0094738A">
        <w:t>Crop</w:t>
      </w:r>
      <w:r w:rsidR="00BA4C79">
        <w:t>L</w:t>
      </w:r>
      <w:r w:rsidR="00415019" w:rsidRPr="0094738A">
        <w:t>ife</w:t>
      </w:r>
      <w:proofErr w:type="spellEnd"/>
      <w:r w:rsidR="00415019" w:rsidRPr="0094738A">
        <w:t xml:space="preserve"> sought clarity from the APVMA regarding the source and appropriateness of the transfer coefficient (TC) value of 60,000cm</w:t>
      </w:r>
      <w:r w:rsidR="00415019" w:rsidRPr="0094738A">
        <w:rPr>
          <w:vertAlign w:val="superscript"/>
        </w:rPr>
        <w:t>^</w:t>
      </w:r>
      <w:r w:rsidR="00415019" w:rsidRPr="0094738A">
        <w:t xml:space="preserve">2/hr for toddler on turf used in APVMA’s 2019 </w:t>
      </w:r>
      <w:proofErr w:type="spellStart"/>
      <w:r w:rsidR="00415019" w:rsidRPr="0094738A">
        <w:t>Chlorpyrifos</w:t>
      </w:r>
      <w:proofErr w:type="spellEnd"/>
      <w:r w:rsidR="00415019" w:rsidRPr="0094738A">
        <w:t xml:space="preserve"> Exposure Assessment update as the USEPA 2000 </w:t>
      </w:r>
      <w:proofErr w:type="spellStart"/>
      <w:r w:rsidR="00415019" w:rsidRPr="0094738A">
        <w:t>chlorpyrifos</w:t>
      </w:r>
      <w:proofErr w:type="spellEnd"/>
      <w:r w:rsidR="00415019" w:rsidRPr="0094738A">
        <w:t xml:space="preserve"> review, which considered in-home use, used 6,000 cm^2/hr for children in crack and crevice situations.</w:t>
      </w:r>
    </w:p>
    <w:p w14:paraId="490C5ED9" w14:textId="77777777" w:rsidR="00415019" w:rsidRDefault="00CC2151" w:rsidP="00415019">
      <w:pPr>
        <w:spacing w:before="240" w:after="240" w:line="280" w:lineRule="exact"/>
      </w:pPr>
      <w:r>
        <w:t xml:space="preserve">On 5 September 2019 the </w:t>
      </w:r>
      <w:r w:rsidR="00415019" w:rsidRPr="0094738A">
        <w:t>APVMA clarified that it does not regard the use of outdated TCs and methodologies for crack and crevice treatment as they are not appropriate for toddler on turf exposure modelling, and because the exposure scenario of a toddler on turf is not the same as the exposure scenario for crack and crevice use. The US EPA has updated exposure factors and methodology for the types of r</w:t>
      </w:r>
      <w:r w:rsidR="00BA4C79">
        <w:t>esidential exposure scenarios—</w:t>
      </w:r>
      <w:r w:rsidR="00415019" w:rsidRPr="0094738A">
        <w:t>the US EPA 2012 Standard Operating Procedures for Residential Pesticide Exposure Assessment and the US EPA 2017 Exposure Factors Handbook. The current US EPA Residential Exp</w:t>
      </w:r>
      <w:r w:rsidR="00415019">
        <w:t xml:space="preserve">osure Assessment SOP document </w:t>
      </w:r>
      <w:r w:rsidR="00415019" w:rsidRPr="0094738A">
        <w:t>indicates that the screening level point estimate TC for turf for children aged 1 to &lt; 2 years should be 49,000 cm</w:t>
      </w:r>
      <w:r w:rsidR="00415019" w:rsidRPr="0094738A">
        <w:rPr>
          <w:vertAlign w:val="superscript"/>
        </w:rPr>
        <w:t>2</w:t>
      </w:r>
      <w:r w:rsidR="00415019" w:rsidRPr="0094738A">
        <w:t>/h or 54,000 cm</w:t>
      </w:r>
      <w:r w:rsidR="00415019" w:rsidRPr="0094738A">
        <w:rPr>
          <w:vertAlign w:val="superscript"/>
        </w:rPr>
        <w:t>2</w:t>
      </w:r>
      <w:r w:rsidR="00415019" w:rsidRPr="0094738A">
        <w:t>/h depending on formulation type. The TC values of 49,000 cm</w:t>
      </w:r>
      <w:r w:rsidR="00415019" w:rsidRPr="0094738A">
        <w:rPr>
          <w:vertAlign w:val="superscript"/>
        </w:rPr>
        <w:t>2</w:t>
      </w:r>
      <w:r w:rsidR="00415019" w:rsidRPr="0094738A">
        <w:t>/h and 54,000 cm</w:t>
      </w:r>
      <w:r w:rsidR="00415019" w:rsidRPr="0094738A">
        <w:rPr>
          <w:vertAlign w:val="superscript"/>
        </w:rPr>
        <w:t>2</w:t>
      </w:r>
      <w:r w:rsidR="00415019" w:rsidRPr="0094738A">
        <w:t>/h are around the 50</w:t>
      </w:r>
      <w:r w:rsidR="00415019" w:rsidRPr="0094738A">
        <w:rPr>
          <w:vertAlign w:val="superscript"/>
        </w:rPr>
        <w:t>th</w:t>
      </w:r>
      <w:r w:rsidR="00415019" w:rsidRPr="0094738A">
        <w:t xml:space="preserve"> percentile of the distribution of available data for children aged 1 to &lt; 2 years of age considered by the US EPA in 2017. </w:t>
      </w:r>
      <w:r w:rsidR="00BA4C79">
        <w:t xml:space="preserve">The </w:t>
      </w:r>
      <w:r w:rsidR="00415019" w:rsidRPr="0094738A">
        <w:t>APVMA has used the US EPA recommended default screening assessment TC value of 49,000 cm</w:t>
      </w:r>
      <w:r w:rsidR="00415019" w:rsidRPr="0094738A">
        <w:rPr>
          <w:vertAlign w:val="superscript"/>
        </w:rPr>
        <w:t>2</w:t>
      </w:r>
      <w:r w:rsidR="00415019" w:rsidRPr="0094738A">
        <w:t xml:space="preserve">/h for children aged 1 to &lt; 2 years of age. </w:t>
      </w:r>
      <w:r w:rsidR="00BA4C79">
        <w:t xml:space="preserve">The </w:t>
      </w:r>
      <w:r w:rsidR="00415019" w:rsidRPr="0094738A">
        <w:t>APVMA has used a value of 60,000 cm</w:t>
      </w:r>
      <w:r w:rsidR="00415019" w:rsidRPr="0094738A">
        <w:rPr>
          <w:vertAlign w:val="superscript"/>
        </w:rPr>
        <w:t>2</w:t>
      </w:r>
      <w:r w:rsidR="00415019" w:rsidRPr="0094738A">
        <w:t>/h for children aged 2 to 3 years of age to account for their different patterns of behaviour compared with younger children. APVMA regards these values as appropriately health protective in relation to the Australian population.</w:t>
      </w:r>
    </w:p>
    <w:p w14:paraId="7A9F8591" w14:textId="77777777" w:rsidR="00415019" w:rsidRDefault="00415019" w:rsidP="00415019">
      <w:pPr>
        <w:pStyle w:val="GazetteHeading2"/>
      </w:pPr>
      <w:r>
        <w:t>Reconsideration decision</w:t>
      </w:r>
    </w:p>
    <w:p w14:paraId="54D40A9A" w14:textId="77777777" w:rsidR="00415019" w:rsidRPr="00982A8B" w:rsidRDefault="00415019" w:rsidP="00415019">
      <w:pPr>
        <w:spacing w:before="240" w:after="240" w:line="280" w:lineRule="exact"/>
      </w:pPr>
      <w:r w:rsidRPr="00982A8B">
        <w:t xml:space="preserve">The APVMA has in, accordance with paragraph </w:t>
      </w:r>
      <w:proofErr w:type="gramStart"/>
      <w:r w:rsidRPr="00982A8B">
        <w:t>34AA(</w:t>
      </w:r>
      <w:proofErr w:type="gramEnd"/>
      <w:r w:rsidRPr="00982A8B">
        <w:t xml:space="preserve">1), </w:t>
      </w:r>
      <w:r w:rsidR="002E7C73">
        <w:t>cancelled</w:t>
      </w:r>
      <w:r w:rsidRPr="00982A8B">
        <w:t xml:space="preserve"> the registrations for </w:t>
      </w:r>
      <w:proofErr w:type="spellStart"/>
      <w:r w:rsidRPr="00982A8B">
        <w:t>chlorpyrifos</w:t>
      </w:r>
      <w:proofErr w:type="spellEnd"/>
      <w:r w:rsidRPr="00982A8B">
        <w:t xml:space="preserve"> home garden and domestic pest control products listed in Table 1.</w:t>
      </w:r>
      <w:r w:rsidR="00880CF3">
        <w:t xml:space="preserve"> In making this decision the APVMA had regard to material outlined in the Special Gazette of 24 June 2019, and the submission provided </w:t>
      </w:r>
      <w:r w:rsidR="00880CF3" w:rsidRPr="00880CF3">
        <w:t xml:space="preserve">in response to the notice </w:t>
      </w:r>
      <w:r w:rsidR="00880CF3">
        <w:t>published in the Special Gazette of 24 June 2019.</w:t>
      </w:r>
    </w:p>
    <w:p w14:paraId="65A7AAC2" w14:textId="77777777" w:rsidR="00415019" w:rsidRDefault="00415019" w:rsidP="00415019">
      <w:pPr>
        <w:pStyle w:val="GazetteTableCaption"/>
        <w:spacing w:before="240" w:after="240"/>
      </w:pPr>
      <w:r w:rsidRPr="00415019">
        <w:t xml:space="preserve">Table 1: </w:t>
      </w:r>
      <w:proofErr w:type="spellStart"/>
      <w:r w:rsidRPr="00415019">
        <w:t>Chlorpyrifos</w:t>
      </w:r>
      <w:proofErr w:type="spellEnd"/>
      <w:r w:rsidRPr="00415019">
        <w:t xml:space="preserve"> registrations cancelled</w:t>
      </w:r>
      <w:r w:rsidR="00CC2151">
        <w:t>.</w:t>
      </w:r>
    </w:p>
    <w:tbl>
      <w:tblPr>
        <w:tblStyle w:val="TableGrid"/>
        <w:tblW w:w="5000" w:type="pct"/>
        <w:tblLook w:val="04A0" w:firstRow="1" w:lastRow="0" w:firstColumn="1" w:lastColumn="0" w:noHBand="0" w:noVBand="1"/>
        <w:tblDescription w:val="ANNEXURE A – CHLORPYRIFOS HOME GARDEN AND DOMESTIC PEST-CONTROL PRODUCT REGISTRATIONS PROPOSED FOR CANCELLATION"/>
      </w:tblPr>
      <w:tblGrid>
        <w:gridCol w:w="1726"/>
        <w:gridCol w:w="3096"/>
        <w:gridCol w:w="2658"/>
        <w:gridCol w:w="2300"/>
      </w:tblGrid>
      <w:tr w:rsidR="00415019" w:rsidRPr="00CC2151" w14:paraId="08C62E4D" w14:textId="77777777" w:rsidTr="00CC2151">
        <w:trPr>
          <w:tblHeader/>
        </w:trPr>
        <w:tc>
          <w:tcPr>
            <w:tcW w:w="882" w:type="pct"/>
            <w:shd w:val="clear" w:color="auto" w:fill="D9D9D9" w:themeFill="background1" w:themeFillShade="D9"/>
          </w:tcPr>
          <w:p w14:paraId="6C4EB522" w14:textId="77777777" w:rsidR="00415019" w:rsidRPr="00CC2151" w:rsidRDefault="00415019" w:rsidP="00C159AF">
            <w:pPr>
              <w:pStyle w:val="GazetteTableHeading"/>
              <w:rPr>
                <w:sz w:val="16"/>
                <w:szCs w:val="16"/>
                <w:u w:color="000000"/>
              </w:rPr>
            </w:pPr>
            <w:r w:rsidRPr="00CC2151">
              <w:rPr>
                <w:sz w:val="16"/>
                <w:szCs w:val="16"/>
                <w:u w:color="000000"/>
              </w:rPr>
              <w:t>Product number (1)</w:t>
            </w:r>
          </w:p>
        </w:tc>
        <w:tc>
          <w:tcPr>
            <w:tcW w:w="1583" w:type="pct"/>
            <w:shd w:val="clear" w:color="auto" w:fill="D9D9D9" w:themeFill="background1" w:themeFillShade="D9"/>
          </w:tcPr>
          <w:p w14:paraId="2287BF55" w14:textId="77777777" w:rsidR="00415019" w:rsidRPr="00CC2151" w:rsidRDefault="00415019" w:rsidP="00C159AF">
            <w:pPr>
              <w:pStyle w:val="GazetteTableHeading"/>
              <w:rPr>
                <w:sz w:val="16"/>
                <w:szCs w:val="16"/>
                <w:u w:color="000000"/>
              </w:rPr>
            </w:pPr>
            <w:r w:rsidRPr="00CC2151">
              <w:rPr>
                <w:sz w:val="16"/>
                <w:szCs w:val="16"/>
                <w:u w:color="000000"/>
              </w:rPr>
              <w:t>Product name (2)</w:t>
            </w:r>
          </w:p>
        </w:tc>
        <w:tc>
          <w:tcPr>
            <w:tcW w:w="1359" w:type="pct"/>
            <w:shd w:val="clear" w:color="auto" w:fill="D9D9D9" w:themeFill="background1" w:themeFillShade="D9"/>
          </w:tcPr>
          <w:p w14:paraId="4CC3DB99" w14:textId="77777777" w:rsidR="00415019" w:rsidRPr="00CC2151" w:rsidRDefault="00415019" w:rsidP="00C159AF">
            <w:pPr>
              <w:pStyle w:val="GazetteTableHeading"/>
              <w:rPr>
                <w:sz w:val="16"/>
                <w:szCs w:val="16"/>
                <w:u w:color="000000"/>
              </w:rPr>
            </w:pPr>
            <w:r w:rsidRPr="00CC2151">
              <w:rPr>
                <w:sz w:val="16"/>
                <w:szCs w:val="16"/>
                <w:u w:color="000000"/>
              </w:rPr>
              <w:t>Holder (3)</w:t>
            </w:r>
          </w:p>
        </w:tc>
        <w:tc>
          <w:tcPr>
            <w:tcW w:w="1176" w:type="pct"/>
            <w:shd w:val="clear" w:color="auto" w:fill="D9D9D9" w:themeFill="background1" w:themeFillShade="D9"/>
          </w:tcPr>
          <w:p w14:paraId="10CC4D82" w14:textId="77777777" w:rsidR="00415019" w:rsidRPr="00CC2151" w:rsidRDefault="00415019" w:rsidP="00C159AF">
            <w:pPr>
              <w:pStyle w:val="GazetteTableHeading"/>
              <w:rPr>
                <w:sz w:val="16"/>
                <w:szCs w:val="16"/>
                <w:u w:color="000000"/>
              </w:rPr>
            </w:pPr>
            <w:r w:rsidRPr="00CC2151">
              <w:rPr>
                <w:sz w:val="16"/>
                <w:szCs w:val="16"/>
                <w:u w:color="000000"/>
              </w:rPr>
              <w:t>Label approval number (4)</w:t>
            </w:r>
          </w:p>
        </w:tc>
      </w:tr>
      <w:tr w:rsidR="00415019" w:rsidRPr="00CC2151" w14:paraId="1575E66A" w14:textId="77777777" w:rsidTr="00CC2151">
        <w:tc>
          <w:tcPr>
            <w:tcW w:w="882" w:type="pct"/>
          </w:tcPr>
          <w:p w14:paraId="35EAEAAF" w14:textId="77777777" w:rsidR="00415019" w:rsidRPr="00CC2151" w:rsidRDefault="00415019" w:rsidP="00C159AF">
            <w:pPr>
              <w:pStyle w:val="GazetteTableText"/>
              <w:rPr>
                <w:sz w:val="16"/>
                <w:szCs w:val="16"/>
                <w:u w:color="000000"/>
              </w:rPr>
            </w:pPr>
            <w:r w:rsidRPr="00CC2151">
              <w:rPr>
                <w:sz w:val="16"/>
                <w:szCs w:val="16"/>
                <w:u w:color="000000"/>
              </w:rPr>
              <w:t>33198</w:t>
            </w:r>
          </w:p>
        </w:tc>
        <w:tc>
          <w:tcPr>
            <w:tcW w:w="1583" w:type="pct"/>
          </w:tcPr>
          <w:p w14:paraId="103A0395" w14:textId="77777777" w:rsidR="00415019" w:rsidRPr="00CC2151" w:rsidRDefault="00415019" w:rsidP="00C159AF">
            <w:pPr>
              <w:pStyle w:val="GazetteTableText"/>
              <w:rPr>
                <w:sz w:val="16"/>
                <w:szCs w:val="16"/>
                <w:u w:color="000000"/>
              </w:rPr>
            </w:pPr>
            <w:proofErr w:type="spellStart"/>
            <w:r w:rsidRPr="00CC2151">
              <w:rPr>
                <w:sz w:val="16"/>
                <w:szCs w:val="16"/>
                <w:u w:color="000000"/>
              </w:rPr>
              <w:t>Heiniger</w:t>
            </w:r>
            <w:proofErr w:type="spellEnd"/>
            <w:r w:rsidRPr="00CC2151">
              <w:rPr>
                <w:sz w:val="16"/>
                <w:szCs w:val="16"/>
                <w:u w:color="000000"/>
              </w:rPr>
              <w:t xml:space="preserve"> </w:t>
            </w:r>
            <w:proofErr w:type="spellStart"/>
            <w:r w:rsidRPr="00CC2151">
              <w:rPr>
                <w:sz w:val="16"/>
                <w:szCs w:val="16"/>
                <w:u w:color="000000"/>
              </w:rPr>
              <w:t>Banant</w:t>
            </w:r>
            <w:proofErr w:type="spellEnd"/>
            <w:r w:rsidRPr="00CC2151">
              <w:rPr>
                <w:sz w:val="16"/>
                <w:szCs w:val="16"/>
                <w:u w:color="000000"/>
              </w:rPr>
              <w:t xml:space="preserve"> Granules</w:t>
            </w:r>
          </w:p>
        </w:tc>
        <w:tc>
          <w:tcPr>
            <w:tcW w:w="1359" w:type="pct"/>
          </w:tcPr>
          <w:p w14:paraId="1CA833F6" w14:textId="77777777" w:rsidR="00415019" w:rsidRPr="00CC2151" w:rsidRDefault="00415019" w:rsidP="00C159AF">
            <w:pPr>
              <w:pStyle w:val="GazetteTableText"/>
              <w:rPr>
                <w:sz w:val="16"/>
                <w:szCs w:val="16"/>
                <w:u w:color="000000"/>
              </w:rPr>
            </w:pPr>
            <w:proofErr w:type="spellStart"/>
            <w:r w:rsidRPr="00CC2151">
              <w:rPr>
                <w:sz w:val="16"/>
                <w:szCs w:val="16"/>
                <w:u w:color="000000"/>
              </w:rPr>
              <w:t>Heiniger</w:t>
            </w:r>
            <w:proofErr w:type="spellEnd"/>
            <w:r w:rsidRPr="00CC2151">
              <w:rPr>
                <w:sz w:val="16"/>
                <w:szCs w:val="16"/>
                <w:u w:color="000000"/>
              </w:rPr>
              <w:t xml:space="preserve"> Australia Pty Ltd</w:t>
            </w:r>
          </w:p>
        </w:tc>
        <w:tc>
          <w:tcPr>
            <w:tcW w:w="1176" w:type="pct"/>
          </w:tcPr>
          <w:p w14:paraId="7BDE2D1F" w14:textId="77777777" w:rsidR="00415019" w:rsidRPr="00CC2151" w:rsidRDefault="00415019" w:rsidP="00C159AF">
            <w:pPr>
              <w:pStyle w:val="GazetteTableText"/>
              <w:rPr>
                <w:sz w:val="16"/>
                <w:szCs w:val="16"/>
                <w:u w:color="000000"/>
              </w:rPr>
            </w:pPr>
            <w:r w:rsidRPr="00CC2151">
              <w:rPr>
                <w:sz w:val="16"/>
                <w:szCs w:val="16"/>
                <w:u w:color="000000"/>
              </w:rPr>
              <w:t>33198/0709</w:t>
            </w:r>
            <w:r w:rsidRPr="00CC2151">
              <w:rPr>
                <w:sz w:val="16"/>
                <w:szCs w:val="16"/>
                <w:u w:color="000000"/>
              </w:rPr>
              <w:br/>
              <w:t>33198/0402</w:t>
            </w:r>
            <w:r w:rsidRPr="00CC2151">
              <w:rPr>
                <w:sz w:val="16"/>
                <w:szCs w:val="16"/>
                <w:u w:color="000000"/>
              </w:rPr>
              <w:br/>
              <w:t>33198/1100</w:t>
            </w:r>
          </w:p>
        </w:tc>
      </w:tr>
      <w:tr w:rsidR="00415019" w:rsidRPr="00CC2151" w14:paraId="5361B6F1" w14:textId="77777777" w:rsidTr="00CC2151">
        <w:tc>
          <w:tcPr>
            <w:tcW w:w="882" w:type="pct"/>
          </w:tcPr>
          <w:p w14:paraId="67153690" w14:textId="77777777" w:rsidR="00415019" w:rsidRPr="00CC2151" w:rsidRDefault="00415019" w:rsidP="00C159AF">
            <w:pPr>
              <w:pStyle w:val="GazetteTableText"/>
              <w:rPr>
                <w:sz w:val="16"/>
                <w:szCs w:val="16"/>
                <w:u w:color="000000"/>
              </w:rPr>
            </w:pPr>
            <w:r w:rsidRPr="00CC2151">
              <w:rPr>
                <w:sz w:val="16"/>
                <w:szCs w:val="16"/>
                <w:u w:color="000000"/>
              </w:rPr>
              <w:t>39222</w:t>
            </w:r>
          </w:p>
        </w:tc>
        <w:tc>
          <w:tcPr>
            <w:tcW w:w="1583" w:type="pct"/>
          </w:tcPr>
          <w:p w14:paraId="33DB2C26" w14:textId="77777777" w:rsidR="00415019" w:rsidRPr="00CC2151" w:rsidRDefault="00415019" w:rsidP="00C159AF">
            <w:pPr>
              <w:pStyle w:val="GazetteTableText"/>
              <w:rPr>
                <w:sz w:val="16"/>
                <w:szCs w:val="16"/>
                <w:u w:color="000000"/>
              </w:rPr>
            </w:pPr>
            <w:r w:rsidRPr="00CC2151">
              <w:rPr>
                <w:sz w:val="16"/>
                <w:szCs w:val="16"/>
                <w:u w:color="000000"/>
              </w:rPr>
              <w:t xml:space="preserve">David </w:t>
            </w:r>
            <w:proofErr w:type="spellStart"/>
            <w:r w:rsidRPr="00CC2151">
              <w:rPr>
                <w:sz w:val="16"/>
                <w:szCs w:val="16"/>
                <w:u w:color="000000"/>
              </w:rPr>
              <w:t>Grays</w:t>
            </w:r>
            <w:proofErr w:type="spellEnd"/>
            <w:r w:rsidRPr="00CC2151">
              <w:rPr>
                <w:sz w:val="16"/>
                <w:szCs w:val="16"/>
                <w:u w:color="000000"/>
              </w:rPr>
              <w:t xml:space="preserve"> </w:t>
            </w:r>
            <w:proofErr w:type="spellStart"/>
            <w:r w:rsidRPr="00CC2151">
              <w:rPr>
                <w:sz w:val="16"/>
                <w:szCs w:val="16"/>
                <w:u w:color="000000"/>
              </w:rPr>
              <w:t>Antex</w:t>
            </w:r>
            <w:proofErr w:type="spellEnd"/>
            <w:r w:rsidRPr="00CC2151">
              <w:rPr>
                <w:sz w:val="16"/>
                <w:szCs w:val="16"/>
                <w:u w:color="000000"/>
              </w:rPr>
              <w:t xml:space="preserve"> Granules</w:t>
            </w:r>
          </w:p>
        </w:tc>
        <w:tc>
          <w:tcPr>
            <w:tcW w:w="1359" w:type="pct"/>
          </w:tcPr>
          <w:p w14:paraId="7A396E9D" w14:textId="77777777" w:rsidR="00415019" w:rsidRPr="00CC2151" w:rsidRDefault="00415019" w:rsidP="00C159AF">
            <w:pPr>
              <w:pStyle w:val="GazetteTableText"/>
              <w:rPr>
                <w:sz w:val="16"/>
                <w:szCs w:val="16"/>
                <w:u w:color="000000"/>
              </w:rPr>
            </w:pPr>
            <w:r w:rsidRPr="00CC2151">
              <w:rPr>
                <w:sz w:val="16"/>
                <w:szCs w:val="16"/>
                <w:u w:color="000000"/>
              </w:rPr>
              <w:t xml:space="preserve">David </w:t>
            </w:r>
            <w:proofErr w:type="spellStart"/>
            <w:r w:rsidRPr="00CC2151">
              <w:rPr>
                <w:sz w:val="16"/>
                <w:szCs w:val="16"/>
                <w:u w:color="000000"/>
              </w:rPr>
              <w:t>Gray</w:t>
            </w:r>
            <w:proofErr w:type="spellEnd"/>
            <w:r w:rsidRPr="00CC2151">
              <w:rPr>
                <w:sz w:val="16"/>
                <w:szCs w:val="16"/>
                <w:u w:color="000000"/>
              </w:rPr>
              <w:t xml:space="preserve"> &amp; Co. Pty Limited</w:t>
            </w:r>
          </w:p>
        </w:tc>
        <w:tc>
          <w:tcPr>
            <w:tcW w:w="1176" w:type="pct"/>
          </w:tcPr>
          <w:p w14:paraId="085581D0" w14:textId="77777777" w:rsidR="00415019" w:rsidRPr="00CC2151" w:rsidRDefault="00415019" w:rsidP="00C159AF">
            <w:pPr>
              <w:pStyle w:val="GazetteTableText"/>
              <w:rPr>
                <w:sz w:val="16"/>
                <w:szCs w:val="16"/>
                <w:u w:color="000000"/>
              </w:rPr>
            </w:pPr>
            <w:r w:rsidRPr="00CC2151">
              <w:rPr>
                <w:sz w:val="16"/>
                <w:szCs w:val="16"/>
                <w:u w:color="000000"/>
              </w:rPr>
              <w:t>39222/1000</w:t>
            </w:r>
          </w:p>
        </w:tc>
      </w:tr>
      <w:tr w:rsidR="00415019" w:rsidRPr="00CC2151" w14:paraId="72909C9F" w14:textId="77777777" w:rsidTr="00CC2151">
        <w:tc>
          <w:tcPr>
            <w:tcW w:w="882" w:type="pct"/>
          </w:tcPr>
          <w:p w14:paraId="66B42619" w14:textId="77777777" w:rsidR="00415019" w:rsidRPr="00CC2151" w:rsidRDefault="00415019" w:rsidP="00C159AF">
            <w:pPr>
              <w:pStyle w:val="GazetteTableText"/>
              <w:rPr>
                <w:sz w:val="16"/>
                <w:szCs w:val="16"/>
                <w:u w:color="000000"/>
              </w:rPr>
            </w:pPr>
            <w:r w:rsidRPr="00CC2151">
              <w:rPr>
                <w:sz w:val="16"/>
                <w:szCs w:val="16"/>
                <w:u w:color="000000"/>
              </w:rPr>
              <w:t>45449</w:t>
            </w:r>
          </w:p>
        </w:tc>
        <w:tc>
          <w:tcPr>
            <w:tcW w:w="1583" w:type="pct"/>
          </w:tcPr>
          <w:p w14:paraId="28267229" w14:textId="77777777" w:rsidR="00415019" w:rsidRPr="00CC2151" w:rsidRDefault="00415019" w:rsidP="00C159AF">
            <w:pPr>
              <w:pStyle w:val="GazetteTableText"/>
              <w:rPr>
                <w:sz w:val="16"/>
                <w:szCs w:val="16"/>
                <w:u w:color="000000"/>
              </w:rPr>
            </w:pPr>
            <w:proofErr w:type="spellStart"/>
            <w:r w:rsidRPr="00CC2151">
              <w:rPr>
                <w:sz w:val="16"/>
                <w:szCs w:val="16"/>
                <w:u w:color="000000"/>
              </w:rPr>
              <w:t>Brunnings</w:t>
            </w:r>
            <w:proofErr w:type="spellEnd"/>
            <w:r w:rsidRPr="00CC2151">
              <w:rPr>
                <w:sz w:val="16"/>
                <w:szCs w:val="16"/>
                <w:u w:color="000000"/>
              </w:rPr>
              <w:t xml:space="preserve"> Lawn Grub Destroyer</w:t>
            </w:r>
          </w:p>
        </w:tc>
        <w:tc>
          <w:tcPr>
            <w:tcW w:w="1359" w:type="pct"/>
          </w:tcPr>
          <w:p w14:paraId="65F66A01" w14:textId="77777777" w:rsidR="00415019" w:rsidRPr="00CC2151" w:rsidRDefault="00415019" w:rsidP="00C159AF">
            <w:pPr>
              <w:pStyle w:val="GazetteTableText"/>
              <w:rPr>
                <w:sz w:val="16"/>
                <w:szCs w:val="16"/>
                <w:u w:color="000000"/>
              </w:rPr>
            </w:pPr>
            <w:proofErr w:type="spellStart"/>
            <w:r w:rsidRPr="00CC2151">
              <w:rPr>
                <w:sz w:val="16"/>
                <w:szCs w:val="16"/>
                <w:u w:color="000000"/>
              </w:rPr>
              <w:t>Brunnings</w:t>
            </w:r>
            <w:proofErr w:type="spellEnd"/>
            <w:r w:rsidRPr="00CC2151">
              <w:rPr>
                <w:sz w:val="16"/>
                <w:szCs w:val="16"/>
                <w:u w:color="000000"/>
              </w:rPr>
              <w:t xml:space="preserve"> Garden Products Pty Ltd</w:t>
            </w:r>
          </w:p>
        </w:tc>
        <w:tc>
          <w:tcPr>
            <w:tcW w:w="1176" w:type="pct"/>
          </w:tcPr>
          <w:p w14:paraId="394DA3C5" w14:textId="77777777" w:rsidR="00415019" w:rsidRPr="00CC2151" w:rsidRDefault="00415019" w:rsidP="00C159AF">
            <w:pPr>
              <w:pStyle w:val="GazetteTableText"/>
              <w:rPr>
                <w:sz w:val="16"/>
                <w:szCs w:val="16"/>
                <w:u w:color="000000"/>
              </w:rPr>
            </w:pPr>
            <w:r w:rsidRPr="00CC2151">
              <w:rPr>
                <w:sz w:val="16"/>
                <w:szCs w:val="16"/>
                <w:u w:color="000000"/>
              </w:rPr>
              <w:t>45449/0502</w:t>
            </w:r>
            <w:r w:rsidRPr="00CC2151">
              <w:rPr>
                <w:sz w:val="16"/>
                <w:szCs w:val="16"/>
                <w:u w:color="000000"/>
              </w:rPr>
              <w:br/>
              <w:t>45449/0102</w:t>
            </w:r>
          </w:p>
        </w:tc>
      </w:tr>
      <w:tr w:rsidR="00415019" w:rsidRPr="00CC2151" w14:paraId="3ACF94CC" w14:textId="77777777" w:rsidTr="00CC2151">
        <w:tc>
          <w:tcPr>
            <w:tcW w:w="882" w:type="pct"/>
          </w:tcPr>
          <w:p w14:paraId="30D57AB8" w14:textId="77777777" w:rsidR="00415019" w:rsidRPr="00CC2151" w:rsidRDefault="00415019" w:rsidP="00C159AF">
            <w:pPr>
              <w:pStyle w:val="GazetteTableText"/>
              <w:rPr>
                <w:sz w:val="16"/>
                <w:szCs w:val="16"/>
                <w:u w:color="000000"/>
              </w:rPr>
            </w:pPr>
            <w:r w:rsidRPr="00CC2151">
              <w:rPr>
                <w:sz w:val="16"/>
                <w:szCs w:val="16"/>
                <w:u w:color="000000"/>
              </w:rPr>
              <w:t>47528</w:t>
            </w:r>
          </w:p>
        </w:tc>
        <w:tc>
          <w:tcPr>
            <w:tcW w:w="1583" w:type="pct"/>
          </w:tcPr>
          <w:p w14:paraId="08D1C189" w14:textId="77777777" w:rsidR="00415019" w:rsidRPr="00CC2151" w:rsidRDefault="00415019" w:rsidP="00C159AF">
            <w:pPr>
              <w:pStyle w:val="GazetteTableText"/>
              <w:rPr>
                <w:sz w:val="16"/>
                <w:szCs w:val="16"/>
                <w:u w:color="000000"/>
              </w:rPr>
            </w:pPr>
            <w:proofErr w:type="spellStart"/>
            <w:r w:rsidRPr="00CC2151">
              <w:rPr>
                <w:sz w:val="16"/>
                <w:szCs w:val="16"/>
                <w:u w:color="000000"/>
              </w:rPr>
              <w:t>Heiniger</w:t>
            </w:r>
            <w:proofErr w:type="spellEnd"/>
            <w:r w:rsidRPr="00CC2151">
              <w:rPr>
                <w:sz w:val="16"/>
                <w:szCs w:val="16"/>
                <w:u w:color="000000"/>
              </w:rPr>
              <w:t xml:space="preserve"> Lawn Beetle Blitz Insecticide</w:t>
            </w:r>
          </w:p>
        </w:tc>
        <w:tc>
          <w:tcPr>
            <w:tcW w:w="1359" w:type="pct"/>
          </w:tcPr>
          <w:p w14:paraId="71FA4C54" w14:textId="77777777" w:rsidR="00415019" w:rsidRPr="00CC2151" w:rsidRDefault="00415019" w:rsidP="00C159AF">
            <w:pPr>
              <w:pStyle w:val="GazetteTableText"/>
              <w:rPr>
                <w:sz w:val="16"/>
                <w:szCs w:val="16"/>
                <w:u w:color="000000"/>
              </w:rPr>
            </w:pPr>
            <w:proofErr w:type="spellStart"/>
            <w:r w:rsidRPr="00CC2151">
              <w:rPr>
                <w:sz w:val="16"/>
                <w:szCs w:val="16"/>
                <w:u w:color="000000"/>
              </w:rPr>
              <w:t>Heiniger</w:t>
            </w:r>
            <w:proofErr w:type="spellEnd"/>
            <w:r w:rsidRPr="00CC2151">
              <w:rPr>
                <w:sz w:val="16"/>
                <w:szCs w:val="16"/>
                <w:u w:color="000000"/>
              </w:rPr>
              <w:t xml:space="preserve"> Australia Pty Ltd</w:t>
            </w:r>
          </w:p>
        </w:tc>
        <w:tc>
          <w:tcPr>
            <w:tcW w:w="1176" w:type="pct"/>
          </w:tcPr>
          <w:p w14:paraId="2A4F2F1F" w14:textId="77777777" w:rsidR="00415019" w:rsidRPr="00CC2151" w:rsidRDefault="00415019" w:rsidP="00C159AF">
            <w:pPr>
              <w:pStyle w:val="GazetteTableText"/>
              <w:rPr>
                <w:sz w:val="16"/>
                <w:szCs w:val="16"/>
                <w:u w:color="000000"/>
              </w:rPr>
            </w:pPr>
            <w:r w:rsidRPr="00CC2151">
              <w:rPr>
                <w:sz w:val="16"/>
                <w:szCs w:val="16"/>
                <w:u w:color="000000"/>
              </w:rPr>
              <w:t>47528/1208</w:t>
            </w:r>
            <w:r w:rsidRPr="00CC2151">
              <w:rPr>
                <w:sz w:val="16"/>
                <w:szCs w:val="16"/>
                <w:u w:color="000000"/>
              </w:rPr>
              <w:br/>
              <w:t>47528/1200</w:t>
            </w:r>
          </w:p>
        </w:tc>
      </w:tr>
      <w:tr w:rsidR="00415019" w:rsidRPr="00CC2151" w14:paraId="54DEB7B5" w14:textId="77777777" w:rsidTr="00CC2151">
        <w:tc>
          <w:tcPr>
            <w:tcW w:w="882" w:type="pct"/>
          </w:tcPr>
          <w:p w14:paraId="488C3C76" w14:textId="77777777" w:rsidR="00415019" w:rsidRPr="00CC2151" w:rsidRDefault="00415019" w:rsidP="00C159AF">
            <w:pPr>
              <w:pStyle w:val="GazetteTableText"/>
              <w:rPr>
                <w:sz w:val="16"/>
                <w:szCs w:val="16"/>
                <w:u w:color="000000"/>
              </w:rPr>
            </w:pPr>
            <w:r w:rsidRPr="00CC2151">
              <w:rPr>
                <w:sz w:val="16"/>
                <w:szCs w:val="16"/>
                <w:u w:color="000000"/>
              </w:rPr>
              <w:t>52167</w:t>
            </w:r>
          </w:p>
        </w:tc>
        <w:tc>
          <w:tcPr>
            <w:tcW w:w="1583" w:type="pct"/>
          </w:tcPr>
          <w:p w14:paraId="46F8595A" w14:textId="77777777" w:rsidR="00415019" w:rsidRPr="00CC2151" w:rsidRDefault="00415019" w:rsidP="00C159AF">
            <w:pPr>
              <w:pStyle w:val="GazetteTableText"/>
              <w:rPr>
                <w:sz w:val="16"/>
                <w:szCs w:val="16"/>
                <w:u w:color="000000"/>
              </w:rPr>
            </w:pPr>
            <w:proofErr w:type="spellStart"/>
            <w:r w:rsidRPr="00CC2151">
              <w:rPr>
                <w:sz w:val="16"/>
                <w:szCs w:val="16"/>
                <w:u w:color="000000"/>
              </w:rPr>
              <w:t>Munns</w:t>
            </w:r>
            <w:proofErr w:type="spellEnd"/>
            <w:r w:rsidRPr="00CC2151">
              <w:rPr>
                <w:sz w:val="16"/>
                <w:szCs w:val="16"/>
                <w:u w:color="000000"/>
              </w:rPr>
              <w:t xml:space="preserve"> Lawn Grubs, Lawn Beetle Grubs &amp; Slater Killer With Long Life Organically Advanced Weta-Lawn</w:t>
            </w:r>
          </w:p>
        </w:tc>
        <w:tc>
          <w:tcPr>
            <w:tcW w:w="1359" w:type="pct"/>
          </w:tcPr>
          <w:p w14:paraId="4088AD68" w14:textId="77777777" w:rsidR="00415019" w:rsidRPr="00CC2151" w:rsidRDefault="00415019" w:rsidP="00C159AF">
            <w:pPr>
              <w:pStyle w:val="GazetteTableText"/>
              <w:rPr>
                <w:sz w:val="16"/>
                <w:szCs w:val="16"/>
                <w:u w:color="000000"/>
              </w:rPr>
            </w:pPr>
            <w:proofErr w:type="spellStart"/>
            <w:r w:rsidRPr="00CC2151">
              <w:rPr>
                <w:sz w:val="16"/>
                <w:szCs w:val="16"/>
                <w:u w:color="000000"/>
              </w:rPr>
              <w:t>Duluxgroup</w:t>
            </w:r>
            <w:proofErr w:type="spellEnd"/>
            <w:r w:rsidRPr="00CC2151">
              <w:rPr>
                <w:sz w:val="16"/>
                <w:szCs w:val="16"/>
                <w:u w:color="000000"/>
              </w:rPr>
              <w:t xml:space="preserve"> (Australia) Pty Ltd</w:t>
            </w:r>
          </w:p>
        </w:tc>
        <w:tc>
          <w:tcPr>
            <w:tcW w:w="1176" w:type="pct"/>
          </w:tcPr>
          <w:p w14:paraId="56715535" w14:textId="77777777" w:rsidR="00415019" w:rsidRPr="00CC2151" w:rsidRDefault="00415019" w:rsidP="00C159AF">
            <w:pPr>
              <w:pStyle w:val="GazetteTableText"/>
              <w:rPr>
                <w:sz w:val="16"/>
                <w:szCs w:val="16"/>
                <w:u w:color="000000"/>
              </w:rPr>
            </w:pPr>
            <w:r w:rsidRPr="00CC2151">
              <w:rPr>
                <w:sz w:val="16"/>
                <w:szCs w:val="16"/>
                <w:u w:color="000000"/>
              </w:rPr>
              <w:t>52167/58862</w:t>
            </w:r>
          </w:p>
        </w:tc>
      </w:tr>
      <w:tr w:rsidR="00415019" w:rsidRPr="00CC2151" w14:paraId="5C1D781B" w14:textId="77777777" w:rsidTr="00CC2151">
        <w:tc>
          <w:tcPr>
            <w:tcW w:w="882" w:type="pct"/>
          </w:tcPr>
          <w:p w14:paraId="7F3A7257" w14:textId="77777777" w:rsidR="00415019" w:rsidRPr="00CC2151" w:rsidRDefault="00415019" w:rsidP="00C159AF">
            <w:pPr>
              <w:pStyle w:val="GazetteTableText"/>
              <w:rPr>
                <w:sz w:val="16"/>
                <w:szCs w:val="16"/>
                <w:u w:color="000000"/>
              </w:rPr>
            </w:pPr>
            <w:r w:rsidRPr="00CC2151">
              <w:rPr>
                <w:sz w:val="16"/>
                <w:szCs w:val="16"/>
                <w:u w:color="000000"/>
              </w:rPr>
              <w:t>52564</w:t>
            </w:r>
          </w:p>
        </w:tc>
        <w:tc>
          <w:tcPr>
            <w:tcW w:w="1583" w:type="pct"/>
          </w:tcPr>
          <w:p w14:paraId="004180C6" w14:textId="77777777" w:rsidR="00415019" w:rsidRPr="00CC2151" w:rsidRDefault="00415019" w:rsidP="00C159AF">
            <w:pPr>
              <w:pStyle w:val="GazetteTableText"/>
              <w:rPr>
                <w:sz w:val="16"/>
                <w:szCs w:val="16"/>
                <w:u w:color="000000"/>
              </w:rPr>
            </w:pPr>
            <w:r w:rsidRPr="00CC2151">
              <w:rPr>
                <w:sz w:val="16"/>
                <w:szCs w:val="16"/>
                <w:u w:color="000000"/>
              </w:rPr>
              <w:t xml:space="preserve">David </w:t>
            </w:r>
            <w:proofErr w:type="spellStart"/>
            <w:r w:rsidRPr="00CC2151">
              <w:rPr>
                <w:sz w:val="16"/>
                <w:szCs w:val="16"/>
                <w:u w:color="000000"/>
              </w:rPr>
              <w:t>Grays</w:t>
            </w:r>
            <w:proofErr w:type="spellEnd"/>
            <w:r w:rsidRPr="00CC2151">
              <w:rPr>
                <w:sz w:val="16"/>
                <w:szCs w:val="16"/>
                <w:u w:color="000000"/>
              </w:rPr>
              <w:t xml:space="preserve"> </w:t>
            </w:r>
            <w:proofErr w:type="spellStart"/>
            <w:r w:rsidRPr="00CC2151">
              <w:rPr>
                <w:sz w:val="16"/>
                <w:szCs w:val="16"/>
                <w:u w:color="000000"/>
              </w:rPr>
              <w:t>Antex</w:t>
            </w:r>
            <w:proofErr w:type="spellEnd"/>
            <w:r w:rsidRPr="00CC2151">
              <w:rPr>
                <w:sz w:val="16"/>
                <w:szCs w:val="16"/>
                <w:u w:color="000000"/>
              </w:rPr>
              <w:t xml:space="preserve"> 50 Granular Professional Insecticide</w:t>
            </w:r>
          </w:p>
        </w:tc>
        <w:tc>
          <w:tcPr>
            <w:tcW w:w="1359" w:type="pct"/>
          </w:tcPr>
          <w:p w14:paraId="6BF5E77F" w14:textId="77777777" w:rsidR="00415019" w:rsidRPr="00CC2151" w:rsidRDefault="00415019" w:rsidP="00C159AF">
            <w:pPr>
              <w:pStyle w:val="GazetteTableText"/>
              <w:rPr>
                <w:sz w:val="16"/>
                <w:szCs w:val="16"/>
                <w:u w:color="000000"/>
              </w:rPr>
            </w:pPr>
            <w:r w:rsidRPr="00CC2151">
              <w:rPr>
                <w:sz w:val="16"/>
                <w:szCs w:val="16"/>
                <w:u w:color="000000"/>
              </w:rPr>
              <w:t xml:space="preserve">David </w:t>
            </w:r>
            <w:proofErr w:type="spellStart"/>
            <w:r w:rsidRPr="00CC2151">
              <w:rPr>
                <w:sz w:val="16"/>
                <w:szCs w:val="16"/>
                <w:u w:color="000000"/>
              </w:rPr>
              <w:t>Gray</w:t>
            </w:r>
            <w:proofErr w:type="spellEnd"/>
            <w:r w:rsidRPr="00CC2151">
              <w:rPr>
                <w:sz w:val="16"/>
                <w:szCs w:val="16"/>
                <w:u w:color="000000"/>
              </w:rPr>
              <w:t xml:space="preserve"> &amp; Co. Pty Limited</w:t>
            </w:r>
          </w:p>
        </w:tc>
        <w:tc>
          <w:tcPr>
            <w:tcW w:w="1176" w:type="pct"/>
          </w:tcPr>
          <w:p w14:paraId="53BEDC7D" w14:textId="77777777" w:rsidR="00415019" w:rsidRPr="00CC2151" w:rsidRDefault="00415019" w:rsidP="00C159AF">
            <w:pPr>
              <w:pStyle w:val="GazetteTableText"/>
              <w:rPr>
                <w:sz w:val="16"/>
                <w:szCs w:val="16"/>
                <w:u w:color="000000"/>
              </w:rPr>
            </w:pPr>
            <w:r w:rsidRPr="00CC2151">
              <w:rPr>
                <w:sz w:val="16"/>
                <w:szCs w:val="16"/>
                <w:u w:color="000000"/>
              </w:rPr>
              <w:t>52564/0401</w:t>
            </w:r>
          </w:p>
        </w:tc>
      </w:tr>
      <w:tr w:rsidR="00415019" w:rsidRPr="00CC2151" w14:paraId="56A2248F" w14:textId="77777777" w:rsidTr="00CC2151">
        <w:tc>
          <w:tcPr>
            <w:tcW w:w="882" w:type="pct"/>
          </w:tcPr>
          <w:p w14:paraId="719595B2" w14:textId="77777777" w:rsidR="00415019" w:rsidRPr="00CC2151" w:rsidRDefault="00415019" w:rsidP="00C159AF">
            <w:pPr>
              <w:pStyle w:val="GazetteTableText"/>
              <w:rPr>
                <w:sz w:val="16"/>
                <w:szCs w:val="16"/>
                <w:u w:color="000000"/>
              </w:rPr>
            </w:pPr>
            <w:r w:rsidRPr="00CC2151">
              <w:rPr>
                <w:sz w:val="16"/>
                <w:szCs w:val="16"/>
                <w:u w:color="000000"/>
              </w:rPr>
              <w:t>55444</w:t>
            </w:r>
          </w:p>
        </w:tc>
        <w:tc>
          <w:tcPr>
            <w:tcW w:w="1583" w:type="pct"/>
          </w:tcPr>
          <w:p w14:paraId="129CD177" w14:textId="77777777" w:rsidR="00415019" w:rsidRPr="00CC2151" w:rsidRDefault="00415019" w:rsidP="00C159AF">
            <w:pPr>
              <w:pStyle w:val="GazetteTableText"/>
              <w:rPr>
                <w:sz w:val="16"/>
                <w:szCs w:val="16"/>
                <w:u w:color="000000"/>
              </w:rPr>
            </w:pPr>
            <w:proofErr w:type="spellStart"/>
            <w:r w:rsidRPr="00CC2151">
              <w:rPr>
                <w:sz w:val="16"/>
                <w:szCs w:val="16"/>
                <w:u w:color="000000"/>
              </w:rPr>
              <w:t>Searles</w:t>
            </w:r>
            <w:proofErr w:type="spellEnd"/>
            <w:r w:rsidRPr="00CC2151">
              <w:rPr>
                <w:sz w:val="16"/>
                <w:szCs w:val="16"/>
                <w:u w:color="000000"/>
              </w:rPr>
              <w:t xml:space="preserve"> Ant Kill 50 Granules</w:t>
            </w:r>
          </w:p>
        </w:tc>
        <w:tc>
          <w:tcPr>
            <w:tcW w:w="1359" w:type="pct"/>
          </w:tcPr>
          <w:p w14:paraId="251C8931" w14:textId="77777777" w:rsidR="00415019" w:rsidRPr="00CC2151" w:rsidRDefault="00415019" w:rsidP="00C159AF">
            <w:pPr>
              <w:pStyle w:val="GazetteTableText"/>
              <w:rPr>
                <w:sz w:val="16"/>
                <w:szCs w:val="16"/>
                <w:u w:color="000000"/>
              </w:rPr>
            </w:pPr>
            <w:r w:rsidRPr="00CC2151">
              <w:rPr>
                <w:sz w:val="16"/>
                <w:szCs w:val="16"/>
                <w:u w:color="000000"/>
              </w:rPr>
              <w:t>J C &amp; A T Searle Pty Ltd</w:t>
            </w:r>
          </w:p>
        </w:tc>
        <w:tc>
          <w:tcPr>
            <w:tcW w:w="1176" w:type="pct"/>
          </w:tcPr>
          <w:p w14:paraId="52C7D0CD" w14:textId="77777777" w:rsidR="00415019" w:rsidRPr="00CC2151" w:rsidRDefault="00415019" w:rsidP="00C159AF">
            <w:pPr>
              <w:pStyle w:val="GazetteTableText"/>
              <w:rPr>
                <w:sz w:val="16"/>
                <w:szCs w:val="16"/>
                <w:u w:color="000000"/>
              </w:rPr>
            </w:pPr>
            <w:r w:rsidRPr="00CC2151">
              <w:rPr>
                <w:sz w:val="16"/>
                <w:szCs w:val="16"/>
                <w:u w:color="000000"/>
              </w:rPr>
              <w:t>55444/0206</w:t>
            </w:r>
            <w:r w:rsidRPr="00CC2151">
              <w:rPr>
                <w:sz w:val="16"/>
                <w:szCs w:val="16"/>
                <w:u w:color="000000"/>
              </w:rPr>
              <w:br/>
              <w:t>55444/0602</w:t>
            </w:r>
          </w:p>
        </w:tc>
      </w:tr>
      <w:tr w:rsidR="00415019" w:rsidRPr="00CC2151" w14:paraId="41045043" w14:textId="77777777" w:rsidTr="00CC2151">
        <w:tc>
          <w:tcPr>
            <w:tcW w:w="882" w:type="pct"/>
          </w:tcPr>
          <w:p w14:paraId="256164DB" w14:textId="77777777" w:rsidR="00415019" w:rsidRPr="00CC2151" w:rsidRDefault="00415019" w:rsidP="00C159AF">
            <w:pPr>
              <w:pStyle w:val="GazetteTableText"/>
              <w:rPr>
                <w:sz w:val="16"/>
                <w:szCs w:val="16"/>
                <w:u w:color="000000"/>
              </w:rPr>
            </w:pPr>
            <w:r w:rsidRPr="00CC2151">
              <w:rPr>
                <w:sz w:val="16"/>
                <w:szCs w:val="16"/>
                <w:u w:color="000000"/>
              </w:rPr>
              <w:t>55961</w:t>
            </w:r>
          </w:p>
        </w:tc>
        <w:tc>
          <w:tcPr>
            <w:tcW w:w="1583" w:type="pct"/>
          </w:tcPr>
          <w:p w14:paraId="2466F669" w14:textId="77777777" w:rsidR="00415019" w:rsidRPr="00CC2151" w:rsidRDefault="00415019" w:rsidP="00C159AF">
            <w:pPr>
              <w:pStyle w:val="GazetteTableText"/>
              <w:rPr>
                <w:sz w:val="16"/>
                <w:szCs w:val="16"/>
                <w:u w:color="000000"/>
              </w:rPr>
            </w:pPr>
            <w:proofErr w:type="spellStart"/>
            <w:r w:rsidRPr="00CC2151">
              <w:rPr>
                <w:sz w:val="16"/>
                <w:szCs w:val="16"/>
                <w:u w:color="000000"/>
              </w:rPr>
              <w:t>Searles</w:t>
            </w:r>
            <w:proofErr w:type="spellEnd"/>
            <w:r w:rsidRPr="00CC2151">
              <w:rPr>
                <w:sz w:val="16"/>
                <w:szCs w:val="16"/>
                <w:u w:color="000000"/>
              </w:rPr>
              <w:t xml:space="preserve"> Lawn Grub Killer Granules</w:t>
            </w:r>
          </w:p>
        </w:tc>
        <w:tc>
          <w:tcPr>
            <w:tcW w:w="1359" w:type="pct"/>
          </w:tcPr>
          <w:p w14:paraId="1D07CD40" w14:textId="77777777" w:rsidR="00415019" w:rsidRPr="00CC2151" w:rsidRDefault="00415019" w:rsidP="00C159AF">
            <w:pPr>
              <w:pStyle w:val="GazetteTableText"/>
              <w:rPr>
                <w:sz w:val="16"/>
                <w:szCs w:val="16"/>
                <w:u w:color="000000"/>
              </w:rPr>
            </w:pPr>
            <w:r w:rsidRPr="00CC2151">
              <w:rPr>
                <w:sz w:val="16"/>
                <w:szCs w:val="16"/>
                <w:u w:color="000000"/>
              </w:rPr>
              <w:t>J C &amp; A T Searle Pty Ltd</w:t>
            </w:r>
          </w:p>
        </w:tc>
        <w:tc>
          <w:tcPr>
            <w:tcW w:w="1176" w:type="pct"/>
          </w:tcPr>
          <w:p w14:paraId="4F59BF14" w14:textId="77777777" w:rsidR="00415019" w:rsidRPr="00CC2151" w:rsidRDefault="00415019" w:rsidP="00C159AF">
            <w:pPr>
              <w:pStyle w:val="GazetteTableText"/>
              <w:rPr>
                <w:sz w:val="16"/>
                <w:szCs w:val="16"/>
                <w:u w:color="000000"/>
              </w:rPr>
            </w:pPr>
            <w:r w:rsidRPr="00CC2151">
              <w:rPr>
                <w:sz w:val="16"/>
                <w:szCs w:val="16"/>
                <w:u w:color="000000"/>
              </w:rPr>
              <w:t>55961/0206</w:t>
            </w:r>
            <w:r w:rsidRPr="00CC2151">
              <w:rPr>
                <w:sz w:val="16"/>
                <w:szCs w:val="16"/>
                <w:u w:color="000000"/>
              </w:rPr>
              <w:br/>
              <w:t>55961/0702</w:t>
            </w:r>
          </w:p>
        </w:tc>
      </w:tr>
      <w:tr w:rsidR="00415019" w:rsidRPr="00CC2151" w14:paraId="7339BBD5" w14:textId="77777777" w:rsidTr="00CC2151">
        <w:tc>
          <w:tcPr>
            <w:tcW w:w="882" w:type="pct"/>
          </w:tcPr>
          <w:p w14:paraId="5D87E6B1" w14:textId="77777777" w:rsidR="00415019" w:rsidRPr="00CC2151" w:rsidRDefault="00415019" w:rsidP="00C159AF">
            <w:pPr>
              <w:pStyle w:val="GazetteTableText"/>
              <w:rPr>
                <w:sz w:val="16"/>
                <w:szCs w:val="16"/>
                <w:u w:color="000000"/>
              </w:rPr>
            </w:pPr>
            <w:r w:rsidRPr="00CC2151">
              <w:rPr>
                <w:sz w:val="16"/>
                <w:szCs w:val="16"/>
                <w:u w:color="000000"/>
              </w:rPr>
              <w:lastRenderedPageBreak/>
              <w:t>56209</w:t>
            </w:r>
          </w:p>
        </w:tc>
        <w:tc>
          <w:tcPr>
            <w:tcW w:w="1583" w:type="pct"/>
          </w:tcPr>
          <w:p w14:paraId="41A9F1A9" w14:textId="77777777" w:rsidR="00415019" w:rsidRPr="00CC2151" w:rsidRDefault="00415019" w:rsidP="00C159AF">
            <w:pPr>
              <w:pStyle w:val="GazetteTableText"/>
              <w:rPr>
                <w:sz w:val="16"/>
                <w:szCs w:val="16"/>
                <w:u w:color="000000"/>
              </w:rPr>
            </w:pPr>
            <w:proofErr w:type="spellStart"/>
            <w:r w:rsidRPr="00CC2151">
              <w:rPr>
                <w:sz w:val="16"/>
                <w:szCs w:val="16"/>
                <w:u w:color="000000"/>
              </w:rPr>
              <w:t>Superway</w:t>
            </w:r>
            <w:proofErr w:type="spellEnd"/>
            <w:r w:rsidRPr="00CC2151">
              <w:rPr>
                <w:sz w:val="16"/>
                <w:szCs w:val="16"/>
                <w:u w:color="000000"/>
              </w:rPr>
              <w:t xml:space="preserve"> Grub, Ant And Pest Controller</w:t>
            </w:r>
          </w:p>
        </w:tc>
        <w:tc>
          <w:tcPr>
            <w:tcW w:w="1359" w:type="pct"/>
          </w:tcPr>
          <w:p w14:paraId="2FA8C6AC" w14:textId="77777777" w:rsidR="00415019" w:rsidRPr="00CC2151" w:rsidRDefault="004524D3" w:rsidP="00C159AF">
            <w:pPr>
              <w:pStyle w:val="GazetteTableText"/>
              <w:rPr>
                <w:sz w:val="16"/>
                <w:szCs w:val="16"/>
                <w:u w:color="000000"/>
              </w:rPr>
            </w:pPr>
            <w:proofErr w:type="spellStart"/>
            <w:r w:rsidRPr="004524D3">
              <w:rPr>
                <w:sz w:val="16"/>
                <w:szCs w:val="16"/>
                <w:u w:color="000000"/>
              </w:rPr>
              <w:t>Pooma</w:t>
            </w:r>
            <w:proofErr w:type="spellEnd"/>
            <w:r w:rsidRPr="004524D3">
              <w:rPr>
                <w:sz w:val="16"/>
                <w:szCs w:val="16"/>
                <w:u w:color="000000"/>
              </w:rPr>
              <w:t xml:space="preserve"> Fertilizers Pty Ltd</w:t>
            </w:r>
          </w:p>
        </w:tc>
        <w:tc>
          <w:tcPr>
            <w:tcW w:w="1176" w:type="pct"/>
          </w:tcPr>
          <w:p w14:paraId="78DA8BFF" w14:textId="77777777" w:rsidR="00415019" w:rsidRPr="00CC2151" w:rsidRDefault="00415019" w:rsidP="00C159AF">
            <w:pPr>
              <w:pStyle w:val="GazetteTableText"/>
              <w:rPr>
                <w:sz w:val="16"/>
                <w:szCs w:val="16"/>
                <w:u w:color="000000"/>
              </w:rPr>
            </w:pPr>
            <w:r w:rsidRPr="00CC2151">
              <w:rPr>
                <w:sz w:val="16"/>
                <w:szCs w:val="16"/>
                <w:u w:color="000000"/>
              </w:rPr>
              <w:t>56209/0509</w:t>
            </w:r>
            <w:r w:rsidRPr="00CC2151">
              <w:rPr>
                <w:sz w:val="16"/>
                <w:szCs w:val="16"/>
                <w:u w:color="000000"/>
              </w:rPr>
              <w:br/>
              <w:t>56209/0103</w:t>
            </w:r>
            <w:r w:rsidRPr="00CC2151">
              <w:rPr>
                <w:sz w:val="16"/>
                <w:szCs w:val="16"/>
                <w:u w:color="000000"/>
              </w:rPr>
              <w:br/>
            </w:r>
          </w:p>
        </w:tc>
      </w:tr>
      <w:tr w:rsidR="00415019" w:rsidRPr="00CC2151" w14:paraId="44574122" w14:textId="77777777" w:rsidTr="00CC2151">
        <w:tc>
          <w:tcPr>
            <w:tcW w:w="882" w:type="pct"/>
          </w:tcPr>
          <w:p w14:paraId="08E7C083" w14:textId="77777777" w:rsidR="00415019" w:rsidRPr="00CC2151" w:rsidRDefault="00415019" w:rsidP="00C159AF">
            <w:pPr>
              <w:pStyle w:val="GazetteTableText"/>
              <w:rPr>
                <w:sz w:val="16"/>
                <w:szCs w:val="16"/>
                <w:u w:color="000000"/>
              </w:rPr>
            </w:pPr>
            <w:r w:rsidRPr="00CC2151">
              <w:rPr>
                <w:sz w:val="16"/>
                <w:szCs w:val="16"/>
                <w:u w:color="000000"/>
              </w:rPr>
              <w:t>56495</w:t>
            </w:r>
          </w:p>
        </w:tc>
        <w:tc>
          <w:tcPr>
            <w:tcW w:w="1583" w:type="pct"/>
          </w:tcPr>
          <w:p w14:paraId="3DD104E2" w14:textId="77777777" w:rsidR="00415019" w:rsidRPr="00CC2151" w:rsidRDefault="00415019" w:rsidP="00C159AF">
            <w:pPr>
              <w:pStyle w:val="GazetteTableText"/>
              <w:rPr>
                <w:sz w:val="16"/>
                <w:szCs w:val="16"/>
                <w:u w:color="000000"/>
              </w:rPr>
            </w:pPr>
            <w:proofErr w:type="spellStart"/>
            <w:r w:rsidRPr="00CC2151">
              <w:rPr>
                <w:sz w:val="16"/>
                <w:szCs w:val="16"/>
                <w:u w:color="000000"/>
              </w:rPr>
              <w:t>Richgro</w:t>
            </w:r>
            <w:proofErr w:type="spellEnd"/>
            <w:r w:rsidRPr="00CC2151">
              <w:rPr>
                <w:sz w:val="16"/>
                <w:szCs w:val="16"/>
                <w:u w:color="000000"/>
              </w:rPr>
              <w:t xml:space="preserve"> Home Garden Ant Killer</w:t>
            </w:r>
          </w:p>
        </w:tc>
        <w:tc>
          <w:tcPr>
            <w:tcW w:w="1359" w:type="pct"/>
          </w:tcPr>
          <w:p w14:paraId="16B51AC9" w14:textId="77777777" w:rsidR="00415019" w:rsidRPr="00CC2151" w:rsidRDefault="00415019" w:rsidP="00C159AF">
            <w:pPr>
              <w:pStyle w:val="GazetteTableText"/>
              <w:rPr>
                <w:sz w:val="16"/>
                <w:szCs w:val="16"/>
                <w:u w:color="000000"/>
              </w:rPr>
            </w:pPr>
            <w:r w:rsidRPr="00CC2151">
              <w:rPr>
                <w:sz w:val="16"/>
                <w:szCs w:val="16"/>
                <w:u w:color="000000"/>
              </w:rPr>
              <w:t>A. Richards Pty Ltd</w:t>
            </w:r>
          </w:p>
        </w:tc>
        <w:tc>
          <w:tcPr>
            <w:tcW w:w="1176" w:type="pct"/>
          </w:tcPr>
          <w:p w14:paraId="3CD14BD7" w14:textId="77777777" w:rsidR="00415019" w:rsidRPr="00CC2151" w:rsidRDefault="00415019" w:rsidP="00C159AF">
            <w:pPr>
              <w:pStyle w:val="GazetteTableText"/>
              <w:rPr>
                <w:sz w:val="16"/>
                <w:szCs w:val="16"/>
                <w:u w:color="000000"/>
              </w:rPr>
            </w:pPr>
            <w:r w:rsidRPr="00CC2151">
              <w:rPr>
                <w:sz w:val="16"/>
                <w:szCs w:val="16"/>
                <w:u w:color="000000"/>
              </w:rPr>
              <w:t>56495/0206</w:t>
            </w:r>
            <w:r w:rsidRPr="00CC2151">
              <w:rPr>
                <w:sz w:val="16"/>
                <w:szCs w:val="16"/>
                <w:u w:color="000000"/>
              </w:rPr>
              <w:br/>
              <w:t>56495/0304</w:t>
            </w:r>
          </w:p>
        </w:tc>
      </w:tr>
      <w:tr w:rsidR="00415019" w:rsidRPr="00CC2151" w14:paraId="0BD677CA" w14:textId="77777777" w:rsidTr="00CC2151">
        <w:tc>
          <w:tcPr>
            <w:tcW w:w="882" w:type="pct"/>
          </w:tcPr>
          <w:p w14:paraId="626AA0DF" w14:textId="77777777" w:rsidR="00415019" w:rsidRPr="00CC2151" w:rsidRDefault="00415019" w:rsidP="00C159AF">
            <w:pPr>
              <w:pStyle w:val="GazetteTableText"/>
              <w:rPr>
                <w:sz w:val="16"/>
                <w:szCs w:val="16"/>
                <w:u w:color="000000"/>
              </w:rPr>
            </w:pPr>
            <w:r w:rsidRPr="00CC2151">
              <w:rPr>
                <w:sz w:val="16"/>
                <w:szCs w:val="16"/>
                <w:u w:color="000000"/>
              </w:rPr>
              <w:t>56616</w:t>
            </w:r>
          </w:p>
        </w:tc>
        <w:tc>
          <w:tcPr>
            <w:tcW w:w="1583" w:type="pct"/>
          </w:tcPr>
          <w:p w14:paraId="2FAA7DF4" w14:textId="77777777" w:rsidR="00415019" w:rsidRPr="00CC2151" w:rsidRDefault="00415019" w:rsidP="00C159AF">
            <w:pPr>
              <w:pStyle w:val="GazetteTableText"/>
              <w:rPr>
                <w:sz w:val="16"/>
                <w:szCs w:val="16"/>
                <w:u w:color="000000"/>
              </w:rPr>
            </w:pPr>
            <w:proofErr w:type="spellStart"/>
            <w:r w:rsidRPr="00CC2151">
              <w:rPr>
                <w:sz w:val="16"/>
                <w:szCs w:val="16"/>
                <w:u w:color="000000"/>
              </w:rPr>
              <w:t>Amgrow</w:t>
            </w:r>
            <w:proofErr w:type="spellEnd"/>
            <w:r w:rsidRPr="00CC2151">
              <w:rPr>
                <w:sz w:val="16"/>
                <w:szCs w:val="16"/>
                <w:u w:color="000000"/>
              </w:rPr>
              <w:t xml:space="preserve"> Patrol Lawn Grub &amp; Beetle Killer Granules</w:t>
            </w:r>
          </w:p>
        </w:tc>
        <w:tc>
          <w:tcPr>
            <w:tcW w:w="1359" w:type="pct"/>
          </w:tcPr>
          <w:p w14:paraId="3AAEC58B" w14:textId="77777777" w:rsidR="00415019" w:rsidRPr="00CC2151" w:rsidRDefault="00415019" w:rsidP="00C159AF">
            <w:pPr>
              <w:pStyle w:val="GazetteTableText"/>
              <w:rPr>
                <w:sz w:val="16"/>
                <w:szCs w:val="16"/>
                <w:u w:color="000000"/>
              </w:rPr>
            </w:pPr>
            <w:proofErr w:type="spellStart"/>
            <w:r w:rsidRPr="00CC2151">
              <w:rPr>
                <w:sz w:val="16"/>
                <w:szCs w:val="16"/>
                <w:u w:color="000000"/>
              </w:rPr>
              <w:t>Amgrow</w:t>
            </w:r>
            <w:proofErr w:type="spellEnd"/>
            <w:r w:rsidRPr="00CC2151">
              <w:rPr>
                <w:sz w:val="16"/>
                <w:szCs w:val="16"/>
                <w:u w:color="000000"/>
              </w:rPr>
              <w:t xml:space="preserve"> Pty Ltd</w:t>
            </w:r>
          </w:p>
        </w:tc>
        <w:tc>
          <w:tcPr>
            <w:tcW w:w="1176" w:type="pct"/>
          </w:tcPr>
          <w:p w14:paraId="5DDD3F69" w14:textId="77777777" w:rsidR="00415019" w:rsidRPr="00CC2151" w:rsidRDefault="00415019" w:rsidP="00C159AF">
            <w:pPr>
              <w:pStyle w:val="GazetteTableText"/>
              <w:rPr>
                <w:sz w:val="16"/>
                <w:szCs w:val="16"/>
                <w:u w:color="000000"/>
              </w:rPr>
            </w:pPr>
            <w:r w:rsidRPr="00CC2151">
              <w:rPr>
                <w:sz w:val="16"/>
                <w:szCs w:val="16"/>
                <w:u w:color="000000"/>
              </w:rPr>
              <w:t>56616/57257</w:t>
            </w:r>
            <w:r w:rsidRPr="00CC2151">
              <w:rPr>
                <w:sz w:val="16"/>
                <w:szCs w:val="16"/>
                <w:u w:color="000000"/>
              </w:rPr>
              <w:br/>
              <w:t>56616/0303</w:t>
            </w:r>
          </w:p>
        </w:tc>
      </w:tr>
      <w:tr w:rsidR="00415019" w:rsidRPr="00CC2151" w14:paraId="04A6D7E1" w14:textId="77777777" w:rsidTr="00CC2151">
        <w:tc>
          <w:tcPr>
            <w:tcW w:w="882" w:type="pct"/>
          </w:tcPr>
          <w:p w14:paraId="3DBE2F4A" w14:textId="77777777" w:rsidR="00415019" w:rsidRPr="00CC2151" w:rsidRDefault="00415019" w:rsidP="00C159AF">
            <w:pPr>
              <w:pStyle w:val="GazetteTableText"/>
              <w:rPr>
                <w:sz w:val="16"/>
                <w:szCs w:val="16"/>
                <w:u w:color="000000"/>
              </w:rPr>
            </w:pPr>
            <w:r w:rsidRPr="00CC2151">
              <w:rPr>
                <w:sz w:val="16"/>
                <w:szCs w:val="16"/>
                <w:u w:color="000000"/>
              </w:rPr>
              <w:t>57758</w:t>
            </w:r>
          </w:p>
        </w:tc>
        <w:tc>
          <w:tcPr>
            <w:tcW w:w="1583" w:type="pct"/>
          </w:tcPr>
          <w:p w14:paraId="4428F87C" w14:textId="77777777" w:rsidR="00415019" w:rsidRPr="00CC2151" w:rsidRDefault="00415019" w:rsidP="00C159AF">
            <w:pPr>
              <w:pStyle w:val="GazetteTableText"/>
              <w:rPr>
                <w:sz w:val="16"/>
                <w:szCs w:val="16"/>
                <w:u w:color="000000"/>
              </w:rPr>
            </w:pPr>
            <w:r w:rsidRPr="00CC2151">
              <w:rPr>
                <w:sz w:val="16"/>
                <w:szCs w:val="16"/>
                <w:u w:color="000000"/>
              </w:rPr>
              <w:t xml:space="preserve">David </w:t>
            </w:r>
            <w:proofErr w:type="spellStart"/>
            <w:r w:rsidRPr="00CC2151">
              <w:rPr>
                <w:sz w:val="16"/>
                <w:szCs w:val="16"/>
                <w:u w:color="000000"/>
              </w:rPr>
              <w:t>Grays</w:t>
            </w:r>
            <w:proofErr w:type="spellEnd"/>
            <w:r w:rsidRPr="00CC2151">
              <w:rPr>
                <w:sz w:val="16"/>
                <w:szCs w:val="16"/>
                <w:u w:color="000000"/>
              </w:rPr>
              <w:t xml:space="preserve"> Lawn Beetle &amp; Grub Killer Insecticide</w:t>
            </w:r>
          </w:p>
        </w:tc>
        <w:tc>
          <w:tcPr>
            <w:tcW w:w="1359" w:type="pct"/>
          </w:tcPr>
          <w:p w14:paraId="72D17546" w14:textId="77777777" w:rsidR="00415019" w:rsidRPr="00CC2151" w:rsidRDefault="00415019" w:rsidP="00C159AF">
            <w:pPr>
              <w:pStyle w:val="GazetteTableText"/>
              <w:rPr>
                <w:sz w:val="16"/>
                <w:szCs w:val="16"/>
                <w:u w:color="000000"/>
              </w:rPr>
            </w:pPr>
            <w:r w:rsidRPr="00CC2151">
              <w:rPr>
                <w:sz w:val="16"/>
                <w:szCs w:val="16"/>
                <w:u w:color="000000"/>
              </w:rPr>
              <w:t xml:space="preserve">David </w:t>
            </w:r>
            <w:proofErr w:type="spellStart"/>
            <w:r w:rsidRPr="00CC2151">
              <w:rPr>
                <w:sz w:val="16"/>
                <w:szCs w:val="16"/>
                <w:u w:color="000000"/>
              </w:rPr>
              <w:t>Gray</w:t>
            </w:r>
            <w:proofErr w:type="spellEnd"/>
            <w:r w:rsidRPr="00CC2151">
              <w:rPr>
                <w:sz w:val="16"/>
                <w:szCs w:val="16"/>
                <w:u w:color="000000"/>
              </w:rPr>
              <w:t xml:space="preserve"> &amp; Co. Pty Limited</w:t>
            </w:r>
          </w:p>
        </w:tc>
        <w:tc>
          <w:tcPr>
            <w:tcW w:w="1176" w:type="pct"/>
          </w:tcPr>
          <w:p w14:paraId="688D0287" w14:textId="77777777" w:rsidR="00415019" w:rsidRPr="00CC2151" w:rsidRDefault="00415019" w:rsidP="00C159AF">
            <w:pPr>
              <w:pStyle w:val="GazetteTableText"/>
              <w:rPr>
                <w:sz w:val="16"/>
                <w:szCs w:val="16"/>
                <w:u w:color="000000"/>
              </w:rPr>
            </w:pPr>
            <w:r w:rsidRPr="00CC2151">
              <w:rPr>
                <w:sz w:val="16"/>
                <w:szCs w:val="16"/>
                <w:u w:color="000000"/>
              </w:rPr>
              <w:t>57758/0903</w:t>
            </w:r>
          </w:p>
        </w:tc>
      </w:tr>
      <w:tr w:rsidR="00415019" w:rsidRPr="00CC2151" w14:paraId="1B42D102" w14:textId="77777777" w:rsidTr="00CC2151">
        <w:tc>
          <w:tcPr>
            <w:tcW w:w="882" w:type="pct"/>
          </w:tcPr>
          <w:p w14:paraId="0FB47642" w14:textId="77777777" w:rsidR="00415019" w:rsidRPr="00CC2151" w:rsidRDefault="00415019" w:rsidP="00C159AF">
            <w:pPr>
              <w:pStyle w:val="GazetteTableText"/>
              <w:rPr>
                <w:sz w:val="16"/>
                <w:szCs w:val="16"/>
                <w:u w:color="000000"/>
              </w:rPr>
            </w:pPr>
            <w:r w:rsidRPr="00CC2151">
              <w:rPr>
                <w:sz w:val="16"/>
                <w:szCs w:val="16"/>
                <w:u w:color="000000"/>
              </w:rPr>
              <w:t>58188</w:t>
            </w:r>
          </w:p>
        </w:tc>
        <w:tc>
          <w:tcPr>
            <w:tcW w:w="1583" w:type="pct"/>
          </w:tcPr>
          <w:p w14:paraId="19297934" w14:textId="77777777" w:rsidR="00415019" w:rsidRPr="00CC2151" w:rsidRDefault="00415019" w:rsidP="00C159AF">
            <w:pPr>
              <w:pStyle w:val="GazetteTableText"/>
              <w:rPr>
                <w:sz w:val="16"/>
                <w:szCs w:val="16"/>
                <w:u w:color="000000"/>
              </w:rPr>
            </w:pPr>
            <w:proofErr w:type="spellStart"/>
            <w:r w:rsidRPr="00CC2151">
              <w:rPr>
                <w:sz w:val="16"/>
                <w:szCs w:val="16"/>
                <w:u w:color="000000"/>
              </w:rPr>
              <w:t>Surefire</w:t>
            </w:r>
            <w:proofErr w:type="spellEnd"/>
            <w:r w:rsidRPr="00CC2151">
              <w:rPr>
                <w:sz w:val="16"/>
                <w:szCs w:val="16"/>
                <w:u w:color="000000"/>
              </w:rPr>
              <w:t xml:space="preserve"> Lawn Grub,</w:t>
            </w:r>
            <w:r w:rsidR="00BA4C79" w:rsidRPr="00CC2151">
              <w:rPr>
                <w:sz w:val="16"/>
                <w:szCs w:val="16"/>
                <w:u w:color="000000"/>
              </w:rPr>
              <w:t xml:space="preserve"> </w:t>
            </w:r>
            <w:r w:rsidRPr="00CC2151">
              <w:rPr>
                <w:sz w:val="16"/>
                <w:szCs w:val="16"/>
                <w:u w:color="000000"/>
              </w:rPr>
              <w:t>Ant and Outdoor Pest Insecticide</w:t>
            </w:r>
          </w:p>
        </w:tc>
        <w:tc>
          <w:tcPr>
            <w:tcW w:w="1359" w:type="pct"/>
          </w:tcPr>
          <w:p w14:paraId="671B6E58" w14:textId="77777777" w:rsidR="00415019" w:rsidRPr="00CC2151" w:rsidRDefault="00415019" w:rsidP="00C159AF">
            <w:pPr>
              <w:pStyle w:val="GazetteTableText"/>
              <w:rPr>
                <w:sz w:val="16"/>
                <w:szCs w:val="16"/>
                <w:u w:color="000000"/>
              </w:rPr>
            </w:pPr>
            <w:r w:rsidRPr="00CC2151">
              <w:rPr>
                <w:sz w:val="16"/>
                <w:szCs w:val="16"/>
                <w:u w:color="000000"/>
              </w:rPr>
              <w:t>PCT Holdings Pty Ltd</w:t>
            </w:r>
          </w:p>
        </w:tc>
        <w:tc>
          <w:tcPr>
            <w:tcW w:w="1176" w:type="pct"/>
          </w:tcPr>
          <w:p w14:paraId="2265177D" w14:textId="77777777" w:rsidR="00415019" w:rsidRPr="00CC2151" w:rsidRDefault="00415019" w:rsidP="00C159AF">
            <w:pPr>
              <w:pStyle w:val="GazetteTableText"/>
              <w:rPr>
                <w:sz w:val="16"/>
                <w:szCs w:val="16"/>
                <w:u w:color="000000"/>
              </w:rPr>
            </w:pPr>
            <w:r w:rsidRPr="00CC2151">
              <w:rPr>
                <w:sz w:val="16"/>
                <w:szCs w:val="16"/>
                <w:u w:color="000000"/>
              </w:rPr>
              <w:t>58188/1103</w:t>
            </w:r>
          </w:p>
        </w:tc>
      </w:tr>
      <w:tr w:rsidR="00415019" w:rsidRPr="00CC2151" w14:paraId="5FB06444" w14:textId="77777777" w:rsidTr="00CC2151">
        <w:tc>
          <w:tcPr>
            <w:tcW w:w="882" w:type="pct"/>
          </w:tcPr>
          <w:p w14:paraId="6D58EED9" w14:textId="77777777" w:rsidR="00415019" w:rsidRPr="00CC2151" w:rsidRDefault="00415019" w:rsidP="00C159AF">
            <w:pPr>
              <w:pStyle w:val="GazetteTableText"/>
              <w:rPr>
                <w:sz w:val="16"/>
                <w:szCs w:val="16"/>
                <w:u w:color="000000"/>
              </w:rPr>
            </w:pPr>
            <w:r w:rsidRPr="00CC2151">
              <w:rPr>
                <w:sz w:val="16"/>
                <w:szCs w:val="16"/>
                <w:u w:color="000000"/>
              </w:rPr>
              <w:t>58286</w:t>
            </w:r>
          </w:p>
        </w:tc>
        <w:tc>
          <w:tcPr>
            <w:tcW w:w="1583" w:type="pct"/>
          </w:tcPr>
          <w:p w14:paraId="07CFF2B9" w14:textId="77777777" w:rsidR="00415019" w:rsidRPr="00CC2151" w:rsidRDefault="00415019" w:rsidP="00C159AF">
            <w:pPr>
              <w:pStyle w:val="GazetteTableText"/>
              <w:rPr>
                <w:sz w:val="16"/>
                <w:szCs w:val="16"/>
                <w:u w:color="000000"/>
              </w:rPr>
            </w:pPr>
            <w:proofErr w:type="spellStart"/>
            <w:r w:rsidRPr="00CC2151">
              <w:rPr>
                <w:sz w:val="16"/>
                <w:szCs w:val="16"/>
                <w:u w:color="000000"/>
              </w:rPr>
              <w:t>Richgro</w:t>
            </w:r>
            <w:proofErr w:type="spellEnd"/>
            <w:r w:rsidRPr="00CC2151">
              <w:rPr>
                <w:sz w:val="16"/>
                <w:szCs w:val="16"/>
                <w:u w:color="000000"/>
              </w:rPr>
              <w:t xml:space="preserve"> Ant Killer</w:t>
            </w:r>
          </w:p>
        </w:tc>
        <w:tc>
          <w:tcPr>
            <w:tcW w:w="1359" w:type="pct"/>
          </w:tcPr>
          <w:p w14:paraId="4F9F484C" w14:textId="77777777" w:rsidR="00415019" w:rsidRPr="00CC2151" w:rsidRDefault="00415019" w:rsidP="00C159AF">
            <w:pPr>
              <w:pStyle w:val="GazetteTableText"/>
              <w:rPr>
                <w:sz w:val="16"/>
                <w:szCs w:val="16"/>
                <w:u w:color="000000"/>
              </w:rPr>
            </w:pPr>
            <w:r w:rsidRPr="00CC2151">
              <w:rPr>
                <w:sz w:val="16"/>
                <w:szCs w:val="16"/>
                <w:u w:color="000000"/>
              </w:rPr>
              <w:t>A. Richards Pty Ltd</w:t>
            </w:r>
          </w:p>
        </w:tc>
        <w:tc>
          <w:tcPr>
            <w:tcW w:w="1176" w:type="pct"/>
          </w:tcPr>
          <w:p w14:paraId="2CA56214" w14:textId="77777777" w:rsidR="00415019" w:rsidRPr="00CC2151" w:rsidRDefault="00415019" w:rsidP="00C159AF">
            <w:pPr>
              <w:pStyle w:val="GazetteTableText"/>
              <w:rPr>
                <w:sz w:val="16"/>
                <w:szCs w:val="16"/>
                <w:u w:color="000000"/>
              </w:rPr>
            </w:pPr>
            <w:r w:rsidRPr="00CC2151">
              <w:rPr>
                <w:sz w:val="16"/>
                <w:szCs w:val="16"/>
                <w:u w:color="000000"/>
              </w:rPr>
              <w:t>58286/0206</w:t>
            </w:r>
            <w:r w:rsidRPr="00CC2151">
              <w:rPr>
                <w:sz w:val="16"/>
                <w:szCs w:val="16"/>
                <w:u w:color="000000"/>
              </w:rPr>
              <w:br/>
              <w:t>58286/0304</w:t>
            </w:r>
          </w:p>
        </w:tc>
      </w:tr>
      <w:tr w:rsidR="00415019" w:rsidRPr="00CC2151" w14:paraId="20809987" w14:textId="77777777" w:rsidTr="00CC2151">
        <w:tc>
          <w:tcPr>
            <w:tcW w:w="882" w:type="pct"/>
          </w:tcPr>
          <w:p w14:paraId="0D037E17" w14:textId="77777777" w:rsidR="00415019" w:rsidRPr="00CC2151" w:rsidRDefault="00415019" w:rsidP="00C159AF">
            <w:pPr>
              <w:pStyle w:val="GazetteTableText"/>
              <w:rPr>
                <w:sz w:val="16"/>
                <w:szCs w:val="16"/>
                <w:u w:color="000000"/>
              </w:rPr>
            </w:pPr>
            <w:r w:rsidRPr="00CC2151">
              <w:rPr>
                <w:sz w:val="16"/>
                <w:szCs w:val="16"/>
                <w:u w:color="000000"/>
              </w:rPr>
              <w:t>58287</w:t>
            </w:r>
          </w:p>
        </w:tc>
        <w:tc>
          <w:tcPr>
            <w:tcW w:w="1583" w:type="pct"/>
          </w:tcPr>
          <w:p w14:paraId="5A08F5B8" w14:textId="77777777" w:rsidR="00415019" w:rsidRPr="00CC2151" w:rsidRDefault="00415019" w:rsidP="00C159AF">
            <w:pPr>
              <w:pStyle w:val="GazetteTableText"/>
              <w:rPr>
                <w:sz w:val="16"/>
                <w:szCs w:val="16"/>
                <w:u w:color="000000"/>
              </w:rPr>
            </w:pPr>
            <w:proofErr w:type="spellStart"/>
            <w:r w:rsidRPr="00CC2151">
              <w:rPr>
                <w:sz w:val="16"/>
                <w:szCs w:val="16"/>
                <w:u w:color="000000"/>
              </w:rPr>
              <w:t>Richgro</w:t>
            </w:r>
            <w:proofErr w:type="spellEnd"/>
            <w:r w:rsidRPr="00CC2151">
              <w:rPr>
                <w:sz w:val="16"/>
                <w:szCs w:val="16"/>
                <w:u w:color="000000"/>
              </w:rPr>
              <w:t xml:space="preserve"> Slater Killer</w:t>
            </w:r>
          </w:p>
        </w:tc>
        <w:tc>
          <w:tcPr>
            <w:tcW w:w="1359" w:type="pct"/>
          </w:tcPr>
          <w:p w14:paraId="24C78AFB" w14:textId="77777777" w:rsidR="00415019" w:rsidRPr="00CC2151" w:rsidRDefault="00415019" w:rsidP="00C159AF">
            <w:pPr>
              <w:pStyle w:val="GazetteTableText"/>
              <w:rPr>
                <w:sz w:val="16"/>
                <w:szCs w:val="16"/>
                <w:u w:color="000000"/>
              </w:rPr>
            </w:pPr>
            <w:r w:rsidRPr="00CC2151">
              <w:rPr>
                <w:sz w:val="16"/>
                <w:szCs w:val="16"/>
                <w:u w:color="000000"/>
              </w:rPr>
              <w:t>A. Richards Pty Ltd</w:t>
            </w:r>
          </w:p>
        </w:tc>
        <w:tc>
          <w:tcPr>
            <w:tcW w:w="1176" w:type="pct"/>
          </w:tcPr>
          <w:p w14:paraId="162B91AF" w14:textId="77777777" w:rsidR="00415019" w:rsidRPr="00CC2151" w:rsidRDefault="00415019" w:rsidP="00C159AF">
            <w:pPr>
              <w:pStyle w:val="GazetteTableText"/>
              <w:rPr>
                <w:sz w:val="16"/>
                <w:szCs w:val="16"/>
                <w:u w:color="000000"/>
              </w:rPr>
            </w:pPr>
            <w:r w:rsidRPr="00CC2151">
              <w:rPr>
                <w:sz w:val="16"/>
                <w:szCs w:val="16"/>
                <w:u w:color="000000"/>
              </w:rPr>
              <w:t>58287/0506</w:t>
            </w:r>
            <w:r w:rsidRPr="00CC2151">
              <w:rPr>
                <w:sz w:val="16"/>
                <w:szCs w:val="16"/>
                <w:u w:color="000000"/>
              </w:rPr>
              <w:br/>
              <w:t>58287/0206</w:t>
            </w:r>
            <w:r w:rsidRPr="00CC2151">
              <w:rPr>
                <w:sz w:val="16"/>
                <w:szCs w:val="16"/>
                <w:u w:color="000000"/>
              </w:rPr>
              <w:br/>
              <w:t>58287/1004</w:t>
            </w:r>
          </w:p>
        </w:tc>
      </w:tr>
      <w:tr w:rsidR="00415019" w:rsidRPr="00CC2151" w14:paraId="6E53D6B9" w14:textId="77777777" w:rsidTr="00CC2151">
        <w:tc>
          <w:tcPr>
            <w:tcW w:w="882" w:type="pct"/>
          </w:tcPr>
          <w:p w14:paraId="008E974E" w14:textId="77777777" w:rsidR="00415019" w:rsidRPr="00CC2151" w:rsidRDefault="00415019" w:rsidP="00C159AF">
            <w:pPr>
              <w:pStyle w:val="GazetteTableText"/>
              <w:rPr>
                <w:sz w:val="16"/>
                <w:szCs w:val="16"/>
                <w:u w:color="000000"/>
              </w:rPr>
            </w:pPr>
            <w:r w:rsidRPr="00CC2151">
              <w:rPr>
                <w:sz w:val="16"/>
                <w:szCs w:val="16"/>
                <w:u w:color="000000"/>
              </w:rPr>
              <w:t>58294</w:t>
            </w:r>
          </w:p>
        </w:tc>
        <w:tc>
          <w:tcPr>
            <w:tcW w:w="1583" w:type="pct"/>
          </w:tcPr>
          <w:p w14:paraId="794F34D8" w14:textId="77777777" w:rsidR="00415019" w:rsidRPr="00CC2151" w:rsidRDefault="00415019" w:rsidP="00C159AF">
            <w:pPr>
              <w:pStyle w:val="GazetteTableText"/>
              <w:rPr>
                <w:sz w:val="16"/>
                <w:szCs w:val="16"/>
                <w:u w:color="000000"/>
              </w:rPr>
            </w:pPr>
            <w:proofErr w:type="spellStart"/>
            <w:r w:rsidRPr="00CC2151">
              <w:rPr>
                <w:sz w:val="16"/>
                <w:szCs w:val="16"/>
                <w:u w:color="000000"/>
              </w:rPr>
              <w:t>Richgro</w:t>
            </w:r>
            <w:proofErr w:type="spellEnd"/>
            <w:r w:rsidRPr="00CC2151">
              <w:rPr>
                <w:sz w:val="16"/>
                <w:szCs w:val="16"/>
                <w:u w:color="000000"/>
              </w:rPr>
              <w:t xml:space="preserve"> Lawn Beetle Killer</w:t>
            </w:r>
          </w:p>
        </w:tc>
        <w:tc>
          <w:tcPr>
            <w:tcW w:w="1359" w:type="pct"/>
          </w:tcPr>
          <w:p w14:paraId="6EAB346F" w14:textId="77777777" w:rsidR="00415019" w:rsidRPr="00CC2151" w:rsidRDefault="00415019" w:rsidP="00C159AF">
            <w:pPr>
              <w:pStyle w:val="GazetteTableText"/>
              <w:rPr>
                <w:sz w:val="16"/>
                <w:szCs w:val="16"/>
                <w:u w:color="000000"/>
              </w:rPr>
            </w:pPr>
            <w:r w:rsidRPr="00CC2151">
              <w:rPr>
                <w:sz w:val="16"/>
                <w:szCs w:val="16"/>
                <w:u w:color="000000"/>
              </w:rPr>
              <w:t>A. Richards Pty Ltd</w:t>
            </w:r>
          </w:p>
        </w:tc>
        <w:tc>
          <w:tcPr>
            <w:tcW w:w="1176" w:type="pct"/>
          </w:tcPr>
          <w:p w14:paraId="39077658" w14:textId="77777777" w:rsidR="00415019" w:rsidRPr="00CC2151" w:rsidRDefault="00415019" w:rsidP="00C159AF">
            <w:pPr>
              <w:pStyle w:val="GazetteTableText"/>
              <w:rPr>
                <w:sz w:val="16"/>
                <w:szCs w:val="16"/>
                <w:u w:color="000000"/>
              </w:rPr>
            </w:pPr>
            <w:r w:rsidRPr="00CC2151">
              <w:rPr>
                <w:sz w:val="16"/>
                <w:szCs w:val="16"/>
                <w:u w:color="000000"/>
              </w:rPr>
              <w:t>58294/0206</w:t>
            </w:r>
            <w:r w:rsidRPr="00CC2151">
              <w:rPr>
                <w:sz w:val="16"/>
                <w:szCs w:val="16"/>
                <w:u w:color="000000"/>
              </w:rPr>
              <w:br/>
              <w:t>58294/0304</w:t>
            </w:r>
          </w:p>
        </w:tc>
      </w:tr>
      <w:tr w:rsidR="00415019" w:rsidRPr="00CC2151" w14:paraId="487C9D61" w14:textId="77777777" w:rsidTr="00CC2151">
        <w:tc>
          <w:tcPr>
            <w:tcW w:w="882" w:type="pct"/>
          </w:tcPr>
          <w:p w14:paraId="21615F5C" w14:textId="77777777" w:rsidR="00415019" w:rsidRPr="00CC2151" w:rsidRDefault="00415019" w:rsidP="00C159AF">
            <w:pPr>
              <w:pStyle w:val="GazetteTableText"/>
              <w:rPr>
                <w:sz w:val="16"/>
                <w:szCs w:val="16"/>
                <w:u w:color="000000"/>
              </w:rPr>
            </w:pPr>
            <w:r w:rsidRPr="00CC2151">
              <w:rPr>
                <w:sz w:val="16"/>
                <w:szCs w:val="16"/>
                <w:u w:color="000000"/>
              </w:rPr>
              <w:t>58479</w:t>
            </w:r>
          </w:p>
        </w:tc>
        <w:tc>
          <w:tcPr>
            <w:tcW w:w="1583" w:type="pct"/>
          </w:tcPr>
          <w:p w14:paraId="2F94127B" w14:textId="77777777" w:rsidR="00415019" w:rsidRPr="00CC2151" w:rsidRDefault="00415019" w:rsidP="00C159AF">
            <w:pPr>
              <w:pStyle w:val="GazetteTableText"/>
              <w:rPr>
                <w:sz w:val="16"/>
                <w:szCs w:val="16"/>
                <w:u w:color="000000"/>
              </w:rPr>
            </w:pPr>
            <w:r w:rsidRPr="00CC2151">
              <w:rPr>
                <w:sz w:val="16"/>
                <w:szCs w:val="16"/>
                <w:u w:color="000000"/>
              </w:rPr>
              <w:t>Grass Gard Lawn Beetle &amp; Grub Spray</w:t>
            </w:r>
          </w:p>
        </w:tc>
        <w:tc>
          <w:tcPr>
            <w:tcW w:w="1359" w:type="pct"/>
          </w:tcPr>
          <w:p w14:paraId="5E95CC27" w14:textId="77777777" w:rsidR="00415019" w:rsidRPr="00CC2151" w:rsidRDefault="00415019" w:rsidP="00C159AF">
            <w:pPr>
              <w:pStyle w:val="GazetteTableText"/>
              <w:rPr>
                <w:sz w:val="16"/>
                <w:szCs w:val="16"/>
                <w:u w:color="000000"/>
              </w:rPr>
            </w:pPr>
            <w:proofErr w:type="spellStart"/>
            <w:r w:rsidRPr="00CC2151">
              <w:rPr>
                <w:sz w:val="16"/>
                <w:szCs w:val="16"/>
                <w:u w:color="000000"/>
              </w:rPr>
              <w:t>Heiniger</w:t>
            </w:r>
            <w:proofErr w:type="spellEnd"/>
            <w:r w:rsidRPr="00CC2151">
              <w:rPr>
                <w:sz w:val="16"/>
                <w:szCs w:val="16"/>
                <w:u w:color="000000"/>
              </w:rPr>
              <w:t xml:space="preserve"> Australia Pty Ltd</w:t>
            </w:r>
          </w:p>
        </w:tc>
        <w:tc>
          <w:tcPr>
            <w:tcW w:w="1176" w:type="pct"/>
          </w:tcPr>
          <w:p w14:paraId="33C5DB58" w14:textId="77777777" w:rsidR="00415019" w:rsidRPr="00CC2151" w:rsidRDefault="00415019" w:rsidP="00C159AF">
            <w:pPr>
              <w:pStyle w:val="GazetteTableText"/>
              <w:rPr>
                <w:sz w:val="16"/>
                <w:szCs w:val="16"/>
                <w:u w:color="000000"/>
              </w:rPr>
            </w:pPr>
            <w:r w:rsidRPr="00CC2151">
              <w:rPr>
                <w:sz w:val="16"/>
                <w:szCs w:val="16"/>
                <w:u w:color="000000"/>
              </w:rPr>
              <w:t>58479/1208</w:t>
            </w:r>
            <w:r w:rsidRPr="00CC2151">
              <w:rPr>
                <w:sz w:val="16"/>
                <w:szCs w:val="16"/>
                <w:u w:color="000000"/>
              </w:rPr>
              <w:br/>
              <w:t>58479/0205</w:t>
            </w:r>
            <w:r w:rsidRPr="00CC2151">
              <w:rPr>
                <w:sz w:val="16"/>
                <w:szCs w:val="16"/>
                <w:u w:color="000000"/>
              </w:rPr>
              <w:br/>
            </w:r>
          </w:p>
        </w:tc>
      </w:tr>
      <w:tr w:rsidR="00415019" w:rsidRPr="00CC2151" w14:paraId="018A35B8" w14:textId="77777777" w:rsidTr="00CC2151">
        <w:tc>
          <w:tcPr>
            <w:tcW w:w="882" w:type="pct"/>
          </w:tcPr>
          <w:p w14:paraId="6FAE66FB" w14:textId="77777777" w:rsidR="00415019" w:rsidRPr="00CC2151" w:rsidRDefault="00415019" w:rsidP="00C159AF">
            <w:pPr>
              <w:pStyle w:val="GazetteTableText"/>
              <w:rPr>
                <w:sz w:val="16"/>
                <w:szCs w:val="16"/>
                <w:u w:color="000000"/>
              </w:rPr>
            </w:pPr>
            <w:r w:rsidRPr="00CC2151">
              <w:rPr>
                <w:sz w:val="16"/>
                <w:szCs w:val="16"/>
                <w:u w:color="000000"/>
              </w:rPr>
              <w:t>61354</w:t>
            </w:r>
          </w:p>
        </w:tc>
        <w:tc>
          <w:tcPr>
            <w:tcW w:w="1583" w:type="pct"/>
          </w:tcPr>
          <w:p w14:paraId="10B195BC" w14:textId="77777777" w:rsidR="00415019" w:rsidRPr="00CC2151" w:rsidRDefault="00415019" w:rsidP="00C159AF">
            <w:pPr>
              <w:pStyle w:val="GazetteTableText"/>
              <w:rPr>
                <w:sz w:val="16"/>
                <w:szCs w:val="16"/>
                <w:u w:color="000000"/>
              </w:rPr>
            </w:pPr>
            <w:proofErr w:type="spellStart"/>
            <w:r w:rsidRPr="00CC2151">
              <w:rPr>
                <w:sz w:val="16"/>
                <w:szCs w:val="16"/>
                <w:u w:color="000000"/>
              </w:rPr>
              <w:t>Searles</w:t>
            </w:r>
            <w:proofErr w:type="spellEnd"/>
            <w:r w:rsidRPr="00CC2151">
              <w:rPr>
                <w:sz w:val="16"/>
                <w:szCs w:val="16"/>
                <w:u w:color="000000"/>
              </w:rPr>
              <w:t xml:space="preserve"> Lawn Grub Killer Hose On</w:t>
            </w:r>
          </w:p>
        </w:tc>
        <w:tc>
          <w:tcPr>
            <w:tcW w:w="1359" w:type="pct"/>
          </w:tcPr>
          <w:p w14:paraId="07CA0C2A" w14:textId="77777777" w:rsidR="00415019" w:rsidRPr="00CC2151" w:rsidRDefault="00415019" w:rsidP="00C159AF">
            <w:pPr>
              <w:pStyle w:val="GazetteTableText"/>
              <w:rPr>
                <w:sz w:val="16"/>
                <w:szCs w:val="16"/>
                <w:u w:color="000000"/>
              </w:rPr>
            </w:pPr>
            <w:r w:rsidRPr="00CC2151">
              <w:rPr>
                <w:sz w:val="16"/>
                <w:szCs w:val="16"/>
                <w:u w:color="000000"/>
              </w:rPr>
              <w:t>J C &amp; A T Searle Pty Ltd</w:t>
            </w:r>
          </w:p>
        </w:tc>
        <w:tc>
          <w:tcPr>
            <w:tcW w:w="1176" w:type="pct"/>
          </w:tcPr>
          <w:p w14:paraId="6D4169F1" w14:textId="77777777" w:rsidR="00415019" w:rsidRPr="00CC2151" w:rsidRDefault="00415019" w:rsidP="00C159AF">
            <w:pPr>
              <w:pStyle w:val="GazetteTableText"/>
              <w:rPr>
                <w:sz w:val="16"/>
                <w:szCs w:val="16"/>
                <w:u w:color="000000"/>
              </w:rPr>
            </w:pPr>
            <w:r w:rsidRPr="00CC2151">
              <w:rPr>
                <w:sz w:val="16"/>
                <w:szCs w:val="16"/>
                <w:u w:color="000000"/>
              </w:rPr>
              <w:t>61354/1006</w:t>
            </w:r>
          </w:p>
        </w:tc>
      </w:tr>
      <w:tr w:rsidR="00415019" w:rsidRPr="00CC2151" w14:paraId="23E8C97C" w14:textId="77777777" w:rsidTr="00CC2151">
        <w:tc>
          <w:tcPr>
            <w:tcW w:w="882" w:type="pct"/>
          </w:tcPr>
          <w:p w14:paraId="2E3B8E5D" w14:textId="77777777" w:rsidR="00415019" w:rsidRPr="00CC2151" w:rsidRDefault="00415019" w:rsidP="00C159AF">
            <w:pPr>
              <w:pStyle w:val="GazetteTableText"/>
              <w:rPr>
                <w:sz w:val="16"/>
                <w:szCs w:val="16"/>
                <w:u w:color="000000"/>
              </w:rPr>
            </w:pPr>
            <w:r w:rsidRPr="00CC2151">
              <w:rPr>
                <w:sz w:val="16"/>
                <w:szCs w:val="16"/>
                <w:u w:color="000000"/>
              </w:rPr>
              <w:t>61533</w:t>
            </w:r>
          </w:p>
        </w:tc>
        <w:tc>
          <w:tcPr>
            <w:tcW w:w="1583" w:type="pct"/>
          </w:tcPr>
          <w:p w14:paraId="3DD15A4E" w14:textId="77777777" w:rsidR="00415019" w:rsidRPr="00CC2151" w:rsidRDefault="00415019" w:rsidP="00C159AF">
            <w:pPr>
              <w:pStyle w:val="GazetteTableText"/>
              <w:rPr>
                <w:sz w:val="16"/>
                <w:szCs w:val="16"/>
                <w:u w:color="000000"/>
              </w:rPr>
            </w:pPr>
            <w:proofErr w:type="spellStart"/>
            <w:r w:rsidRPr="00CC2151">
              <w:rPr>
                <w:sz w:val="16"/>
                <w:szCs w:val="16"/>
                <w:u w:color="000000"/>
              </w:rPr>
              <w:t>Amgrow</w:t>
            </w:r>
            <w:proofErr w:type="spellEnd"/>
            <w:r w:rsidRPr="00CC2151">
              <w:rPr>
                <w:sz w:val="16"/>
                <w:szCs w:val="16"/>
                <w:u w:color="000000"/>
              </w:rPr>
              <w:t xml:space="preserve"> Sir Walter Buffalo Lawn Pest Control</w:t>
            </w:r>
          </w:p>
        </w:tc>
        <w:tc>
          <w:tcPr>
            <w:tcW w:w="1359" w:type="pct"/>
          </w:tcPr>
          <w:p w14:paraId="2382437C" w14:textId="77777777" w:rsidR="00415019" w:rsidRPr="00CC2151" w:rsidRDefault="00415019" w:rsidP="00C159AF">
            <w:pPr>
              <w:pStyle w:val="GazetteTableText"/>
              <w:rPr>
                <w:sz w:val="16"/>
                <w:szCs w:val="16"/>
                <w:u w:color="000000"/>
              </w:rPr>
            </w:pPr>
            <w:proofErr w:type="spellStart"/>
            <w:r w:rsidRPr="00CC2151">
              <w:rPr>
                <w:sz w:val="16"/>
                <w:szCs w:val="16"/>
                <w:u w:color="000000"/>
              </w:rPr>
              <w:t>Amgrow</w:t>
            </w:r>
            <w:proofErr w:type="spellEnd"/>
            <w:r w:rsidRPr="00CC2151">
              <w:rPr>
                <w:sz w:val="16"/>
                <w:szCs w:val="16"/>
                <w:u w:color="000000"/>
              </w:rPr>
              <w:t xml:space="preserve"> Pty Ltd</w:t>
            </w:r>
          </w:p>
        </w:tc>
        <w:tc>
          <w:tcPr>
            <w:tcW w:w="1176" w:type="pct"/>
          </w:tcPr>
          <w:p w14:paraId="57639F72" w14:textId="77777777" w:rsidR="00415019" w:rsidRPr="00CC2151" w:rsidRDefault="00415019" w:rsidP="00C159AF">
            <w:pPr>
              <w:pStyle w:val="GazetteTableText"/>
              <w:rPr>
                <w:sz w:val="16"/>
                <w:szCs w:val="16"/>
                <w:u w:color="000000"/>
              </w:rPr>
            </w:pPr>
            <w:r w:rsidRPr="00CC2151">
              <w:rPr>
                <w:sz w:val="16"/>
                <w:szCs w:val="16"/>
                <w:u w:color="000000"/>
              </w:rPr>
              <w:t>61533/0808</w:t>
            </w:r>
            <w:r w:rsidRPr="00CC2151">
              <w:rPr>
                <w:sz w:val="16"/>
                <w:szCs w:val="16"/>
                <w:u w:color="000000"/>
              </w:rPr>
              <w:br/>
              <w:t>61533/1206</w:t>
            </w:r>
          </w:p>
        </w:tc>
      </w:tr>
      <w:tr w:rsidR="00415019" w:rsidRPr="00CC2151" w14:paraId="53B3BC2D" w14:textId="77777777" w:rsidTr="00CC2151">
        <w:tc>
          <w:tcPr>
            <w:tcW w:w="882" w:type="pct"/>
          </w:tcPr>
          <w:p w14:paraId="34865132" w14:textId="77777777" w:rsidR="00415019" w:rsidRPr="00CC2151" w:rsidRDefault="00415019" w:rsidP="00C159AF">
            <w:pPr>
              <w:pStyle w:val="GazetteTableText"/>
              <w:rPr>
                <w:sz w:val="16"/>
                <w:szCs w:val="16"/>
                <w:u w:color="000000"/>
              </w:rPr>
            </w:pPr>
            <w:r w:rsidRPr="00CC2151">
              <w:rPr>
                <w:sz w:val="16"/>
                <w:szCs w:val="16"/>
                <w:u w:color="000000"/>
              </w:rPr>
              <w:t>64936</w:t>
            </w:r>
          </w:p>
        </w:tc>
        <w:tc>
          <w:tcPr>
            <w:tcW w:w="1583" w:type="pct"/>
          </w:tcPr>
          <w:p w14:paraId="1FE5B904" w14:textId="77777777" w:rsidR="00415019" w:rsidRPr="00CC2151" w:rsidRDefault="00415019" w:rsidP="00C159AF">
            <w:pPr>
              <w:pStyle w:val="GazetteTableText"/>
              <w:rPr>
                <w:sz w:val="16"/>
                <w:szCs w:val="16"/>
                <w:u w:color="000000"/>
              </w:rPr>
            </w:pPr>
            <w:proofErr w:type="spellStart"/>
            <w:r w:rsidRPr="00CC2151">
              <w:rPr>
                <w:sz w:val="16"/>
                <w:szCs w:val="16"/>
                <w:u w:color="000000"/>
              </w:rPr>
              <w:t>Amgrow</w:t>
            </w:r>
            <w:proofErr w:type="spellEnd"/>
            <w:r w:rsidRPr="00CC2151">
              <w:rPr>
                <w:sz w:val="16"/>
                <w:szCs w:val="16"/>
                <w:u w:color="000000"/>
              </w:rPr>
              <w:t xml:space="preserve"> Patrol Fix Ant</w:t>
            </w:r>
          </w:p>
        </w:tc>
        <w:tc>
          <w:tcPr>
            <w:tcW w:w="1359" w:type="pct"/>
          </w:tcPr>
          <w:p w14:paraId="4AF79DBA" w14:textId="77777777" w:rsidR="00415019" w:rsidRPr="00CC2151" w:rsidRDefault="00415019" w:rsidP="00C159AF">
            <w:pPr>
              <w:pStyle w:val="GazetteTableText"/>
              <w:rPr>
                <w:sz w:val="16"/>
                <w:szCs w:val="16"/>
                <w:u w:color="000000"/>
              </w:rPr>
            </w:pPr>
            <w:proofErr w:type="spellStart"/>
            <w:r w:rsidRPr="00CC2151">
              <w:rPr>
                <w:sz w:val="16"/>
                <w:szCs w:val="16"/>
                <w:u w:color="000000"/>
              </w:rPr>
              <w:t>Amgrow</w:t>
            </w:r>
            <w:proofErr w:type="spellEnd"/>
            <w:r w:rsidRPr="00CC2151">
              <w:rPr>
                <w:sz w:val="16"/>
                <w:szCs w:val="16"/>
                <w:u w:color="000000"/>
              </w:rPr>
              <w:t xml:space="preserve"> Pty Ltd</w:t>
            </w:r>
          </w:p>
        </w:tc>
        <w:tc>
          <w:tcPr>
            <w:tcW w:w="1176" w:type="pct"/>
          </w:tcPr>
          <w:p w14:paraId="186AC928" w14:textId="77777777" w:rsidR="00415019" w:rsidRPr="00CC2151" w:rsidRDefault="00415019" w:rsidP="00C159AF">
            <w:pPr>
              <w:pStyle w:val="GazetteTableText"/>
              <w:rPr>
                <w:sz w:val="16"/>
                <w:szCs w:val="16"/>
                <w:u w:color="000000"/>
              </w:rPr>
            </w:pPr>
            <w:r w:rsidRPr="00CC2151">
              <w:rPr>
                <w:sz w:val="16"/>
                <w:szCs w:val="16"/>
                <w:u w:color="000000"/>
              </w:rPr>
              <w:t>64936/49635</w:t>
            </w:r>
          </w:p>
        </w:tc>
      </w:tr>
      <w:tr w:rsidR="00415019" w:rsidRPr="00CC2151" w14:paraId="3E0DE267" w14:textId="77777777" w:rsidTr="00CC2151">
        <w:tc>
          <w:tcPr>
            <w:tcW w:w="882" w:type="pct"/>
          </w:tcPr>
          <w:p w14:paraId="3146F07A" w14:textId="77777777" w:rsidR="00415019" w:rsidRPr="00CC2151" w:rsidRDefault="00415019" w:rsidP="00C159AF">
            <w:pPr>
              <w:pStyle w:val="GazetteTableText"/>
              <w:rPr>
                <w:sz w:val="16"/>
                <w:szCs w:val="16"/>
                <w:u w:color="000000"/>
              </w:rPr>
            </w:pPr>
            <w:r w:rsidRPr="00CC2151">
              <w:rPr>
                <w:sz w:val="16"/>
                <w:szCs w:val="16"/>
                <w:u w:color="000000"/>
              </w:rPr>
              <w:t>67248</w:t>
            </w:r>
          </w:p>
        </w:tc>
        <w:tc>
          <w:tcPr>
            <w:tcW w:w="1583" w:type="pct"/>
          </w:tcPr>
          <w:p w14:paraId="098441E7" w14:textId="77777777" w:rsidR="00415019" w:rsidRPr="00CC2151" w:rsidRDefault="00415019" w:rsidP="00C159AF">
            <w:pPr>
              <w:pStyle w:val="GazetteTableText"/>
              <w:rPr>
                <w:sz w:val="16"/>
                <w:szCs w:val="16"/>
                <w:u w:color="000000"/>
              </w:rPr>
            </w:pPr>
            <w:proofErr w:type="spellStart"/>
            <w:r w:rsidRPr="00CC2151">
              <w:rPr>
                <w:sz w:val="16"/>
                <w:szCs w:val="16"/>
                <w:u w:color="000000"/>
              </w:rPr>
              <w:t>Searles</w:t>
            </w:r>
            <w:proofErr w:type="spellEnd"/>
            <w:r w:rsidRPr="00CC2151">
              <w:rPr>
                <w:sz w:val="16"/>
                <w:szCs w:val="16"/>
                <w:u w:color="000000"/>
              </w:rPr>
              <w:t xml:space="preserve"> Ant Kill 50</w:t>
            </w:r>
          </w:p>
        </w:tc>
        <w:tc>
          <w:tcPr>
            <w:tcW w:w="1359" w:type="pct"/>
          </w:tcPr>
          <w:p w14:paraId="31E0FCA2" w14:textId="77777777" w:rsidR="00415019" w:rsidRPr="00CC2151" w:rsidRDefault="00415019" w:rsidP="00C159AF">
            <w:pPr>
              <w:pStyle w:val="GazetteTableText"/>
              <w:rPr>
                <w:sz w:val="16"/>
                <w:szCs w:val="16"/>
                <w:u w:color="000000"/>
              </w:rPr>
            </w:pPr>
            <w:r w:rsidRPr="00CC2151">
              <w:rPr>
                <w:sz w:val="16"/>
                <w:szCs w:val="16"/>
                <w:u w:color="000000"/>
              </w:rPr>
              <w:t>J C &amp; A T Searle Pty Ltd</w:t>
            </w:r>
          </w:p>
        </w:tc>
        <w:tc>
          <w:tcPr>
            <w:tcW w:w="1176" w:type="pct"/>
          </w:tcPr>
          <w:p w14:paraId="1F4891CB" w14:textId="77777777" w:rsidR="00415019" w:rsidRPr="00CC2151" w:rsidRDefault="00415019" w:rsidP="00C159AF">
            <w:pPr>
              <w:pStyle w:val="GazetteTableText"/>
              <w:rPr>
                <w:sz w:val="16"/>
                <w:szCs w:val="16"/>
                <w:u w:color="000000"/>
              </w:rPr>
            </w:pPr>
            <w:r w:rsidRPr="00CC2151">
              <w:rPr>
                <w:sz w:val="16"/>
                <w:szCs w:val="16"/>
                <w:u w:color="000000"/>
              </w:rPr>
              <w:t>67248/55593</w:t>
            </w:r>
          </w:p>
        </w:tc>
      </w:tr>
      <w:tr w:rsidR="00415019" w:rsidRPr="00CC2151" w14:paraId="70173E14" w14:textId="77777777" w:rsidTr="00CC2151">
        <w:tc>
          <w:tcPr>
            <w:tcW w:w="882" w:type="pct"/>
          </w:tcPr>
          <w:p w14:paraId="35B35219" w14:textId="77777777" w:rsidR="00415019" w:rsidRPr="00CC2151" w:rsidRDefault="00415019" w:rsidP="00C159AF">
            <w:pPr>
              <w:pStyle w:val="GazetteTableText"/>
              <w:rPr>
                <w:sz w:val="16"/>
                <w:szCs w:val="16"/>
                <w:u w:color="000000"/>
              </w:rPr>
            </w:pPr>
            <w:r w:rsidRPr="00CC2151">
              <w:rPr>
                <w:sz w:val="16"/>
                <w:szCs w:val="16"/>
                <w:u w:color="000000"/>
              </w:rPr>
              <w:t>67249</w:t>
            </w:r>
          </w:p>
        </w:tc>
        <w:tc>
          <w:tcPr>
            <w:tcW w:w="1583" w:type="pct"/>
          </w:tcPr>
          <w:p w14:paraId="3B616A44" w14:textId="77777777" w:rsidR="00415019" w:rsidRPr="00CC2151" w:rsidRDefault="00415019" w:rsidP="00C159AF">
            <w:pPr>
              <w:pStyle w:val="GazetteTableText"/>
              <w:rPr>
                <w:sz w:val="16"/>
                <w:szCs w:val="16"/>
                <w:u w:color="000000"/>
              </w:rPr>
            </w:pPr>
            <w:proofErr w:type="spellStart"/>
            <w:r w:rsidRPr="00CC2151">
              <w:rPr>
                <w:sz w:val="16"/>
                <w:szCs w:val="16"/>
                <w:u w:color="000000"/>
              </w:rPr>
              <w:t>Searles</w:t>
            </w:r>
            <w:proofErr w:type="spellEnd"/>
            <w:r w:rsidRPr="00CC2151">
              <w:rPr>
                <w:sz w:val="16"/>
                <w:szCs w:val="16"/>
                <w:u w:color="000000"/>
              </w:rPr>
              <w:t xml:space="preserve"> Lawn Grub Killer</w:t>
            </w:r>
          </w:p>
        </w:tc>
        <w:tc>
          <w:tcPr>
            <w:tcW w:w="1359" w:type="pct"/>
          </w:tcPr>
          <w:p w14:paraId="23367CBC" w14:textId="77777777" w:rsidR="00415019" w:rsidRPr="00CC2151" w:rsidRDefault="00415019" w:rsidP="00C159AF">
            <w:pPr>
              <w:pStyle w:val="GazetteTableText"/>
              <w:rPr>
                <w:sz w:val="16"/>
                <w:szCs w:val="16"/>
                <w:u w:color="000000"/>
              </w:rPr>
            </w:pPr>
            <w:r w:rsidRPr="00CC2151">
              <w:rPr>
                <w:sz w:val="16"/>
                <w:szCs w:val="16"/>
                <w:u w:color="000000"/>
              </w:rPr>
              <w:t>J C &amp; A T Searle Pty Ltd</w:t>
            </w:r>
          </w:p>
        </w:tc>
        <w:tc>
          <w:tcPr>
            <w:tcW w:w="1176" w:type="pct"/>
          </w:tcPr>
          <w:p w14:paraId="7C5BFD74" w14:textId="77777777" w:rsidR="00415019" w:rsidRPr="00CC2151" w:rsidRDefault="00415019" w:rsidP="00C159AF">
            <w:pPr>
              <w:pStyle w:val="GazetteTableText"/>
              <w:rPr>
                <w:sz w:val="16"/>
                <w:szCs w:val="16"/>
                <w:u w:color="000000"/>
              </w:rPr>
            </w:pPr>
            <w:r w:rsidRPr="00CC2151">
              <w:rPr>
                <w:sz w:val="16"/>
                <w:szCs w:val="16"/>
                <w:u w:color="000000"/>
              </w:rPr>
              <w:t>67249/55594</w:t>
            </w:r>
          </w:p>
        </w:tc>
      </w:tr>
      <w:tr w:rsidR="00415019" w:rsidRPr="00CC2151" w14:paraId="4DEB11F9" w14:textId="77777777" w:rsidTr="00CC2151">
        <w:tc>
          <w:tcPr>
            <w:tcW w:w="882" w:type="pct"/>
          </w:tcPr>
          <w:p w14:paraId="46B577AE" w14:textId="77777777" w:rsidR="00415019" w:rsidRPr="00CC2151" w:rsidRDefault="00415019" w:rsidP="00C159AF">
            <w:pPr>
              <w:pStyle w:val="GazetteTableText"/>
              <w:rPr>
                <w:sz w:val="16"/>
                <w:szCs w:val="16"/>
                <w:u w:color="000000"/>
              </w:rPr>
            </w:pPr>
            <w:r w:rsidRPr="00CC2151">
              <w:rPr>
                <w:sz w:val="16"/>
                <w:szCs w:val="16"/>
                <w:u w:color="000000"/>
              </w:rPr>
              <w:t>83025</w:t>
            </w:r>
          </w:p>
        </w:tc>
        <w:tc>
          <w:tcPr>
            <w:tcW w:w="1583" w:type="pct"/>
          </w:tcPr>
          <w:p w14:paraId="3ABD3623" w14:textId="77777777" w:rsidR="00415019" w:rsidRPr="00CC2151" w:rsidRDefault="00415019" w:rsidP="00C159AF">
            <w:pPr>
              <w:pStyle w:val="GazetteTableText"/>
              <w:rPr>
                <w:sz w:val="16"/>
                <w:szCs w:val="16"/>
                <w:u w:color="000000"/>
              </w:rPr>
            </w:pPr>
            <w:proofErr w:type="spellStart"/>
            <w:r w:rsidRPr="00CC2151">
              <w:rPr>
                <w:sz w:val="16"/>
                <w:szCs w:val="16"/>
                <w:u w:color="000000"/>
              </w:rPr>
              <w:t>Delfos</w:t>
            </w:r>
            <w:proofErr w:type="spellEnd"/>
            <w:r w:rsidRPr="00CC2151">
              <w:rPr>
                <w:sz w:val="16"/>
                <w:szCs w:val="16"/>
                <w:u w:color="000000"/>
              </w:rPr>
              <w:t xml:space="preserve"> 5G Insecticide</w:t>
            </w:r>
          </w:p>
        </w:tc>
        <w:tc>
          <w:tcPr>
            <w:tcW w:w="1359" w:type="pct"/>
          </w:tcPr>
          <w:p w14:paraId="07D2B416" w14:textId="77777777" w:rsidR="00415019" w:rsidRPr="00CC2151" w:rsidRDefault="00415019" w:rsidP="00C159AF">
            <w:pPr>
              <w:pStyle w:val="GazetteTableText"/>
              <w:rPr>
                <w:sz w:val="16"/>
                <w:szCs w:val="16"/>
                <w:u w:color="000000"/>
              </w:rPr>
            </w:pPr>
            <w:r w:rsidRPr="00CC2151">
              <w:rPr>
                <w:sz w:val="16"/>
                <w:szCs w:val="16"/>
                <w:u w:color="000000"/>
              </w:rPr>
              <w:t xml:space="preserve">Industrial </w:t>
            </w:r>
            <w:proofErr w:type="spellStart"/>
            <w:r w:rsidRPr="00CC2151">
              <w:rPr>
                <w:sz w:val="16"/>
                <w:szCs w:val="16"/>
                <w:u w:color="000000"/>
              </w:rPr>
              <w:t>Quimica</w:t>
            </w:r>
            <w:proofErr w:type="spellEnd"/>
            <w:r w:rsidRPr="00CC2151">
              <w:rPr>
                <w:sz w:val="16"/>
                <w:szCs w:val="16"/>
                <w:u w:color="000000"/>
              </w:rPr>
              <w:t xml:space="preserve"> Key S.A.</w:t>
            </w:r>
          </w:p>
        </w:tc>
        <w:tc>
          <w:tcPr>
            <w:tcW w:w="1176" w:type="pct"/>
          </w:tcPr>
          <w:p w14:paraId="39535B87" w14:textId="77777777" w:rsidR="00415019" w:rsidRPr="00CC2151" w:rsidRDefault="00415019" w:rsidP="00C159AF">
            <w:pPr>
              <w:pStyle w:val="GazetteTableText"/>
              <w:rPr>
                <w:sz w:val="16"/>
                <w:szCs w:val="16"/>
                <w:u w:color="000000"/>
              </w:rPr>
            </w:pPr>
            <w:r w:rsidRPr="00CC2151">
              <w:rPr>
                <w:sz w:val="16"/>
                <w:szCs w:val="16"/>
                <w:u w:color="000000"/>
              </w:rPr>
              <w:t>83025/107339</w:t>
            </w:r>
          </w:p>
        </w:tc>
      </w:tr>
    </w:tbl>
    <w:p w14:paraId="4E1D65AF" w14:textId="77777777" w:rsidR="006B4FEC" w:rsidRDefault="006B4FEC" w:rsidP="00CC2151">
      <w:pPr>
        <w:pStyle w:val="BodyText"/>
      </w:pPr>
    </w:p>
    <w:p w14:paraId="58D2B773" w14:textId="77777777" w:rsidR="006B4FEC" w:rsidRDefault="006B4FEC">
      <w:r>
        <w:br w:type="page"/>
      </w:r>
    </w:p>
    <w:p w14:paraId="26D49E8E" w14:textId="77777777" w:rsidR="006B4FEC" w:rsidRDefault="006B4FEC" w:rsidP="003C69F4">
      <w:pPr>
        <w:pStyle w:val="Heading1"/>
        <w:spacing w:before="840"/>
      </w:pPr>
      <w:r>
        <w:lastRenderedPageBreak/>
        <w:t>Statement of Reasons for regulatory Decision to Cancel registrations of chlorpyrifos</w:t>
      </w:r>
      <w:r w:rsidDel="00125A45">
        <w:t xml:space="preserve"> </w:t>
      </w:r>
      <w:r>
        <w:t>home garden and domestic pest control products</w:t>
      </w:r>
    </w:p>
    <w:p w14:paraId="45D37704" w14:textId="77777777" w:rsidR="006B4FEC" w:rsidRDefault="006B4FEC" w:rsidP="006B4FEC">
      <w:pPr>
        <w:pStyle w:val="Heading1"/>
      </w:pPr>
      <w:r>
        <w:t>Decision</w:t>
      </w:r>
    </w:p>
    <w:p w14:paraId="5C89AE97" w14:textId="77777777" w:rsidR="006B4FEC" w:rsidRDefault="006B4FEC" w:rsidP="003C69F4">
      <w:pPr>
        <w:pStyle w:val="NumberLevel1"/>
        <w:numPr>
          <w:ilvl w:val="0"/>
          <w:numId w:val="36"/>
        </w:numPr>
        <w:tabs>
          <w:tab w:val="clear" w:pos="709"/>
          <w:tab w:val="num" w:pos="426"/>
        </w:tabs>
        <w:ind w:firstLine="0"/>
      </w:pPr>
      <w:r>
        <w:t>I, Dr Maggie Hardy, a delegate of the Australian Pesticides and Veterinary Medicines Authority (</w:t>
      </w:r>
      <w:r w:rsidRPr="00787A9C">
        <w:rPr>
          <w:b/>
        </w:rPr>
        <w:t>APVMA</w:t>
      </w:r>
      <w:r>
        <w:t>) for the purposes of section 34AA</w:t>
      </w:r>
      <w:r w:rsidRPr="00787A9C">
        <w:t xml:space="preserve"> </w:t>
      </w:r>
      <w:r>
        <w:t xml:space="preserve">of the Agricultural and Veterinary Chemicals Code in the Schedule to the </w:t>
      </w:r>
      <w:r w:rsidRPr="004B089C">
        <w:rPr>
          <w:i/>
        </w:rPr>
        <w:t>Agricultural and Veterinary Chemicals Code Act 1994</w:t>
      </w:r>
      <w:r>
        <w:t xml:space="preserve"> (</w:t>
      </w:r>
      <w:proofErr w:type="spellStart"/>
      <w:r>
        <w:t>Cth</w:t>
      </w:r>
      <w:proofErr w:type="spellEnd"/>
      <w:r>
        <w:t>) (</w:t>
      </w:r>
      <w:r w:rsidRPr="004B089C">
        <w:rPr>
          <w:b/>
        </w:rPr>
        <w:t>Code</w:t>
      </w:r>
      <w:r>
        <w:t>) have cancelled the registrations of the chemical products (</w:t>
      </w:r>
      <w:r w:rsidRPr="004B089C">
        <w:rPr>
          <w:b/>
        </w:rPr>
        <w:t>products</w:t>
      </w:r>
      <w:r>
        <w:t>)</w:t>
      </w:r>
      <w:r w:rsidRPr="004B089C">
        <w:rPr>
          <w:b/>
        </w:rPr>
        <w:t xml:space="preserve"> </w:t>
      </w:r>
      <w:r>
        <w:t xml:space="preserve">listed in the table in </w:t>
      </w:r>
      <w:r>
        <w:rPr>
          <w:b/>
        </w:rPr>
        <w:t>Table 1</w:t>
      </w:r>
      <w:r>
        <w:t xml:space="preserve"> under section 34AA of the Code (</w:t>
      </w:r>
      <w:r w:rsidRPr="004B089C">
        <w:rPr>
          <w:b/>
        </w:rPr>
        <w:t>Code</w:t>
      </w:r>
      <w:r>
        <w:t>) (</w:t>
      </w:r>
      <w:r>
        <w:rPr>
          <w:b/>
        </w:rPr>
        <w:t xml:space="preserve">the </w:t>
      </w:r>
      <w:r w:rsidRPr="004B089C">
        <w:rPr>
          <w:b/>
        </w:rPr>
        <w:t>decision</w:t>
      </w:r>
      <w:r>
        <w:t>).</w:t>
      </w:r>
    </w:p>
    <w:p w14:paraId="28FBC467" w14:textId="77777777" w:rsidR="006B4FEC" w:rsidRDefault="006B4FEC" w:rsidP="003C69F4">
      <w:pPr>
        <w:pStyle w:val="NumberLevel1"/>
        <w:numPr>
          <w:ilvl w:val="0"/>
          <w:numId w:val="36"/>
        </w:numPr>
        <w:ind w:firstLine="0"/>
      </w:pPr>
      <w:r>
        <w:t>This document forms part of the notice of cancellation under section 45A of the Code and sets out my reasons for the cancellation, as required by paragraph </w:t>
      </w:r>
      <w:proofErr w:type="gramStart"/>
      <w:r>
        <w:t>45A(</w:t>
      </w:r>
      <w:proofErr w:type="gramEnd"/>
      <w:r>
        <w:t>2)(b)(</w:t>
      </w:r>
      <w:proofErr w:type="spellStart"/>
      <w:r>
        <w:t>i</w:t>
      </w:r>
      <w:proofErr w:type="spellEnd"/>
      <w:r>
        <w:t>) of the Code.</w:t>
      </w:r>
    </w:p>
    <w:p w14:paraId="5DAA6C52" w14:textId="77777777" w:rsidR="006B4FEC" w:rsidRDefault="006B4FEC" w:rsidP="006B4FEC">
      <w:pPr>
        <w:pStyle w:val="Heading1"/>
      </w:pPr>
      <w:r>
        <w:t>Legal Framework</w:t>
      </w:r>
    </w:p>
    <w:p w14:paraId="6E0A7BE0" w14:textId="77777777" w:rsidR="006B4FEC" w:rsidRDefault="006B4FEC" w:rsidP="003C69F4">
      <w:pPr>
        <w:pStyle w:val="NumberLevel1"/>
        <w:ind w:firstLine="0"/>
      </w:pPr>
      <w:r>
        <w:t>Unless otherwise indicated, references to sections are references to the Code.</w:t>
      </w:r>
    </w:p>
    <w:p w14:paraId="233F2468" w14:textId="77777777" w:rsidR="006B4FEC" w:rsidRPr="00445784" w:rsidRDefault="006B4FEC" w:rsidP="006B4FEC">
      <w:pPr>
        <w:pStyle w:val="Heading2"/>
        <w:spacing w:before="360" w:line="280" w:lineRule="atLeast"/>
        <w:rPr>
          <w:rFonts w:ascii="Arial Bold" w:hAnsi="Arial Bold"/>
          <w:b w:val="0"/>
          <w:bCs w:val="0"/>
          <w:iCs w:val="0"/>
          <w:sz w:val="20"/>
          <w:lang w:eastAsia="en-AU"/>
        </w:rPr>
      </w:pPr>
      <w:r w:rsidRPr="00445784">
        <w:rPr>
          <w:rFonts w:ascii="Arial Bold" w:hAnsi="Arial Bold"/>
          <w:sz w:val="20"/>
          <w:lang w:eastAsia="en-AU"/>
        </w:rPr>
        <w:t>Reconsideration of registration</w:t>
      </w:r>
    </w:p>
    <w:p w14:paraId="48647024" w14:textId="77777777" w:rsidR="006B4FEC" w:rsidRDefault="006B4FEC" w:rsidP="003C69F4">
      <w:pPr>
        <w:pStyle w:val="NumberLevel1"/>
        <w:ind w:firstLine="0"/>
      </w:pPr>
      <w:r>
        <w:t>Section 31 of the Code provides that the APVMA may reconsider, relevantly, the registration of a chemical product. The reconsideration process is to be undertaken in accordance with the provisions of Division 4 of Part 2 of the Code.</w:t>
      </w:r>
    </w:p>
    <w:p w14:paraId="502EDE0F" w14:textId="77777777" w:rsidR="006B4FEC" w:rsidRPr="004B089C" w:rsidRDefault="006B4FEC" w:rsidP="006B4FEC">
      <w:pPr>
        <w:pStyle w:val="NumberLevel1"/>
        <w:numPr>
          <w:ilvl w:val="0"/>
          <w:numId w:val="0"/>
        </w:numPr>
        <w:spacing w:before="360" w:after="0"/>
        <w:rPr>
          <w:i/>
          <w:u w:val="single"/>
        </w:rPr>
      </w:pPr>
      <w:r w:rsidRPr="004B089C">
        <w:rPr>
          <w:i/>
          <w:u w:val="single"/>
        </w:rPr>
        <w:t>Notification and provision of information</w:t>
      </w:r>
    </w:p>
    <w:p w14:paraId="3109BC24" w14:textId="77777777" w:rsidR="006B4FEC" w:rsidRDefault="006B4FEC" w:rsidP="003C69F4">
      <w:pPr>
        <w:pStyle w:val="NumberLevel1"/>
        <w:ind w:firstLine="0"/>
      </w:pPr>
      <w:r>
        <w:t>Subsection 32(1) of the Code provides that the APVMA must notify the holder of the registration of the matters it proposes to deal with in the reconsideration and its reasons for so proposing, and invite the holder to make a written submission on the reconsideration. The holder will also be required by the notice to give to the APVMA information relevant to the reconsideration that is either required by the notice, or that the holder is aware of.</w:t>
      </w:r>
    </w:p>
    <w:p w14:paraId="5D8390FC" w14:textId="77777777" w:rsidR="006B4FEC" w:rsidRDefault="006B4FEC" w:rsidP="003C69F4">
      <w:pPr>
        <w:pStyle w:val="NumberLevel1"/>
        <w:ind w:firstLine="0"/>
      </w:pPr>
      <w:r>
        <w:t>Subsection 32(2) of the Code also provides for the APVMA to, if it considers it desirable to do so, inform any persons, in any manner that it thinks appropriate, that the APVMA proposes to reconsider, or is reconsidering, the registration. Subsection 32(2A) sets out the requirements of such a notice.</w:t>
      </w:r>
    </w:p>
    <w:p w14:paraId="1B5E0092" w14:textId="77777777" w:rsidR="006B4FEC" w:rsidRDefault="006B4FEC" w:rsidP="003C69F4">
      <w:pPr>
        <w:pStyle w:val="NumberLevel1"/>
        <w:ind w:firstLine="0"/>
      </w:pPr>
      <w:r>
        <w:t>Under section 33 of the Code, the APVMA may also require, by written notice, the holder to conduct trials or experiments, or provide information or samples, for the purposes of the reconsideration.</w:t>
      </w:r>
    </w:p>
    <w:p w14:paraId="00489F89" w14:textId="77777777" w:rsidR="006B4FEC" w:rsidRPr="004B089C" w:rsidRDefault="006B4FEC" w:rsidP="006B4FEC">
      <w:pPr>
        <w:pStyle w:val="StyleHeading3H310ptItalic"/>
        <w:rPr>
          <w:i/>
        </w:rPr>
      </w:pPr>
      <w:r w:rsidRPr="004B089C">
        <w:rPr>
          <w:i/>
        </w:rPr>
        <w:t>Affirmation</w:t>
      </w:r>
    </w:p>
    <w:p w14:paraId="7D1CEA9C" w14:textId="77777777" w:rsidR="006B4FEC" w:rsidRDefault="006B4FEC" w:rsidP="003C69F4">
      <w:pPr>
        <w:pStyle w:val="NumberLevel1"/>
        <w:ind w:firstLine="0"/>
      </w:pPr>
      <w:r>
        <w:t>Subsection 34(1) of the Code relevantly provides that the APVMA must affirm the registration of a chemical product if, and only if, it is satisfied that the product:</w:t>
      </w:r>
    </w:p>
    <w:p w14:paraId="59616A71" w14:textId="77777777" w:rsidR="006B4FEC" w:rsidRDefault="006B4FEC" w:rsidP="006B4FEC">
      <w:pPr>
        <w:pStyle w:val="NumberLevel2"/>
      </w:pPr>
      <w:r>
        <w:t>for a chemical product – that the product meets the safety criteria, the trade criteria and the efficacy criteria;</w:t>
      </w:r>
      <w:r>
        <w:rPr>
          <w:rStyle w:val="FootnoteReference"/>
        </w:rPr>
        <w:footnoteReference w:id="1"/>
      </w:r>
      <w:r>
        <w:t xml:space="preserve"> and</w:t>
      </w:r>
    </w:p>
    <w:p w14:paraId="093D5E60" w14:textId="77777777" w:rsidR="006B4FEC" w:rsidRDefault="006B4FEC" w:rsidP="006B4FEC">
      <w:pPr>
        <w:pStyle w:val="NumberLevel2"/>
      </w:pPr>
      <w:proofErr w:type="gramStart"/>
      <w:r>
        <w:t>complies</w:t>
      </w:r>
      <w:proofErr w:type="gramEnd"/>
      <w:r>
        <w:t xml:space="preserve"> with any requirement prescribed by the regulations.</w:t>
      </w:r>
      <w:r>
        <w:rPr>
          <w:rStyle w:val="FootnoteReference"/>
        </w:rPr>
        <w:footnoteReference w:id="2"/>
      </w:r>
      <w:r>
        <w:t xml:space="preserve"> </w:t>
      </w:r>
    </w:p>
    <w:p w14:paraId="125A3CE1" w14:textId="676090D3" w:rsidR="006B4FEC" w:rsidRDefault="006B4FEC" w:rsidP="003C69F4">
      <w:pPr>
        <w:pStyle w:val="NumberLevel1"/>
        <w:ind w:firstLine="0"/>
      </w:pPr>
      <w:r>
        <w:t>Paragraph 34(3)(a) sets out the following matters that must be considered by the APVMA</w:t>
      </w:r>
      <w:r w:rsidR="00AA3402">
        <w:t xml:space="preserve"> for the purposes of subsection </w:t>
      </w:r>
      <w:r>
        <w:t>34(1):</w:t>
      </w:r>
    </w:p>
    <w:p w14:paraId="2ADE3977" w14:textId="4C00B56D" w:rsidR="006B4FEC" w:rsidRPr="004B089C" w:rsidRDefault="00AA3402" w:rsidP="006B4FEC">
      <w:pPr>
        <w:pStyle w:val="NumberLevel1"/>
        <w:numPr>
          <w:ilvl w:val="0"/>
          <w:numId w:val="0"/>
        </w:numPr>
        <w:spacing w:line="240" w:lineRule="auto"/>
        <w:ind w:left="1134" w:hanging="567"/>
        <w:rPr>
          <w:sz w:val="16"/>
          <w:szCs w:val="16"/>
        </w:rPr>
      </w:pPr>
      <w:r>
        <w:rPr>
          <w:sz w:val="16"/>
          <w:szCs w:val="16"/>
        </w:rPr>
        <w:t>(</w:t>
      </w:r>
      <w:proofErr w:type="spellStart"/>
      <w:r>
        <w:rPr>
          <w:sz w:val="16"/>
          <w:szCs w:val="16"/>
        </w:rPr>
        <w:t>i</w:t>
      </w:r>
      <w:proofErr w:type="spellEnd"/>
      <w:r>
        <w:rPr>
          <w:sz w:val="16"/>
          <w:szCs w:val="16"/>
        </w:rPr>
        <w:t>) </w:t>
      </w:r>
      <w:r w:rsidR="006B4FEC" w:rsidRPr="004B089C">
        <w:rPr>
          <w:sz w:val="16"/>
          <w:szCs w:val="16"/>
        </w:rPr>
        <w:tab/>
      </w:r>
      <w:proofErr w:type="gramStart"/>
      <w:r w:rsidR="006B4FEC" w:rsidRPr="004B089C">
        <w:rPr>
          <w:sz w:val="16"/>
          <w:szCs w:val="16"/>
        </w:rPr>
        <w:t>any</w:t>
      </w:r>
      <w:proofErr w:type="gramEnd"/>
      <w:r w:rsidR="006B4FEC" w:rsidRPr="004B089C">
        <w:rPr>
          <w:sz w:val="16"/>
          <w:szCs w:val="16"/>
        </w:rPr>
        <w:t xml:space="preserve"> information given, or submissions made, to the APVMA in response to </w:t>
      </w:r>
      <w:r>
        <w:rPr>
          <w:sz w:val="16"/>
          <w:szCs w:val="16"/>
        </w:rPr>
        <w:t xml:space="preserve">a notice given under subsection </w:t>
      </w:r>
      <w:r w:rsidR="006B4FEC" w:rsidRPr="004B089C">
        <w:rPr>
          <w:sz w:val="16"/>
          <w:szCs w:val="16"/>
        </w:rPr>
        <w:t>32(1); and</w:t>
      </w:r>
    </w:p>
    <w:p w14:paraId="2A4F46C6" w14:textId="77777777" w:rsidR="006B4FEC" w:rsidRPr="004B089C" w:rsidRDefault="006B4FEC" w:rsidP="006B4FEC">
      <w:pPr>
        <w:pStyle w:val="NumberLevel1"/>
        <w:numPr>
          <w:ilvl w:val="0"/>
          <w:numId w:val="0"/>
        </w:numPr>
        <w:spacing w:line="240" w:lineRule="auto"/>
        <w:ind w:left="1134" w:hanging="567"/>
        <w:rPr>
          <w:sz w:val="16"/>
          <w:szCs w:val="16"/>
        </w:rPr>
      </w:pPr>
      <w:r w:rsidRPr="004B089C">
        <w:rPr>
          <w:sz w:val="16"/>
          <w:szCs w:val="16"/>
        </w:rPr>
        <w:lastRenderedPageBreak/>
        <w:t xml:space="preserve">(ii)  </w:t>
      </w:r>
      <w:r w:rsidRPr="004B089C">
        <w:rPr>
          <w:sz w:val="16"/>
          <w:szCs w:val="16"/>
        </w:rPr>
        <w:tab/>
      </w:r>
      <w:proofErr w:type="gramStart"/>
      <w:r w:rsidRPr="004B089C">
        <w:rPr>
          <w:sz w:val="16"/>
          <w:szCs w:val="16"/>
        </w:rPr>
        <w:t>any</w:t>
      </w:r>
      <w:proofErr w:type="gramEnd"/>
      <w:r w:rsidRPr="004B089C">
        <w:rPr>
          <w:sz w:val="16"/>
          <w:szCs w:val="16"/>
        </w:rPr>
        <w:t xml:space="preserve"> submissions made to the APVMA in response to an invitation under paragraph 32(2A)(b) or 34AB(2)(f); and</w:t>
      </w:r>
    </w:p>
    <w:p w14:paraId="3E5AEAC7" w14:textId="77777777" w:rsidR="006B4FEC" w:rsidRPr="004B089C" w:rsidRDefault="006B4FEC" w:rsidP="006B4FEC">
      <w:pPr>
        <w:pStyle w:val="NumberLevel1"/>
        <w:numPr>
          <w:ilvl w:val="0"/>
          <w:numId w:val="0"/>
        </w:numPr>
        <w:spacing w:line="240" w:lineRule="auto"/>
        <w:ind w:left="1134" w:hanging="567"/>
        <w:rPr>
          <w:sz w:val="16"/>
          <w:szCs w:val="16"/>
        </w:rPr>
      </w:pPr>
      <w:r w:rsidRPr="004B089C">
        <w:rPr>
          <w:sz w:val="16"/>
          <w:szCs w:val="16"/>
        </w:rPr>
        <w:t xml:space="preserve">(iii)  </w:t>
      </w:r>
      <w:r w:rsidRPr="004B089C">
        <w:rPr>
          <w:sz w:val="16"/>
          <w:szCs w:val="16"/>
        </w:rPr>
        <w:tab/>
      </w:r>
      <w:proofErr w:type="gramStart"/>
      <w:r w:rsidRPr="004B089C">
        <w:rPr>
          <w:sz w:val="16"/>
          <w:szCs w:val="16"/>
        </w:rPr>
        <w:t>any</w:t>
      </w:r>
      <w:proofErr w:type="gramEnd"/>
      <w:r w:rsidRPr="004B089C">
        <w:rPr>
          <w:sz w:val="16"/>
          <w:szCs w:val="16"/>
        </w:rPr>
        <w:t xml:space="preserve"> information given by the holder in response to an invitation given by the APVMA (whether or not under this Code) in relation to the constituent, product or label; and</w:t>
      </w:r>
    </w:p>
    <w:p w14:paraId="40EDADC2" w14:textId="77777777" w:rsidR="006B4FEC" w:rsidRPr="004B089C" w:rsidRDefault="006B4FEC" w:rsidP="006B4FEC">
      <w:pPr>
        <w:pStyle w:val="NumberLevel1"/>
        <w:numPr>
          <w:ilvl w:val="0"/>
          <w:numId w:val="0"/>
        </w:numPr>
        <w:spacing w:line="240" w:lineRule="auto"/>
        <w:ind w:left="1134" w:hanging="567"/>
        <w:rPr>
          <w:sz w:val="16"/>
          <w:szCs w:val="16"/>
        </w:rPr>
      </w:pPr>
      <w:r w:rsidRPr="004B089C">
        <w:rPr>
          <w:sz w:val="16"/>
          <w:szCs w:val="16"/>
        </w:rPr>
        <w:t xml:space="preserve">(iv)  </w:t>
      </w:r>
      <w:r w:rsidRPr="004B089C">
        <w:rPr>
          <w:sz w:val="16"/>
          <w:szCs w:val="16"/>
        </w:rPr>
        <w:tab/>
      </w:r>
      <w:proofErr w:type="gramStart"/>
      <w:r w:rsidRPr="004B089C">
        <w:rPr>
          <w:sz w:val="16"/>
          <w:szCs w:val="16"/>
        </w:rPr>
        <w:t>any</w:t>
      </w:r>
      <w:proofErr w:type="gramEnd"/>
      <w:r w:rsidRPr="004B089C">
        <w:rPr>
          <w:sz w:val="16"/>
          <w:szCs w:val="16"/>
        </w:rPr>
        <w:t xml:space="preserve"> information, report, results or sample given to the APVMA in response to a notice given under section 33; and</w:t>
      </w:r>
    </w:p>
    <w:p w14:paraId="792FC0AB" w14:textId="77777777" w:rsidR="006B4FEC" w:rsidRPr="004B089C" w:rsidRDefault="006B4FEC" w:rsidP="006B4FEC">
      <w:pPr>
        <w:pStyle w:val="NumberLevel1"/>
        <w:numPr>
          <w:ilvl w:val="0"/>
          <w:numId w:val="0"/>
        </w:numPr>
        <w:spacing w:line="240" w:lineRule="auto"/>
        <w:ind w:left="1134" w:hanging="567"/>
        <w:rPr>
          <w:sz w:val="16"/>
          <w:szCs w:val="16"/>
        </w:rPr>
      </w:pPr>
      <w:r w:rsidRPr="004B089C">
        <w:rPr>
          <w:sz w:val="16"/>
          <w:szCs w:val="16"/>
        </w:rPr>
        <w:t xml:space="preserve">(v)  </w:t>
      </w:r>
      <w:r w:rsidRPr="004B089C">
        <w:rPr>
          <w:sz w:val="16"/>
          <w:szCs w:val="16"/>
        </w:rPr>
        <w:tab/>
      </w:r>
      <w:proofErr w:type="gramStart"/>
      <w:r w:rsidRPr="004B089C">
        <w:rPr>
          <w:sz w:val="16"/>
          <w:szCs w:val="16"/>
        </w:rPr>
        <w:t>any</w:t>
      </w:r>
      <w:proofErr w:type="gramEnd"/>
      <w:r w:rsidRPr="004B089C">
        <w:rPr>
          <w:sz w:val="16"/>
          <w:szCs w:val="16"/>
        </w:rPr>
        <w:t xml:space="preserve"> information given to the APVMA as required by section 161 in relation to the constituent, product or label; and</w:t>
      </w:r>
    </w:p>
    <w:p w14:paraId="37FF4E1E" w14:textId="77777777" w:rsidR="006B4FEC" w:rsidRPr="004B089C" w:rsidRDefault="006B4FEC" w:rsidP="006B4FEC">
      <w:pPr>
        <w:pStyle w:val="NumberLevel1"/>
        <w:numPr>
          <w:ilvl w:val="0"/>
          <w:numId w:val="0"/>
        </w:numPr>
        <w:spacing w:line="240" w:lineRule="auto"/>
        <w:ind w:left="1134" w:hanging="567"/>
        <w:rPr>
          <w:sz w:val="16"/>
          <w:szCs w:val="16"/>
        </w:rPr>
      </w:pPr>
      <w:r w:rsidRPr="004B089C">
        <w:rPr>
          <w:sz w:val="16"/>
          <w:szCs w:val="16"/>
        </w:rPr>
        <w:t xml:space="preserve">(vi)  </w:t>
      </w:r>
      <w:r w:rsidRPr="004B089C">
        <w:rPr>
          <w:sz w:val="16"/>
          <w:szCs w:val="16"/>
        </w:rPr>
        <w:tab/>
      </w:r>
      <w:proofErr w:type="gramStart"/>
      <w:r w:rsidRPr="004B089C">
        <w:rPr>
          <w:sz w:val="16"/>
          <w:szCs w:val="16"/>
        </w:rPr>
        <w:t>any</w:t>
      </w:r>
      <w:proofErr w:type="gramEnd"/>
      <w:r w:rsidRPr="004B089C">
        <w:rPr>
          <w:sz w:val="16"/>
          <w:szCs w:val="16"/>
        </w:rPr>
        <w:t xml:space="preserve"> other information that it considers necessary to enable it to make a decision on the reconsideration</w:t>
      </w:r>
      <w:r>
        <w:rPr>
          <w:sz w:val="16"/>
          <w:szCs w:val="16"/>
        </w:rPr>
        <w:t>.</w:t>
      </w:r>
    </w:p>
    <w:p w14:paraId="5864A140" w14:textId="77777777" w:rsidR="006B4FEC" w:rsidRDefault="006B4FEC" w:rsidP="003C69F4">
      <w:pPr>
        <w:pStyle w:val="NumberLevel1"/>
        <w:ind w:firstLine="0"/>
      </w:pPr>
      <w:r>
        <w:t>Paragraph 34(3</w:t>
      </w:r>
      <w:proofErr w:type="gramStart"/>
      <w:r>
        <w:t>)(</w:t>
      </w:r>
      <w:proofErr w:type="gramEnd"/>
      <w:r>
        <w:t>b) provides that the APVMA must not take into account any submission, information, report, results or sample that is not covered by paragraph 34(3)(a).</w:t>
      </w:r>
    </w:p>
    <w:p w14:paraId="278AF19D" w14:textId="37522DE6" w:rsidR="006B4FEC" w:rsidRDefault="006B4FEC" w:rsidP="003C69F4">
      <w:pPr>
        <w:pStyle w:val="NumberLevel1"/>
        <w:ind w:firstLine="0"/>
      </w:pPr>
      <w:r>
        <w:t>If the APVMA is not satisfied as mentioned in subsection 34(1), but it is satisfied that the relevant particulars or conditions of registration of the product can be varied in such a way as to allow the</w:t>
      </w:r>
      <w:r w:rsidR="00AA3402">
        <w:t xml:space="preserve"> registration to be affirmed (</w:t>
      </w:r>
      <w:proofErr w:type="spellStart"/>
      <w:r w:rsidR="00AA3402">
        <w:t>i</w:t>
      </w:r>
      <w:r>
        <w:t>e</w:t>
      </w:r>
      <w:proofErr w:type="spellEnd"/>
      <w:r>
        <w:t xml:space="preserve"> if the relevant particulars or conditions of registration can be varied so as to allow APVMA to be satisfied of the relevant matters in subsection 34(1)), then the APVMA must vary the relevant particulars or conditions accordingly.</w:t>
      </w:r>
      <w:r>
        <w:rPr>
          <w:rStyle w:val="FootnoteReference"/>
        </w:rPr>
        <w:footnoteReference w:id="3"/>
      </w:r>
      <w:r>
        <w:t xml:space="preserve"> It must then affirm the registration.</w:t>
      </w:r>
      <w:r>
        <w:rPr>
          <w:rStyle w:val="FootnoteReference"/>
        </w:rPr>
        <w:footnoteReference w:id="4"/>
      </w:r>
    </w:p>
    <w:p w14:paraId="1863D3F4" w14:textId="77777777" w:rsidR="006B4FEC" w:rsidRPr="00911B18" w:rsidRDefault="006B4FEC" w:rsidP="006B4FEC">
      <w:pPr>
        <w:pStyle w:val="NumberLevel1"/>
        <w:numPr>
          <w:ilvl w:val="0"/>
          <w:numId w:val="0"/>
        </w:numPr>
        <w:spacing w:before="360" w:after="0"/>
      </w:pPr>
      <w:r w:rsidRPr="004B089C">
        <w:rPr>
          <w:i/>
          <w:u w:val="single"/>
        </w:rPr>
        <w:t>Suspension or cancellation</w:t>
      </w:r>
    </w:p>
    <w:p w14:paraId="48C6E8CB" w14:textId="77777777" w:rsidR="006B4FEC" w:rsidRPr="00E66383" w:rsidRDefault="006B4FEC" w:rsidP="003C69F4">
      <w:pPr>
        <w:pStyle w:val="NumberLevel1"/>
        <w:ind w:firstLine="0"/>
      </w:pPr>
      <w:r>
        <w:t xml:space="preserve">If the APVMA does not affirm the registration, subsection </w:t>
      </w:r>
      <w:proofErr w:type="gramStart"/>
      <w:r>
        <w:t>34AA(</w:t>
      </w:r>
      <w:proofErr w:type="gramEnd"/>
      <w:r>
        <w:t>1) of the Code requires the APVMA to suspend or cancel the registration. In particular, if variation(s) to the relevant particulars and/or conditions of registration cannot remedy whatever issue or issues is or are preventing the APVMA from being satisfied as mentioned in subsection 34(1), the registration must be suspended or cancelled.</w:t>
      </w:r>
    </w:p>
    <w:p w14:paraId="11DD9395" w14:textId="77777777" w:rsidR="006B4FEC" w:rsidRPr="00445784" w:rsidRDefault="006B4FEC" w:rsidP="006B4FEC">
      <w:pPr>
        <w:pStyle w:val="Heading2"/>
        <w:spacing w:before="360" w:line="280" w:lineRule="atLeast"/>
        <w:rPr>
          <w:rFonts w:ascii="Arial Bold" w:hAnsi="Arial Bold"/>
          <w:b w:val="0"/>
          <w:bCs w:val="0"/>
          <w:iCs w:val="0"/>
          <w:sz w:val="20"/>
          <w:lang w:eastAsia="en-AU"/>
        </w:rPr>
      </w:pPr>
      <w:r w:rsidRPr="00445784">
        <w:rPr>
          <w:rFonts w:ascii="Arial Bold" w:hAnsi="Arial Bold"/>
          <w:sz w:val="20"/>
          <w:lang w:eastAsia="en-AU"/>
        </w:rPr>
        <w:t>Notice requirements</w:t>
      </w:r>
    </w:p>
    <w:p w14:paraId="7C737AD1" w14:textId="77777777" w:rsidR="006B4FEC" w:rsidRDefault="006B4FEC" w:rsidP="003C69F4">
      <w:pPr>
        <w:pStyle w:val="NumberLevel1"/>
        <w:ind w:firstLine="0"/>
      </w:pPr>
      <w:r>
        <w:t>Relevantly, if the APVMA proposes to vary the relevant particulars or conditions, or suspend or cancel a registration, section 34AB of the Code requires notice of that proposed decision to be given to the holder and to other persons informed of the reconsideration as mentioned in subsection 32(2). Such notice must comply with the requirements contained in subsection </w:t>
      </w:r>
      <w:proofErr w:type="gramStart"/>
      <w:r>
        <w:t>34AB(</w:t>
      </w:r>
      <w:proofErr w:type="gramEnd"/>
      <w:r>
        <w:t>2). These include a requirement that the notice include a draft statement of reasons for the proposed course of action,</w:t>
      </w:r>
      <w:r>
        <w:rPr>
          <w:rStyle w:val="FootnoteReference"/>
        </w:rPr>
        <w:footnoteReference w:id="5"/>
      </w:r>
      <w:r>
        <w:t xml:space="preserve"> and the information on which the reasons are based</w:t>
      </w:r>
      <w:r>
        <w:rPr>
          <w:rStyle w:val="FootnoteReference"/>
        </w:rPr>
        <w:footnoteReference w:id="6"/>
      </w:r>
      <w:r>
        <w:t>, and that the notice ‘</w:t>
      </w:r>
      <w:r w:rsidRPr="002D578B">
        <w:rPr>
          <w:i/>
        </w:rPr>
        <w:t>invite written submissions from the holder or other persons within 3 months</w:t>
      </w:r>
      <w:r>
        <w:t>’.</w:t>
      </w:r>
      <w:r>
        <w:rPr>
          <w:rStyle w:val="FootnoteReference"/>
        </w:rPr>
        <w:footnoteReference w:id="7"/>
      </w:r>
    </w:p>
    <w:p w14:paraId="753B8CE6" w14:textId="77777777" w:rsidR="006B4FEC" w:rsidRPr="00445784" w:rsidRDefault="006B4FEC" w:rsidP="006B4FEC">
      <w:pPr>
        <w:pStyle w:val="Heading2"/>
        <w:spacing w:before="360" w:line="280" w:lineRule="atLeast"/>
        <w:rPr>
          <w:rFonts w:ascii="Arial Bold" w:hAnsi="Arial Bold"/>
          <w:b w:val="0"/>
          <w:bCs w:val="0"/>
          <w:iCs w:val="0"/>
          <w:sz w:val="20"/>
          <w:lang w:eastAsia="en-AU"/>
        </w:rPr>
      </w:pPr>
      <w:r>
        <w:rPr>
          <w:rFonts w:ascii="Arial Bold" w:hAnsi="Arial Bold"/>
          <w:sz w:val="20"/>
          <w:lang w:eastAsia="en-AU"/>
        </w:rPr>
        <w:t>Consultation on proposed decisions</w:t>
      </w:r>
    </w:p>
    <w:p w14:paraId="08993FD4" w14:textId="77777777" w:rsidR="006B4FEC" w:rsidRDefault="006B4FEC" w:rsidP="003C69F4">
      <w:pPr>
        <w:pStyle w:val="NumberLevel1"/>
        <w:ind w:firstLine="0"/>
      </w:pPr>
      <w:r>
        <w:t xml:space="preserve">On 24 June 2019, the APVMA issued the holders with notices under section </w:t>
      </w:r>
      <w:proofErr w:type="gramStart"/>
      <w:r>
        <w:t>34AB(</w:t>
      </w:r>
      <w:proofErr w:type="gramEnd"/>
      <w:r>
        <w:t xml:space="preserve">1)(b) setting out its proposed decision in respect to registered </w:t>
      </w:r>
      <w:proofErr w:type="spellStart"/>
      <w:r>
        <w:t>chlorpyrifos</w:t>
      </w:r>
      <w:proofErr w:type="spellEnd"/>
      <w:r>
        <w:t xml:space="preserve"> home garden and domestic pest control products. In accordance with section </w:t>
      </w:r>
      <w:proofErr w:type="gramStart"/>
      <w:r>
        <w:t>34AB(</w:t>
      </w:r>
      <w:proofErr w:type="gramEnd"/>
      <w:r>
        <w:t>2)(f), the notices invited holders to make written submissions within 3 months.  This period expired on 22 September 2019.</w:t>
      </w:r>
    </w:p>
    <w:p w14:paraId="7A326D9F" w14:textId="77777777" w:rsidR="006B4FEC" w:rsidRDefault="006B4FEC" w:rsidP="003C69F4">
      <w:pPr>
        <w:pStyle w:val="NumberLevel1"/>
        <w:ind w:firstLine="0"/>
      </w:pPr>
      <w:r>
        <w:t xml:space="preserve">On 24 June 2019, pursuant to section 35(1)(a), the APVMA consulted with state and territory coordinators in writing on grounds of APVMA proposed regulatory decisions in the context of the reconsideration of </w:t>
      </w:r>
      <w:proofErr w:type="spellStart"/>
      <w:r>
        <w:t>chlorpyrifos</w:t>
      </w:r>
      <w:proofErr w:type="spellEnd"/>
      <w:r>
        <w:t>.</w:t>
      </w:r>
    </w:p>
    <w:p w14:paraId="7BA46325" w14:textId="77777777" w:rsidR="006B4FEC" w:rsidRPr="00445784" w:rsidRDefault="006B4FEC" w:rsidP="006B4FEC">
      <w:pPr>
        <w:pStyle w:val="Heading2"/>
        <w:spacing w:before="360" w:line="280" w:lineRule="atLeast"/>
        <w:rPr>
          <w:rFonts w:ascii="Arial Bold" w:hAnsi="Arial Bold"/>
          <w:b w:val="0"/>
          <w:bCs w:val="0"/>
          <w:iCs w:val="0"/>
          <w:sz w:val="20"/>
          <w:lang w:eastAsia="en-AU"/>
        </w:rPr>
      </w:pPr>
      <w:r>
        <w:rPr>
          <w:rFonts w:ascii="Arial Bold" w:hAnsi="Arial Bold"/>
          <w:sz w:val="20"/>
          <w:lang w:eastAsia="en-AU"/>
        </w:rPr>
        <w:lastRenderedPageBreak/>
        <w:t>Submission received</w:t>
      </w:r>
    </w:p>
    <w:p w14:paraId="6C7C8257" w14:textId="77777777" w:rsidR="006B4FEC" w:rsidRDefault="006B4FEC" w:rsidP="003C69F4">
      <w:pPr>
        <w:pStyle w:val="NumberLevel1"/>
        <w:ind w:firstLine="0"/>
      </w:pPr>
      <w:r>
        <w:t xml:space="preserve">No responses were received from the state and territory coordinators in response to the consultation. </w:t>
      </w:r>
    </w:p>
    <w:p w14:paraId="7FA14634" w14:textId="77777777" w:rsidR="006B4FEC" w:rsidRPr="00234090" w:rsidRDefault="006B4FEC" w:rsidP="003C69F4">
      <w:pPr>
        <w:pStyle w:val="NumberLevel1"/>
        <w:numPr>
          <w:ilvl w:val="0"/>
          <w:numId w:val="0"/>
        </w:numPr>
        <w:rPr>
          <w:i/>
        </w:rPr>
      </w:pPr>
      <w:r>
        <w:rPr>
          <w:i/>
        </w:rPr>
        <w:t xml:space="preserve">Submission from </w:t>
      </w:r>
      <w:proofErr w:type="spellStart"/>
      <w:r>
        <w:rPr>
          <w:i/>
        </w:rPr>
        <w:t>CropLife</w:t>
      </w:r>
      <w:proofErr w:type="spellEnd"/>
      <w:r>
        <w:rPr>
          <w:i/>
        </w:rPr>
        <w:t xml:space="preserve"> Australia </w:t>
      </w:r>
    </w:p>
    <w:p w14:paraId="690F29CE" w14:textId="77777777" w:rsidR="006B4FEC" w:rsidRPr="00823082" w:rsidRDefault="006B4FEC" w:rsidP="003C69F4">
      <w:pPr>
        <w:pStyle w:val="NumberLevel1"/>
        <w:ind w:firstLine="0"/>
      </w:pPr>
      <w:bookmarkStart w:id="3" w:name="_Ref19706622"/>
      <w:r>
        <w:t xml:space="preserve">In its submission dated 26 August 2019 </w:t>
      </w:r>
      <w:proofErr w:type="spellStart"/>
      <w:r>
        <w:t>CropLife</w:t>
      </w:r>
      <w:proofErr w:type="spellEnd"/>
      <w:r>
        <w:t xml:space="preserve"> sought clarity from the APVMA regarding the source and appropriateness of the transfer coefficient (TC) value of 60,000cm</w:t>
      </w:r>
      <w:r w:rsidRPr="00E7059F">
        <w:rPr>
          <w:vertAlign w:val="superscript"/>
        </w:rPr>
        <w:t>^</w:t>
      </w:r>
      <w:r>
        <w:t xml:space="preserve">2/hr for toddler on turf used in APVMA’s 2019 </w:t>
      </w:r>
      <w:proofErr w:type="spellStart"/>
      <w:r>
        <w:t>Chlorpyrifos</w:t>
      </w:r>
      <w:proofErr w:type="spellEnd"/>
      <w:r>
        <w:t xml:space="preserve"> Exposure Assessment update as t</w:t>
      </w:r>
      <w:r w:rsidRPr="00823082">
        <w:t xml:space="preserve">he USEPA 2000 </w:t>
      </w:r>
      <w:proofErr w:type="spellStart"/>
      <w:r w:rsidRPr="00823082">
        <w:t>chlorpyrifos</w:t>
      </w:r>
      <w:proofErr w:type="spellEnd"/>
      <w:r w:rsidRPr="00823082">
        <w:t xml:space="preserve"> review</w:t>
      </w:r>
      <w:r>
        <w:t>,</w:t>
      </w:r>
      <w:r w:rsidRPr="00823082">
        <w:t xml:space="preserve"> which considered in-home use, used 6,000 cm^2/hr for children in crack and crevice situations</w:t>
      </w:r>
      <w:r>
        <w:t>.</w:t>
      </w:r>
      <w:bookmarkEnd w:id="3"/>
    </w:p>
    <w:p w14:paraId="05C3B9DA" w14:textId="3839F590" w:rsidR="006B4FEC" w:rsidRPr="00823082" w:rsidRDefault="006B4FEC" w:rsidP="003C69F4">
      <w:pPr>
        <w:pStyle w:val="NumberLevel1"/>
        <w:ind w:firstLine="0"/>
      </w:pPr>
      <w:bookmarkStart w:id="4" w:name="_Ref19706632"/>
      <w:r>
        <w:t xml:space="preserve">On 5 September 2019 the APVMA clarified that it </w:t>
      </w:r>
      <w:r w:rsidRPr="00823082">
        <w:t xml:space="preserve">does not regard the use of outdated TCs and methodologies for crack and crevice treatment as </w:t>
      </w:r>
      <w:r>
        <w:t xml:space="preserve">they are not </w:t>
      </w:r>
      <w:r w:rsidRPr="00823082">
        <w:t>appropriate for tod</w:t>
      </w:r>
      <w:r>
        <w:t xml:space="preserve">dler on turf exposure modelling, and because the exposure </w:t>
      </w:r>
      <w:r w:rsidRPr="00823082">
        <w:t>scenario of a toddler on turf is not the same as the exposure scenario for crack and crevice use</w:t>
      </w:r>
      <w:r>
        <w:t xml:space="preserve">. The US EPA has updated </w:t>
      </w:r>
      <w:r w:rsidRPr="00823082">
        <w:t>exposure factors and methodology for the types of residential exposure scenarios</w:t>
      </w:r>
      <w:r>
        <w:t xml:space="preserve"> – the </w:t>
      </w:r>
      <w:hyperlink r:id="rId20" w:history="1">
        <w:r w:rsidRPr="00AA3402">
          <w:rPr>
            <w:rStyle w:val="Hyperlink"/>
          </w:rPr>
          <w:t>US EPA 2012 Standard Operating Procedures for Residential Pesticide Exposure Assessment</w:t>
        </w:r>
      </w:hyperlink>
      <w:r w:rsidRPr="00823082">
        <w:t xml:space="preserve"> </w:t>
      </w:r>
      <w:r>
        <w:t xml:space="preserve">and the </w:t>
      </w:r>
      <w:hyperlink r:id="rId21" w:history="1">
        <w:r w:rsidRPr="00AA3402">
          <w:rPr>
            <w:rStyle w:val="Hyperlink"/>
          </w:rPr>
          <w:t>US EPA 2017 Exposure Factors Handbook</w:t>
        </w:r>
      </w:hyperlink>
      <w:r w:rsidRPr="00823082">
        <w:t>.</w:t>
      </w:r>
      <w:r>
        <w:t xml:space="preserve"> </w:t>
      </w:r>
      <w:r w:rsidRPr="00823082">
        <w:t xml:space="preserve">The current US EPA Residential Exposure </w:t>
      </w:r>
      <w:hyperlink r:id="rId22" w:history="1">
        <w:r w:rsidRPr="00AA3402">
          <w:rPr>
            <w:rStyle w:val="Hyperlink"/>
          </w:rPr>
          <w:t>Assessment SOPs document</w:t>
        </w:r>
      </w:hyperlink>
      <w:r w:rsidR="00AA3402">
        <w:t xml:space="preserve"> </w:t>
      </w:r>
      <w:r w:rsidRPr="00823082">
        <w:t xml:space="preserve">indicates that the screening level point estimate </w:t>
      </w:r>
      <w:r>
        <w:t xml:space="preserve">TC for turf for children aged 1 to &lt; </w:t>
      </w:r>
      <w:r w:rsidRPr="00823082">
        <w:t>2 years should be 49,000 cm</w:t>
      </w:r>
      <w:r w:rsidRPr="00823082">
        <w:rPr>
          <w:vertAlign w:val="superscript"/>
        </w:rPr>
        <w:t>2</w:t>
      </w:r>
      <w:r w:rsidRPr="00823082">
        <w:t>/h or 54,000 cm</w:t>
      </w:r>
      <w:r w:rsidRPr="00823082">
        <w:rPr>
          <w:vertAlign w:val="superscript"/>
        </w:rPr>
        <w:t>2</w:t>
      </w:r>
      <w:r w:rsidRPr="00823082">
        <w:t>/h depending on formulation type</w:t>
      </w:r>
      <w:r>
        <w:t>. T</w:t>
      </w:r>
      <w:r w:rsidRPr="00823082">
        <w:t>he TC values of 49,000 cm</w:t>
      </w:r>
      <w:r w:rsidRPr="00823082">
        <w:rPr>
          <w:vertAlign w:val="superscript"/>
        </w:rPr>
        <w:t>2</w:t>
      </w:r>
      <w:r w:rsidRPr="00823082">
        <w:t>/h and 54,000 cm</w:t>
      </w:r>
      <w:r w:rsidRPr="00823082">
        <w:rPr>
          <w:vertAlign w:val="superscript"/>
        </w:rPr>
        <w:t>2</w:t>
      </w:r>
      <w:r w:rsidRPr="00823082">
        <w:t>/h are around the 50</w:t>
      </w:r>
      <w:r w:rsidRPr="00823082">
        <w:rPr>
          <w:vertAlign w:val="superscript"/>
        </w:rPr>
        <w:t>th</w:t>
      </w:r>
      <w:r w:rsidRPr="00823082">
        <w:t xml:space="preserve"> percentile of the distribution of available data </w:t>
      </w:r>
      <w:r>
        <w:t xml:space="preserve">for children aged 1 to &lt; 2 years of age </w:t>
      </w:r>
      <w:r w:rsidRPr="00823082">
        <w:t xml:space="preserve">considered by the US EPA in 2017. </w:t>
      </w:r>
      <w:r>
        <w:t>APVMA has used the US EPA recommended default screening assessment TC value of 49,000 cm</w:t>
      </w:r>
      <w:r w:rsidRPr="00A506FE">
        <w:rPr>
          <w:vertAlign w:val="superscript"/>
        </w:rPr>
        <w:t>2</w:t>
      </w:r>
      <w:r>
        <w:t xml:space="preserve">/h for children aged 1 to &lt; 2 years of age. </w:t>
      </w:r>
      <w:r w:rsidRPr="00823082">
        <w:t>APVMA</w:t>
      </w:r>
      <w:r>
        <w:t xml:space="preserve"> has used</w:t>
      </w:r>
      <w:r w:rsidRPr="00823082">
        <w:t xml:space="preserve"> a value of 60,000 cm</w:t>
      </w:r>
      <w:r w:rsidRPr="00823082">
        <w:rPr>
          <w:vertAlign w:val="superscript"/>
        </w:rPr>
        <w:t>2</w:t>
      </w:r>
      <w:r w:rsidRPr="00823082">
        <w:t xml:space="preserve">/h </w:t>
      </w:r>
      <w:r>
        <w:t>for children aged 2 to 3 years of age to account for their different patterns of behaviour compared with younger children. APVMA regards these values as appropriately health protective in relation to the Australian population.</w:t>
      </w:r>
      <w:bookmarkEnd w:id="4"/>
    </w:p>
    <w:p w14:paraId="40BD96E5" w14:textId="77777777" w:rsidR="006B4FEC" w:rsidRPr="00445784" w:rsidRDefault="006B4FEC" w:rsidP="006B4FEC">
      <w:pPr>
        <w:pStyle w:val="Heading2"/>
        <w:spacing w:before="360" w:line="280" w:lineRule="atLeast"/>
        <w:rPr>
          <w:rFonts w:ascii="Arial Bold" w:hAnsi="Arial Bold"/>
          <w:b w:val="0"/>
          <w:bCs w:val="0"/>
          <w:iCs w:val="0"/>
          <w:sz w:val="20"/>
          <w:lang w:eastAsia="en-AU"/>
        </w:rPr>
      </w:pPr>
      <w:r>
        <w:rPr>
          <w:rFonts w:ascii="Arial Bold" w:hAnsi="Arial Bold"/>
          <w:sz w:val="20"/>
          <w:lang w:eastAsia="en-AU"/>
        </w:rPr>
        <w:t>Material considered when making the decision</w:t>
      </w:r>
    </w:p>
    <w:p w14:paraId="44529998" w14:textId="67315398" w:rsidR="006B4FEC" w:rsidRDefault="006B4FEC" w:rsidP="003C69F4">
      <w:pPr>
        <w:pStyle w:val="NumberLevel1"/>
        <w:ind w:firstLine="0"/>
      </w:pPr>
      <w:r>
        <w:t>All the relevant information that was considered in making the decision is found at paragraph 20</w:t>
      </w:r>
      <w:r w:rsidR="00A57DA0">
        <w:t>–</w:t>
      </w:r>
      <w:r>
        <w:t>21.</w:t>
      </w:r>
    </w:p>
    <w:p w14:paraId="2FDB4438" w14:textId="77777777" w:rsidR="006B4FEC" w:rsidRDefault="006B4FEC" w:rsidP="006B4FEC">
      <w:pPr>
        <w:pStyle w:val="Heading1"/>
      </w:pPr>
      <w:r>
        <w:t>Material on which my findings are based</w:t>
      </w:r>
    </w:p>
    <w:p w14:paraId="09D4F6AF" w14:textId="77777777" w:rsidR="006B4FEC" w:rsidRDefault="006B4FEC" w:rsidP="003C69F4">
      <w:pPr>
        <w:pStyle w:val="NumberLevel1"/>
        <w:ind w:firstLine="0"/>
      </w:pPr>
      <w:r>
        <w:t>In making this decision I had regard to:</w:t>
      </w:r>
    </w:p>
    <w:p w14:paraId="4A083EFC" w14:textId="77777777" w:rsidR="006B4FEC" w:rsidRDefault="006B4FEC" w:rsidP="003C69F4">
      <w:pPr>
        <w:pStyle w:val="NumberLevel2"/>
      </w:pPr>
      <w:r>
        <w:t xml:space="preserve">advice from the Chemical Review section of the APVMA as to the relevant particulars of the products, specifically </w:t>
      </w:r>
      <w:r w:rsidRPr="0002659B">
        <w:t xml:space="preserve">the APVMA </w:t>
      </w:r>
      <w:r>
        <w:t xml:space="preserve">product </w:t>
      </w:r>
      <w:r w:rsidRPr="0002659B">
        <w:t>registration number, the distinguishing name of the chemical product, registration ho</w:t>
      </w:r>
      <w:r>
        <w:t xml:space="preserve">lder and label approval number as provided in the table containing the list of products in </w:t>
      </w:r>
      <w:r>
        <w:rPr>
          <w:b/>
        </w:rPr>
        <w:t>Table 1;</w:t>
      </w:r>
      <w:r>
        <w:t xml:space="preserve"> </w:t>
      </w:r>
    </w:p>
    <w:p w14:paraId="39653837" w14:textId="68E18166" w:rsidR="006B4FEC" w:rsidRDefault="006B4FEC" w:rsidP="006B4FEC">
      <w:pPr>
        <w:pStyle w:val="NumberLevel2"/>
      </w:pPr>
      <w:r>
        <w:t xml:space="preserve">advice from the Principal Toxicologist of the APVMA as to the appropriate means by which to determine the acceptable daily intake and acute reference dose for </w:t>
      </w:r>
      <w:proofErr w:type="spellStart"/>
      <w:r>
        <w:t>chlorpyrifos</w:t>
      </w:r>
      <w:proofErr w:type="spellEnd"/>
      <w:r>
        <w:t xml:space="preserve"> set out in the report entitled </w:t>
      </w:r>
      <w:r>
        <w:rPr>
          <w:i/>
        </w:rPr>
        <w:t>Re</w:t>
      </w:r>
      <w:r w:rsidR="00AA3402">
        <w:rPr>
          <w:i/>
        </w:rPr>
        <w:t xml:space="preserve">consideration of </w:t>
      </w:r>
      <w:proofErr w:type="spellStart"/>
      <w:r w:rsidR="00AA3402">
        <w:rPr>
          <w:i/>
        </w:rPr>
        <w:t>chlorpyrifos</w:t>
      </w:r>
      <w:proofErr w:type="spellEnd"/>
      <w:r w:rsidR="00AA3402">
        <w:rPr>
          <w:i/>
        </w:rPr>
        <w:t>–</w:t>
      </w:r>
      <w:r>
        <w:rPr>
          <w:i/>
        </w:rPr>
        <w:t>Toxicology update, June 2019</w:t>
      </w:r>
      <w:r>
        <w:t>;</w:t>
      </w:r>
    </w:p>
    <w:p w14:paraId="7B2A7AAE" w14:textId="77777777" w:rsidR="006B4FEC" w:rsidRDefault="006B4FEC" w:rsidP="006B4FEC">
      <w:pPr>
        <w:pStyle w:val="NumberLevel2"/>
      </w:pPr>
      <w:r>
        <w:t xml:space="preserve">advice from the Principal Toxicologist based on data generated by the Health Assessment Team of the APVMA regarding the levels of exposure to </w:t>
      </w:r>
      <w:proofErr w:type="spellStart"/>
      <w:r>
        <w:t>chlorpyrifos</w:t>
      </w:r>
      <w:proofErr w:type="spellEnd"/>
      <w:r>
        <w:t xml:space="preserve"> which may reasonably be anticipated to result from the use of the products in a residential and public setting by persons other than professionals, set out in a report entitled </w:t>
      </w:r>
      <w:r w:rsidRPr="00034275">
        <w:rPr>
          <w:i/>
        </w:rPr>
        <w:t xml:space="preserve">Reconsideration of </w:t>
      </w:r>
      <w:proofErr w:type="spellStart"/>
      <w:r w:rsidRPr="00034275">
        <w:rPr>
          <w:i/>
        </w:rPr>
        <w:t>chlorpyrifos</w:t>
      </w:r>
      <w:proofErr w:type="spellEnd"/>
      <w:r w:rsidRPr="00034275">
        <w:rPr>
          <w:i/>
        </w:rPr>
        <w:t xml:space="preserve">: Residential exposure and public space use exposure assessment and risk characterisation update, </w:t>
      </w:r>
      <w:r>
        <w:rPr>
          <w:i/>
        </w:rPr>
        <w:t xml:space="preserve">June </w:t>
      </w:r>
      <w:r w:rsidRPr="00034275">
        <w:rPr>
          <w:i/>
        </w:rPr>
        <w:t>2019</w:t>
      </w:r>
      <w:r>
        <w:t>;</w:t>
      </w:r>
    </w:p>
    <w:p w14:paraId="27B16A36" w14:textId="1F679853" w:rsidR="006B4FEC" w:rsidRDefault="006B4FEC" w:rsidP="006B4FEC">
      <w:pPr>
        <w:pStyle w:val="NumberLevel2"/>
      </w:pPr>
      <w:r>
        <w:t xml:space="preserve">advice commissioned by the APVMA’s Scientific Assessment and Chemical Review team regarding the risk of harm to animals associated with home garden and urban use of the products, set out in a report entitled </w:t>
      </w:r>
      <w:r w:rsidRPr="00D149C8">
        <w:rPr>
          <w:i/>
        </w:rPr>
        <w:t xml:space="preserve">Reconsideration of </w:t>
      </w:r>
      <w:proofErr w:type="spellStart"/>
      <w:r w:rsidRPr="00D149C8">
        <w:rPr>
          <w:i/>
        </w:rPr>
        <w:t>chlorpyrifos</w:t>
      </w:r>
      <w:proofErr w:type="spellEnd"/>
      <w:r>
        <w:rPr>
          <w:i/>
        </w:rPr>
        <w:t>: Supplementary environment assessment report Part 1</w:t>
      </w:r>
      <w:r w:rsidR="00AA3402">
        <w:rPr>
          <w:i/>
        </w:rPr>
        <w:t>–</w:t>
      </w:r>
      <w:r>
        <w:rPr>
          <w:i/>
        </w:rPr>
        <w:t>Home garden, domestic and certain non-agricultural uses, June 2019</w:t>
      </w:r>
      <w:r>
        <w:t>;</w:t>
      </w:r>
    </w:p>
    <w:p w14:paraId="5C445CFA" w14:textId="77777777" w:rsidR="006B4FEC" w:rsidRDefault="006B4FEC" w:rsidP="006B4FEC">
      <w:pPr>
        <w:pStyle w:val="NumberLevel2"/>
      </w:pPr>
      <w:r>
        <w:t>relevant provisions of the Code;</w:t>
      </w:r>
    </w:p>
    <w:p w14:paraId="45AFC7F9" w14:textId="77777777" w:rsidR="006B4FEC" w:rsidRDefault="006B4FEC" w:rsidP="006B4FEC">
      <w:pPr>
        <w:pStyle w:val="NumberLevel2"/>
      </w:pPr>
      <w:r>
        <w:lastRenderedPageBreak/>
        <w:t xml:space="preserve">APVMA’s policy on </w:t>
      </w:r>
      <w:r w:rsidRPr="00D149C8">
        <w:t>Worker health and safety risk</w:t>
      </w:r>
      <w:r>
        <w:t xml:space="preserve"> assessments;</w:t>
      </w:r>
      <w:r>
        <w:rPr>
          <w:rStyle w:val="FootnoteReference"/>
        </w:rPr>
        <w:footnoteReference w:id="8"/>
      </w:r>
    </w:p>
    <w:p w14:paraId="03977D8B" w14:textId="77777777" w:rsidR="006B4FEC" w:rsidRDefault="006B4FEC" w:rsidP="006B4FEC">
      <w:pPr>
        <w:pStyle w:val="NumberLevel2"/>
      </w:pPr>
      <w:r>
        <w:t xml:space="preserve">information given in response to </w:t>
      </w:r>
      <w:r w:rsidRPr="004B089C">
        <w:t>78 notices</w:t>
      </w:r>
      <w:r>
        <w:t xml:space="preserve"> given under subsection 32(1);</w:t>
      </w:r>
    </w:p>
    <w:p w14:paraId="65B7E80E" w14:textId="77777777" w:rsidR="006B4FEC" w:rsidRDefault="006B4FEC" w:rsidP="006B4FEC">
      <w:pPr>
        <w:pStyle w:val="NumberLevel2"/>
      </w:pPr>
      <w:r>
        <w:t xml:space="preserve">submissions made to the APVMA in response to an invitation under paragraph 32(2A)(b); </w:t>
      </w:r>
    </w:p>
    <w:p w14:paraId="5B4E4184" w14:textId="77777777" w:rsidR="006B4FEC" w:rsidRDefault="006B4FEC" w:rsidP="006B4FEC">
      <w:pPr>
        <w:pStyle w:val="NumberLevel2"/>
      </w:pPr>
      <w:r>
        <w:t xml:space="preserve">information given to the APVMA in response to </w:t>
      </w:r>
      <w:r w:rsidRPr="004B089C">
        <w:t>two notices</w:t>
      </w:r>
      <w:r>
        <w:t xml:space="preserve"> given under section 33; and</w:t>
      </w:r>
    </w:p>
    <w:p w14:paraId="64345C63" w14:textId="210E54CE" w:rsidR="006B4FEC" w:rsidRDefault="006B4FEC" w:rsidP="006B4FEC">
      <w:pPr>
        <w:pStyle w:val="NumberLevel2"/>
      </w:pPr>
      <w:proofErr w:type="gramStart"/>
      <w:r>
        <w:t>the</w:t>
      </w:r>
      <w:proofErr w:type="gramEnd"/>
      <w:r>
        <w:t xml:space="preserve"> submission provided by </w:t>
      </w:r>
      <w:proofErr w:type="spellStart"/>
      <w:r>
        <w:t>Crop</w:t>
      </w:r>
      <w:r w:rsidR="00AA3402">
        <w:t>L</w:t>
      </w:r>
      <w:r>
        <w:t>ife</w:t>
      </w:r>
      <w:proofErr w:type="spellEnd"/>
      <w:r>
        <w:t xml:space="preserve"> in response to the notice under section 34AB(1)(b), as referred to in paragraphs </w:t>
      </w:r>
      <w:r>
        <w:fldChar w:fldCharType="begin"/>
      </w:r>
      <w:r>
        <w:instrText xml:space="preserve"> REF _Ref19706622 \r \h </w:instrText>
      </w:r>
      <w:r>
        <w:fldChar w:fldCharType="separate"/>
      </w:r>
      <w:r>
        <w:t>17</w:t>
      </w:r>
      <w:r>
        <w:fldChar w:fldCharType="end"/>
      </w:r>
      <w:r>
        <w:t xml:space="preserve"> and </w:t>
      </w:r>
      <w:r>
        <w:fldChar w:fldCharType="begin"/>
      </w:r>
      <w:r>
        <w:instrText xml:space="preserve"> REF _Ref19706632 \r \h </w:instrText>
      </w:r>
      <w:r>
        <w:fldChar w:fldCharType="separate"/>
      </w:r>
      <w:r>
        <w:t>18</w:t>
      </w:r>
      <w:r>
        <w:fldChar w:fldCharType="end"/>
      </w:r>
      <w:r>
        <w:t xml:space="preserve"> above.</w:t>
      </w:r>
    </w:p>
    <w:p w14:paraId="47C93056" w14:textId="7040E796" w:rsidR="006B4FEC" w:rsidRDefault="006B4FEC" w:rsidP="003C69F4">
      <w:pPr>
        <w:pStyle w:val="NumberLevel1"/>
        <w:ind w:left="709"/>
      </w:pPr>
      <w:r>
        <w:t xml:space="preserve">In my view, consideration of the Reconsideration of </w:t>
      </w:r>
      <w:proofErr w:type="spellStart"/>
      <w:r>
        <w:t>chlorpyrifos</w:t>
      </w:r>
      <w:proofErr w:type="spellEnd"/>
      <w:r w:rsidR="00A57DA0">
        <w:t>—</w:t>
      </w:r>
      <w:r>
        <w:t xml:space="preserve">Toxicology update, June 2019, the </w:t>
      </w:r>
      <w:r w:rsidRPr="00B21529">
        <w:t xml:space="preserve">Reconsideration of </w:t>
      </w:r>
      <w:proofErr w:type="spellStart"/>
      <w:r w:rsidRPr="00B21529">
        <w:t>chlorpyrifos</w:t>
      </w:r>
      <w:proofErr w:type="spellEnd"/>
      <w:r w:rsidR="00AA3402">
        <w:t>—</w:t>
      </w:r>
      <w:r w:rsidRPr="00B21529">
        <w:t>Residential exposure and public space use exposure assessment and risk characterisation update</w:t>
      </w:r>
      <w:r>
        <w:t>, June 2019</w:t>
      </w:r>
      <w:r w:rsidRPr="00B21529">
        <w:t xml:space="preserve"> </w:t>
      </w:r>
      <w:r>
        <w:t>(</w:t>
      </w:r>
      <w:r w:rsidRPr="006B0F89">
        <w:t>Exposure assessment and risk characterisation report</w:t>
      </w:r>
      <w:r>
        <w:t xml:space="preserve">, </w:t>
      </w:r>
      <w:r w:rsidRPr="006B0F89">
        <w:t>2019)</w:t>
      </w:r>
      <w:r>
        <w:t xml:space="preserve">, the Reconsideration of </w:t>
      </w:r>
      <w:proofErr w:type="spellStart"/>
      <w:r>
        <w:t>chlorpyrifos</w:t>
      </w:r>
      <w:proofErr w:type="spellEnd"/>
      <w:r w:rsidR="00AA3402">
        <w:t>—</w:t>
      </w:r>
      <w:r>
        <w:t>Supplementary envir</w:t>
      </w:r>
      <w:r w:rsidR="00AA3402">
        <w:t>onment assessment report Part 1—</w:t>
      </w:r>
      <w:r>
        <w:t xml:space="preserve">Home garden, domestic and certain non-agricultural uses, June 2019 and the APVMA’s policy on </w:t>
      </w:r>
      <w:r w:rsidRPr="00D149C8">
        <w:t>Worker health and safety risk assessments</w:t>
      </w:r>
      <w:r>
        <w:t xml:space="preserve"> is necessary to enable me to make a decision on the reconsideration.</w:t>
      </w:r>
      <w:r>
        <w:rPr>
          <w:rStyle w:val="FootnoteReference"/>
        </w:rPr>
        <w:footnoteReference w:id="9"/>
      </w:r>
      <w:r>
        <w:t xml:space="preserve"> I am not aware of any other information that falls within paragraph 34(3</w:t>
      </w:r>
      <w:proofErr w:type="gramStart"/>
      <w:r>
        <w:t>)(</w:t>
      </w:r>
      <w:proofErr w:type="gramEnd"/>
      <w:r>
        <w:t xml:space="preserve">a) of the Code that requires consideration. </w:t>
      </w:r>
    </w:p>
    <w:p w14:paraId="0C501C13" w14:textId="77777777" w:rsidR="006B4FEC" w:rsidRDefault="006B4FEC" w:rsidP="006B4FEC">
      <w:pPr>
        <w:pStyle w:val="NumberLevel1"/>
        <w:numPr>
          <w:ilvl w:val="0"/>
          <w:numId w:val="0"/>
        </w:numPr>
      </w:pPr>
    </w:p>
    <w:p w14:paraId="7851CDA8" w14:textId="77777777" w:rsidR="006B4FEC" w:rsidRDefault="006B4FEC" w:rsidP="006B4FEC">
      <w:pPr>
        <w:pStyle w:val="Heading1"/>
      </w:pPr>
      <w:r>
        <w:t>Material findings of fact</w:t>
      </w:r>
    </w:p>
    <w:p w14:paraId="754B8E2E" w14:textId="77777777" w:rsidR="006B4FEC" w:rsidRDefault="006B4FEC" w:rsidP="003C69F4">
      <w:pPr>
        <w:pStyle w:val="NumberLevel1"/>
        <w:ind w:left="709"/>
      </w:pPr>
      <w:r>
        <w:t xml:space="preserve">Based on the advice I have had regard to, I make the following findings of fact which are material to the decision: </w:t>
      </w:r>
    </w:p>
    <w:p w14:paraId="6E9A6721" w14:textId="77777777" w:rsidR="006B4FEC" w:rsidRDefault="006B4FEC" w:rsidP="006B4FEC">
      <w:pPr>
        <w:pStyle w:val="NumberLevel2"/>
      </w:pPr>
      <w:bookmarkStart w:id="5" w:name="_Hlk8285772"/>
      <w:proofErr w:type="spellStart"/>
      <w:r>
        <w:t>chlorpyrifos</w:t>
      </w:r>
      <w:proofErr w:type="spellEnd"/>
      <w:r>
        <w:t xml:space="preserve"> is hazardous to mammals (including human beings) – that is, it has the </w:t>
      </w:r>
      <w:r>
        <w:rPr>
          <w:i/>
        </w:rPr>
        <w:t>potential</w:t>
      </w:r>
      <w:r>
        <w:t xml:space="preserve"> to cause harm;</w:t>
      </w:r>
    </w:p>
    <w:p w14:paraId="347356E6" w14:textId="77777777" w:rsidR="006B4FEC" w:rsidRDefault="006B4FEC" w:rsidP="006B4FEC">
      <w:pPr>
        <w:pStyle w:val="NumberLevel2"/>
      </w:pPr>
      <w:r>
        <w:t xml:space="preserve">the types of adverse effects from exposure to </w:t>
      </w:r>
      <w:proofErr w:type="spellStart"/>
      <w:r>
        <w:t>chlorpyrifos</w:t>
      </w:r>
      <w:proofErr w:type="spellEnd"/>
      <w:r>
        <w:t xml:space="preserve"> are dependent on the level of exposure, with more severe adverse effects occurring as the level of exposure increases;</w:t>
      </w:r>
    </w:p>
    <w:p w14:paraId="47D97D69" w14:textId="77777777" w:rsidR="006B4FEC" w:rsidRDefault="006B4FEC" w:rsidP="006B4FEC">
      <w:pPr>
        <w:pStyle w:val="NumberLevel2"/>
      </w:pPr>
      <w:r w:rsidRPr="009A087C">
        <w:t xml:space="preserve">exposure to </w:t>
      </w:r>
      <w:proofErr w:type="spellStart"/>
      <w:r w:rsidRPr="009A087C">
        <w:t>chlorpyrifos</w:t>
      </w:r>
      <w:proofErr w:type="spellEnd"/>
      <w:r w:rsidRPr="009A087C">
        <w:t xml:space="preserve"> at levels that result in detectable inhibition of blood </w:t>
      </w:r>
      <w:proofErr w:type="spellStart"/>
      <w:r w:rsidRPr="009A087C">
        <w:t>cholinesterases</w:t>
      </w:r>
      <w:proofErr w:type="spellEnd"/>
      <w:r w:rsidRPr="009A087C">
        <w:t xml:space="preserve"> is a serious neurodevelopmental and neuro-behavioural developmental health hazard for humans</w:t>
      </w:r>
      <w:r>
        <w:t>;</w:t>
      </w:r>
    </w:p>
    <w:p w14:paraId="7DAD0666" w14:textId="77777777" w:rsidR="006B4FEC" w:rsidRDefault="006B4FEC" w:rsidP="006B4FEC">
      <w:pPr>
        <w:pStyle w:val="NumberLevel2"/>
      </w:pPr>
      <w:r>
        <w:t>the acceptable daily intake (</w:t>
      </w:r>
      <w:r>
        <w:rPr>
          <w:b/>
        </w:rPr>
        <w:t>ADI</w:t>
      </w:r>
      <w:r>
        <w:t xml:space="preserve">) for </w:t>
      </w:r>
      <w:proofErr w:type="spellStart"/>
      <w:r>
        <w:t>chlorpyrifos</w:t>
      </w:r>
      <w:proofErr w:type="spellEnd"/>
      <w:r>
        <w:t xml:space="preserve"> is 0.001 mg/kg </w:t>
      </w:r>
      <w:proofErr w:type="spellStart"/>
      <w:r>
        <w:t>bw</w:t>
      </w:r>
      <w:proofErr w:type="spellEnd"/>
      <w:r>
        <w:t>/day (1 </w:t>
      </w:r>
      <w:r w:rsidRPr="0008273C">
        <w:t>µ</w:t>
      </w:r>
      <w:r>
        <w:t xml:space="preserve">/kg </w:t>
      </w:r>
      <w:proofErr w:type="spellStart"/>
      <w:r>
        <w:t>bw</w:t>
      </w:r>
      <w:proofErr w:type="spellEnd"/>
      <w:r>
        <w:t>/day);</w:t>
      </w:r>
    </w:p>
    <w:p w14:paraId="71DB6E6A" w14:textId="77777777" w:rsidR="006B4FEC" w:rsidRDefault="006B4FEC" w:rsidP="006B4FEC">
      <w:pPr>
        <w:pStyle w:val="NumberLevel2"/>
      </w:pPr>
      <w:r>
        <w:t xml:space="preserve">the acute reference dose for </w:t>
      </w:r>
      <w:proofErr w:type="spellStart"/>
      <w:r>
        <w:t>chlorpyrifos</w:t>
      </w:r>
      <w:proofErr w:type="spellEnd"/>
      <w:r>
        <w:t xml:space="preserve"> is 0.03 mg/kg </w:t>
      </w:r>
      <w:proofErr w:type="spellStart"/>
      <w:r>
        <w:t>bw</w:t>
      </w:r>
      <w:proofErr w:type="spellEnd"/>
      <w:r>
        <w:t>;</w:t>
      </w:r>
    </w:p>
    <w:p w14:paraId="0A27BFFD" w14:textId="77777777" w:rsidR="006B4FEC" w:rsidRDefault="006B4FEC" w:rsidP="006B4FEC">
      <w:pPr>
        <w:pStyle w:val="NumberLevel2"/>
      </w:pPr>
      <w:proofErr w:type="spellStart"/>
      <w:r>
        <w:t>chlorpyrifos</w:t>
      </w:r>
      <w:proofErr w:type="spellEnd"/>
      <w:r>
        <w:t xml:space="preserve"> exposure reasonably expected in connection with non-professional residential use of the products will likely exceed the acute reference dose;</w:t>
      </w:r>
    </w:p>
    <w:p w14:paraId="31FCFA8B" w14:textId="77777777" w:rsidR="006B4FEC" w:rsidRDefault="006B4FEC" w:rsidP="006B4FEC">
      <w:pPr>
        <w:pStyle w:val="NumberLevel2"/>
      </w:pPr>
      <w:r>
        <w:t>post-application re-entry intervals and personal protective equipment (apart from gloves) do not represent realistic risk mitigation strategies for non-professional users in a residential setting;</w:t>
      </w:r>
    </w:p>
    <w:p w14:paraId="512471B9" w14:textId="77777777" w:rsidR="006B4FEC" w:rsidRDefault="006B4FEC" w:rsidP="006B4FEC">
      <w:pPr>
        <w:pStyle w:val="NumberLevel2"/>
      </w:pPr>
      <w:r>
        <w:t>the use of the products in a residential setting is likely to have an effect that is harmful to human beings;</w:t>
      </w:r>
    </w:p>
    <w:p w14:paraId="7E2BAE21" w14:textId="77777777" w:rsidR="006B4FEC" w:rsidRDefault="006B4FEC" w:rsidP="006B4FEC">
      <w:pPr>
        <w:pStyle w:val="NumberLevel2"/>
      </w:pPr>
      <w:r>
        <w:t>the use of the products by non-professionals in a residential setting poses an undue hazard to the safety of people exposed to said products during their handling;</w:t>
      </w:r>
    </w:p>
    <w:p w14:paraId="6CC425B7" w14:textId="581A71C3" w:rsidR="006B4FEC" w:rsidRDefault="006B4FEC" w:rsidP="006B4FEC">
      <w:pPr>
        <w:pStyle w:val="NumberLevel2"/>
      </w:pPr>
      <w:bookmarkStart w:id="6" w:name="_Hlk7967086"/>
      <w:r>
        <w:t>the chronic avian dietary no observed effect conce</w:t>
      </w:r>
      <w:r w:rsidR="00AA3402">
        <w:t xml:space="preserve">ntration for </w:t>
      </w:r>
      <w:proofErr w:type="spellStart"/>
      <w:r w:rsidR="00AA3402">
        <w:t>chlorpyrifos</w:t>
      </w:r>
      <w:proofErr w:type="spellEnd"/>
      <w:r w:rsidR="00AA3402">
        <w:t xml:space="preserve"> is 25 </w:t>
      </w:r>
      <w:r>
        <w:t>mg/kg;</w:t>
      </w:r>
    </w:p>
    <w:p w14:paraId="3BE7D5E4" w14:textId="77777777" w:rsidR="006B4FEC" w:rsidRDefault="006B4FEC" w:rsidP="006B4FEC">
      <w:pPr>
        <w:pStyle w:val="NumberLevel2"/>
      </w:pPr>
      <w:r>
        <w:t>the acute avian oral lethal dose (LD</w:t>
      </w:r>
      <w:r w:rsidRPr="00B92369">
        <w:rPr>
          <w:vertAlign w:val="subscript"/>
        </w:rPr>
        <w:t>50</w:t>
      </w:r>
      <w:r>
        <w:t xml:space="preserve">) is 28.9 mg/kg </w:t>
      </w:r>
      <w:proofErr w:type="spellStart"/>
      <w:r>
        <w:t>bw</w:t>
      </w:r>
      <w:proofErr w:type="spellEnd"/>
      <w:r>
        <w:t>;</w:t>
      </w:r>
    </w:p>
    <w:p w14:paraId="480561C5" w14:textId="77777777" w:rsidR="006B4FEC" w:rsidRDefault="006B4FEC" w:rsidP="006B4FEC">
      <w:pPr>
        <w:pStyle w:val="NumberLevel2"/>
      </w:pPr>
      <w:r>
        <w:lastRenderedPageBreak/>
        <w:t>the use of the products in a residential setting, including application to turf at rates that exceed 850 g ac/ha poses an unacceptable risk to birds;</w:t>
      </w:r>
    </w:p>
    <w:p w14:paraId="1184A985" w14:textId="77777777" w:rsidR="006B4FEC" w:rsidRDefault="006B4FEC" w:rsidP="006B4FEC">
      <w:pPr>
        <w:pStyle w:val="NumberLevel2"/>
      </w:pPr>
      <w:r>
        <w:t xml:space="preserve">granular </w:t>
      </w:r>
      <w:proofErr w:type="spellStart"/>
      <w:r>
        <w:t>chlorpyrifos</w:t>
      </w:r>
      <w:proofErr w:type="spellEnd"/>
      <w:r>
        <w:t xml:space="preserve"> products used in a residential setting are prone to being applied at application rates in excess of 850g ac/ha;</w:t>
      </w:r>
      <w:r w:rsidRPr="00EC2AFB">
        <w:t xml:space="preserve"> </w:t>
      </w:r>
      <w:r>
        <w:t>and</w:t>
      </w:r>
    </w:p>
    <w:p w14:paraId="29681CD3" w14:textId="77777777" w:rsidR="006B4FEC" w:rsidRDefault="006B4FEC" w:rsidP="006B4FEC">
      <w:pPr>
        <w:pStyle w:val="NumberLevel2"/>
      </w:pPr>
      <w:proofErr w:type="gramStart"/>
      <w:r>
        <w:t>the</w:t>
      </w:r>
      <w:proofErr w:type="gramEnd"/>
      <w:r>
        <w:t xml:space="preserve"> use of granular </w:t>
      </w:r>
      <w:proofErr w:type="spellStart"/>
      <w:r>
        <w:t>chlorpyrifos</w:t>
      </w:r>
      <w:proofErr w:type="spellEnd"/>
      <w:r>
        <w:t xml:space="preserve"> products in a residential setting is likely to have an unintended effect that is harmful to animals.</w:t>
      </w:r>
    </w:p>
    <w:bookmarkEnd w:id="5"/>
    <w:bookmarkEnd w:id="6"/>
    <w:p w14:paraId="1A268566" w14:textId="77777777" w:rsidR="006B4FEC" w:rsidRDefault="006B4FEC" w:rsidP="006B4FEC">
      <w:pPr>
        <w:pStyle w:val="Heading1"/>
      </w:pPr>
      <w:r>
        <w:t>Reasons</w:t>
      </w:r>
    </w:p>
    <w:p w14:paraId="52D85D1D" w14:textId="77777777" w:rsidR="006B4FEC" w:rsidRDefault="006B4FEC" w:rsidP="006B4FEC">
      <w:pPr>
        <w:pStyle w:val="Heading2"/>
        <w:spacing w:before="360" w:line="280" w:lineRule="atLeast"/>
        <w:rPr>
          <w:rFonts w:ascii="Arial Bold" w:hAnsi="Arial Bold"/>
          <w:b w:val="0"/>
          <w:bCs w:val="0"/>
          <w:iCs w:val="0"/>
          <w:sz w:val="20"/>
          <w:lang w:eastAsia="en-AU"/>
        </w:rPr>
      </w:pPr>
      <w:r w:rsidRPr="00A900B1">
        <w:rPr>
          <w:rFonts w:ascii="Arial Bold" w:hAnsi="Arial Bold"/>
          <w:sz w:val="20"/>
          <w:lang w:eastAsia="en-AU"/>
        </w:rPr>
        <w:t>Issue 1 – do the products meet the safety criteria, the trade criteria and the efficacy criteria? [</w:t>
      </w:r>
      <w:proofErr w:type="gramStart"/>
      <w:r w:rsidRPr="00A900B1">
        <w:rPr>
          <w:rFonts w:ascii="Arial Bold" w:hAnsi="Arial Bold"/>
          <w:sz w:val="20"/>
          <w:lang w:eastAsia="en-AU"/>
        </w:rPr>
        <w:t>paragraph</w:t>
      </w:r>
      <w:proofErr w:type="gramEnd"/>
      <w:r w:rsidRPr="00A900B1">
        <w:rPr>
          <w:rFonts w:ascii="Arial Bold" w:hAnsi="Arial Bold"/>
          <w:sz w:val="20"/>
          <w:lang w:eastAsia="en-AU"/>
        </w:rPr>
        <w:t> 34(1)(b)]</w:t>
      </w:r>
    </w:p>
    <w:p w14:paraId="5179112D" w14:textId="77777777" w:rsidR="006B4FEC" w:rsidRPr="00A900B1" w:rsidRDefault="006B4FEC" w:rsidP="006B4FEC">
      <w:pPr>
        <w:pStyle w:val="Heading2"/>
        <w:spacing w:before="360" w:line="280" w:lineRule="atLeast"/>
        <w:rPr>
          <w:rFonts w:ascii="Arial Bold" w:hAnsi="Arial Bold"/>
          <w:b w:val="0"/>
          <w:bCs w:val="0"/>
          <w:i w:val="0"/>
          <w:iCs w:val="0"/>
          <w:sz w:val="20"/>
          <w:lang w:eastAsia="en-AU"/>
        </w:rPr>
      </w:pPr>
      <w:r w:rsidRPr="00A900B1">
        <w:rPr>
          <w:rFonts w:ascii="Arial Bold" w:hAnsi="Arial Bold"/>
          <w:sz w:val="20"/>
          <w:lang w:eastAsia="en-AU"/>
        </w:rPr>
        <w:t>Safety criteria</w:t>
      </w:r>
    </w:p>
    <w:p w14:paraId="2C94DDEA" w14:textId="77777777" w:rsidR="006B4FEC" w:rsidRDefault="006B4FEC" w:rsidP="003C69F4">
      <w:pPr>
        <w:pStyle w:val="NumberLevel1"/>
        <w:ind w:left="709"/>
      </w:pPr>
      <w:r>
        <w:t xml:space="preserve">The products listed in </w:t>
      </w:r>
      <w:r>
        <w:rPr>
          <w:b/>
        </w:rPr>
        <w:t>Table 1</w:t>
      </w:r>
      <w:r>
        <w:t xml:space="preserve"> are chemical products within the definition of section 3 of the Code. The safety criteria are set out in subsection 5A(1) of the Code, which is in the following terms:</w:t>
      </w:r>
    </w:p>
    <w:p w14:paraId="6612296E" w14:textId="77777777" w:rsidR="006B4FEC" w:rsidRPr="00EC2AFB" w:rsidRDefault="006B4FEC" w:rsidP="006B4FEC">
      <w:pPr>
        <w:pStyle w:val="Leg2Sec1"/>
        <w:numPr>
          <w:ilvl w:val="0"/>
          <w:numId w:val="38"/>
        </w:numPr>
        <w:spacing w:line="240" w:lineRule="auto"/>
        <w:ind w:left="1134" w:hanging="567"/>
        <w:rPr>
          <w:sz w:val="16"/>
          <w:szCs w:val="16"/>
        </w:rPr>
      </w:pPr>
      <w:r w:rsidRPr="00EC2AFB">
        <w:rPr>
          <w:sz w:val="16"/>
          <w:szCs w:val="16"/>
        </w:rPr>
        <w:t>An active constituent or chemical product meets the safety criteria if use of the constituent or product, in accordance with any instructions approved, or to be approved, by the APVMA for the constituent or product or contained in an established standard:</w:t>
      </w:r>
    </w:p>
    <w:p w14:paraId="61CC4F7A" w14:textId="77777777" w:rsidR="006B4FEC" w:rsidRPr="00EC2AFB" w:rsidRDefault="006B4FEC" w:rsidP="006B4FEC">
      <w:pPr>
        <w:pStyle w:val="Leg5Paraa"/>
        <w:numPr>
          <w:ilvl w:val="0"/>
          <w:numId w:val="39"/>
        </w:numPr>
        <w:spacing w:line="240" w:lineRule="auto"/>
        <w:ind w:left="1701" w:hanging="567"/>
        <w:rPr>
          <w:sz w:val="16"/>
          <w:szCs w:val="16"/>
        </w:rPr>
      </w:pPr>
      <w:r w:rsidRPr="00EC2AFB">
        <w:rPr>
          <w:sz w:val="16"/>
          <w:szCs w:val="16"/>
        </w:rPr>
        <w:t>is not, or would not be, an undue hazard to the safety of people exposed to it during its handling or people using anything containing its residues; and</w:t>
      </w:r>
    </w:p>
    <w:p w14:paraId="7611F873" w14:textId="77777777" w:rsidR="006B4FEC" w:rsidRPr="00EC2AFB" w:rsidRDefault="006B4FEC" w:rsidP="006B4FEC">
      <w:pPr>
        <w:pStyle w:val="Leg5Paraa"/>
        <w:numPr>
          <w:ilvl w:val="0"/>
          <w:numId w:val="39"/>
        </w:numPr>
        <w:spacing w:line="240" w:lineRule="auto"/>
        <w:ind w:left="1701" w:hanging="567"/>
        <w:rPr>
          <w:sz w:val="16"/>
          <w:szCs w:val="16"/>
        </w:rPr>
      </w:pPr>
      <w:r w:rsidRPr="00EC2AFB">
        <w:rPr>
          <w:sz w:val="16"/>
          <w:szCs w:val="16"/>
        </w:rPr>
        <w:t>is not, or would not be, likely to have an effect that is harmful to human beings; and</w:t>
      </w:r>
    </w:p>
    <w:p w14:paraId="2A753AA8" w14:textId="77777777" w:rsidR="006B4FEC" w:rsidRPr="00EC2AFB" w:rsidRDefault="006B4FEC" w:rsidP="006B4FEC">
      <w:pPr>
        <w:pStyle w:val="Leg5Paraa"/>
        <w:numPr>
          <w:ilvl w:val="0"/>
          <w:numId w:val="39"/>
        </w:numPr>
        <w:spacing w:line="240" w:lineRule="auto"/>
        <w:ind w:left="1701" w:hanging="567"/>
        <w:rPr>
          <w:sz w:val="16"/>
          <w:szCs w:val="16"/>
        </w:rPr>
      </w:pPr>
      <w:proofErr w:type="gramStart"/>
      <w:r w:rsidRPr="00EC2AFB">
        <w:rPr>
          <w:sz w:val="16"/>
          <w:szCs w:val="16"/>
        </w:rPr>
        <w:t>is</w:t>
      </w:r>
      <w:proofErr w:type="gramEnd"/>
      <w:r w:rsidRPr="00EC2AFB">
        <w:rPr>
          <w:sz w:val="16"/>
          <w:szCs w:val="16"/>
        </w:rPr>
        <w:t xml:space="preserve"> not, or would not be, likely to have an unintended effect that is harmful to animals, plants or things or to the environment.</w:t>
      </w:r>
    </w:p>
    <w:p w14:paraId="6E5801A4" w14:textId="77777777" w:rsidR="006B4FEC" w:rsidRDefault="006B4FEC" w:rsidP="003C69F4">
      <w:pPr>
        <w:pStyle w:val="NumberLevel1"/>
        <w:ind w:left="709"/>
      </w:pPr>
      <w:r>
        <w:t>Subsection 5A(3) sets out considerations that the APVMA must, and may, have regard to for the purposes of being satisfied as to whether a chemical product meets the safety criteria; namely:</w:t>
      </w:r>
    </w:p>
    <w:p w14:paraId="4143DCC6" w14:textId="77777777" w:rsidR="006B4FEC" w:rsidRPr="00EC2AFB" w:rsidRDefault="006B4FEC" w:rsidP="006B4FEC">
      <w:pPr>
        <w:pStyle w:val="Leg2Sec1"/>
        <w:tabs>
          <w:tab w:val="clear" w:pos="1276"/>
          <w:tab w:val="left" w:pos="1134"/>
        </w:tabs>
        <w:spacing w:line="240" w:lineRule="auto"/>
        <w:ind w:left="1134" w:hanging="567"/>
        <w:rPr>
          <w:sz w:val="16"/>
          <w:szCs w:val="16"/>
        </w:rPr>
      </w:pPr>
      <w:r w:rsidRPr="00EC2AFB">
        <w:rPr>
          <w:sz w:val="16"/>
          <w:szCs w:val="16"/>
        </w:rPr>
        <w:t xml:space="preserve">(a)  </w:t>
      </w:r>
      <w:r>
        <w:rPr>
          <w:sz w:val="16"/>
          <w:szCs w:val="16"/>
        </w:rPr>
        <w:tab/>
        <w:t>[</w:t>
      </w:r>
      <w:proofErr w:type="gramStart"/>
      <w:r>
        <w:rPr>
          <w:sz w:val="16"/>
          <w:szCs w:val="16"/>
        </w:rPr>
        <w:t>the</w:t>
      </w:r>
      <w:proofErr w:type="gramEnd"/>
      <w:r>
        <w:rPr>
          <w:sz w:val="16"/>
          <w:szCs w:val="16"/>
        </w:rPr>
        <w:t xml:space="preserve"> APVMA] </w:t>
      </w:r>
      <w:r w:rsidRPr="00EC2AFB">
        <w:rPr>
          <w:sz w:val="16"/>
          <w:szCs w:val="16"/>
        </w:rPr>
        <w:t>must have regard to the following:</w:t>
      </w:r>
    </w:p>
    <w:p w14:paraId="63797CDB" w14:textId="77777777" w:rsidR="006B4FEC" w:rsidRPr="00EC2AFB" w:rsidRDefault="006B4FEC" w:rsidP="006B4FEC">
      <w:pPr>
        <w:pStyle w:val="NumberLevel1"/>
        <w:numPr>
          <w:ilvl w:val="0"/>
          <w:numId w:val="0"/>
        </w:numPr>
        <w:spacing w:line="240" w:lineRule="auto"/>
        <w:ind w:left="1701" w:hanging="567"/>
        <w:rPr>
          <w:sz w:val="16"/>
          <w:szCs w:val="16"/>
        </w:rPr>
      </w:pPr>
      <w:r w:rsidRPr="00EC2AFB">
        <w:rPr>
          <w:sz w:val="16"/>
          <w:szCs w:val="16"/>
        </w:rPr>
        <w:t>(</w:t>
      </w:r>
      <w:proofErr w:type="spellStart"/>
      <w:r w:rsidRPr="00EC2AFB">
        <w:rPr>
          <w:sz w:val="16"/>
          <w:szCs w:val="16"/>
        </w:rPr>
        <w:t>i</w:t>
      </w:r>
      <w:proofErr w:type="spellEnd"/>
      <w:r w:rsidRPr="00EC2AFB">
        <w:rPr>
          <w:sz w:val="16"/>
          <w:szCs w:val="16"/>
        </w:rPr>
        <w:t xml:space="preserve">)  </w:t>
      </w:r>
      <w:r w:rsidRPr="00EC2AFB">
        <w:rPr>
          <w:sz w:val="16"/>
          <w:szCs w:val="16"/>
        </w:rPr>
        <w:tab/>
      </w:r>
      <w:proofErr w:type="gramStart"/>
      <w:r w:rsidRPr="00EC2AFB">
        <w:rPr>
          <w:sz w:val="16"/>
          <w:szCs w:val="16"/>
        </w:rPr>
        <w:t>the</w:t>
      </w:r>
      <w:proofErr w:type="gramEnd"/>
      <w:r w:rsidRPr="00EC2AFB">
        <w:rPr>
          <w:sz w:val="16"/>
          <w:szCs w:val="16"/>
        </w:rPr>
        <w:t xml:space="preserve"> toxicity of the product and its residues, including metabolites and degradation products, in relation to relevant organisms and ecosystems, including human beings;</w:t>
      </w:r>
    </w:p>
    <w:p w14:paraId="46B7D119" w14:textId="77777777" w:rsidR="006B4FEC" w:rsidRPr="00EC2AFB" w:rsidRDefault="006B4FEC" w:rsidP="006B4FEC">
      <w:pPr>
        <w:pStyle w:val="NumberLevel1"/>
        <w:numPr>
          <w:ilvl w:val="0"/>
          <w:numId w:val="0"/>
        </w:numPr>
        <w:spacing w:line="240" w:lineRule="auto"/>
        <w:ind w:left="1701" w:hanging="567"/>
        <w:rPr>
          <w:sz w:val="16"/>
          <w:szCs w:val="16"/>
        </w:rPr>
      </w:pPr>
      <w:r w:rsidRPr="00EC2AFB">
        <w:rPr>
          <w:sz w:val="16"/>
          <w:szCs w:val="16"/>
        </w:rPr>
        <w:t xml:space="preserve">(ii)  </w:t>
      </w:r>
      <w:r w:rsidRPr="00EC2AFB">
        <w:rPr>
          <w:sz w:val="16"/>
          <w:szCs w:val="16"/>
        </w:rPr>
        <w:tab/>
      </w:r>
      <w:proofErr w:type="gramStart"/>
      <w:r w:rsidRPr="00EC2AFB">
        <w:rPr>
          <w:sz w:val="16"/>
          <w:szCs w:val="16"/>
        </w:rPr>
        <w:t>the</w:t>
      </w:r>
      <w:proofErr w:type="gramEnd"/>
      <w:r w:rsidRPr="00EC2AFB">
        <w:rPr>
          <w:sz w:val="16"/>
          <w:szCs w:val="16"/>
        </w:rPr>
        <w:t xml:space="preserve"> relevant poison classification of the product under the law in force in this jurisdiction;</w:t>
      </w:r>
    </w:p>
    <w:p w14:paraId="14DD895F" w14:textId="77777777" w:rsidR="006B4FEC" w:rsidRPr="00EC2AFB" w:rsidRDefault="006B4FEC" w:rsidP="006B4FEC">
      <w:pPr>
        <w:pStyle w:val="NumberLevel1"/>
        <w:numPr>
          <w:ilvl w:val="0"/>
          <w:numId w:val="0"/>
        </w:numPr>
        <w:spacing w:line="240" w:lineRule="auto"/>
        <w:ind w:left="1701" w:hanging="567"/>
        <w:rPr>
          <w:sz w:val="16"/>
          <w:szCs w:val="16"/>
        </w:rPr>
      </w:pPr>
      <w:r w:rsidRPr="00EC2AFB">
        <w:rPr>
          <w:sz w:val="16"/>
          <w:szCs w:val="16"/>
        </w:rPr>
        <w:t xml:space="preserve">(iii)  </w:t>
      </w:r>
      <w:r w:rsidRPr="00EC2AFB">
        <w:rPr>
          <w:sz w:val="16"/>
          <w:szCs w:val="16"/>
        </w:rPr>
        <w:tab/>
      </w:r>
      <w:proofErr w:type="gramStart"/>
      <w:r w:rsidRPr="00EC2AFB">
        <w:rPr>
          <w:sz w:val="16"/>
          <w:szCs w:val="16"/>
        </w:rPr>
        <w:t>how</w:t>
      </w:r>
      <w:proofErr w:type="gramEnd"/>
      <w:r w:rsidRPr="00EC2AFB">
        <w:rPr>
          <w:sz w:val="16"/>
          <w:szCs w:val="16"/>
        </w:rPr>
        <w:t xml:space="preserve"> the product is formulated;</w:t>
      </w:r>
    </w:p>
    <w:p w14:paraId="11EBBA76" w14:textId="77777777" w:rsidR="006B4FEC" w:rsidRPr="00EC2AFB" w:rsidRDefault="006B4FEC" w:rsidP="006B4FEC">
      <w:pPr>
        <w:pStyle w:val="NumberLevel1"/>
        <w:numPr>
          <w:ilvl w:val="0"/>
          <w:numId w:val="0"/>
        </w:numPr>
        <w:spacing w:line="240" w:lineRule="auto"/>
        <w:ind w:left="1701" w:hanging="567"/>
        <w:rPr>
          <w:sz w:val="16"/>
          <w:szCs w:val="16"/>
        </w:rPr>
      </w:pPr>
      <w:r w:rsidRPr="00EC2AFB">
        <w:rPr>
          <w:sz w:val="16"/>
          <w:szCs w:val="16"/>
        </w:rPr>
        <w:t xml:space="preserve">(iv)  </w:t>
      </w:r>
      <w:r w:rsidRPr="00EC2AFB">
        <w:rPr>
          <w:sz w:val="16"/>
          <w:szCs w:val="16"/>
        </w:rPr>
        <w:tab/>
      </w:r>
      <w:proofErr w:type="gramStart"/>
      <w:r w:rsidRPr="00EC2AFB">
        <w:rPr>
          <w:sz w:val="16"/>
          <w:szCs w:val="16"/>
        </w:rPr>
        <w:t>the</w:t>
      </w:r>
      <w:proofErr w:type="gramEnd"/>
      <w:r w:rsidRPr="00EC2AFB">
        <w:rPr>
          <w:sz w:val="16"/>
          <w:szCs w:val="16"/>
        </w:rPr>
        <w:t xml:space="preserve"> composition and form of the constituents of the product;</w:t>
      </w:r>
    </w:p>
    <w:p w14:paraId="1B5CF625" w14:textId="77777777" w:rsidR="006B4FEC" w:rsidRPr="00EC2AFB" w:rsidRDefault="006B4FEC" w:rsidP="006B4FEC">
      <w:pPr>
        <w:pStyle w:val="NumberLevel1"/>
        <w:numPr>
          <w:ilvl w:val="0"/>
          <w:numId w:val="0"/>
        </w:numPr>
        <w:spacing w:line="240" w:lineRule="auto"/>
        <w:ind w:left="1701" w:hanging="567"/>
        <w:rPr>
          <w:sz w:val="16"/>
          <w:szCs w:val="16"/>
        </w:rPr>
      </w:pPr>
      <w:r w:rsidRPr="00EC2AFB">
        <w:rPr>
          <w:sz w:val="16"/>
          <w:szCs w:val="16"/>
        </w:rPr>
        <w:t xml:space="preserve">(v)  </w:t>
      </w:r>
      <w:r w:rsidRPr="00EC2AFB">
        <w:rPr>
          <w:sz w:val="16"/>
          <w:szCs w:val="16"/>
        </w:rPr>
        <w:tab/>
      </w:r>
      <w:proofErr w:type="gramStart"/>
      <w:r w:rsidRPr="00EC2AFB">
        <w:rPr>
          <w:sz w:val="16"/>
          <w:szCs w:val="16"/>
        </w:rPr>
        <w:t>any</w:t>
      </w:r>
      <w:proofErr w:type="gramEnd"/>
      <w:r w:rsidRPr="00EC2AFB">
        <w:rPr>
          <w:sz w:val="16"/>
          <w:szCs w:val="16"/>
        </w:rPr>
        <w:t xml:space="preserve"> conditions to which its registration is, or would be, subject;</w:t>
      </w:r>
    </w:p>
    <w:p w14:paraId="585BA289" w14:textId="77777777" w:rsidR="006B4FEC" w:rsidRPr="00EC2AFB" w:rsidRDefault="006B4FEC" w:rsidP="006B4FEC">
      <w:pPr>
        <w:pStyle w:val="NumberLevel1"/>
        <w:numPr>
          <w:ilvl w:val="0"/>
          <w:numId w:val="0"/>
        </w:numPr>
        <w:spacing w:line="240" w:lineRule="auto"/>
        <w:ind w:left="1701" w:hanging="567"/>
        <w:rPr>
          <w:sz w:val="16"/>
          <w:szCs w:val="16"/>
        </w:rPr>
      </w:pPr>
      <w:r w:rsidRPr="00EC2AFB">
        <w:rPr>
          <w:sz w:val="16"/>
          <w:szCs w:val="16"/>
        </w:rPr>
        <w:t xml:space="preserve">(vi)  </w:t>
      </w:r>
      <w:r w:rsidRPr="00EC2AFB">
        <w:rPr>
          <w:sz w:val="16"/>
          <w:szCs w:val="16"/>
        </w:rPr>
        <w:tab/>
      </w:r>
      <w:proofErr w:type="gramStart"/>
      <w:r w:rsidRPr="00EC2AFB">
        <w:rPr>
          <w:sz w:val="16"/>
          <w:szCs w:val="16"/>
        </w:rPr>
        <w:t>any</w:t>
      </w:r>
      <w:proofErr w:type="gramEnd"/>
      <w:r w:rsidRPr="00EC2AFB">
        <w:rPr>
          <w:sz w:val="16"/>
          <w:szCs w:val="16"/>
        </w:rPr>
        <w:t xml:space="preserve"> relevant particulars that are, or would be, entered in the Register for the product;</w:t>
      </w:r>
    </w:p>
    <w:p w14:paraId="4E774B58" w14:textId="77777777" w:rsidR="006B4FEC" w:rsidRPr="00EC2AFB" w:rsidRDefault="006B4FEC" w:rsidP="006B4FEC">
      <w:pPr>
        <w:pStyle w:val="NumberLevel1"/>
        <w:numPr>
          <w:ilvl w:val="0"/>
          <w:numId w:val="0"/>
        </w:numPr>
        <w:spacing w:line="240" w:lineRule="auto"/>
        <w:ind w:left="1701" w:hanging="567"/>
        <w:rPr>
          <w:sz w:val="16"/>
          <w:szCs w:val="16"/>
        </w:rPr>
      </w:pPr>
      <w:r w:rsidRPr="00EC2AFB">
        <w:rPr>
          <w:sz w:val="16"/>
          <w:szCs w:val="16"/>
        </w:rPr>
        <w:t>(</w:t>
      </w:r>
      <w:proofErr w:type="gramStart"/>
      <w:r w:rsidRPr="00EC2AFB">
        <w:rPr>
          <w:sz w:val="16"/>
          <w:szCs w:val="16"/>
        </w:rPr>
        <w:t>via</w:t>
      </w:r>
      <w:proofErr w:type="gramEnd"/>
      <w:r w:rsidRPr="00EC2AFB">
        <w:rPr>
          <w:sz w:val="16"/>
          <w:szCs w:val="16"/>
        </w:rPr>
        <w:t xml:space="preserve">)  </w:t>
      </w:r>
      <w:r w:rsidRPr="00EC2AFB">
        <w:rPr>
          <w:sz w:val="16"/>
          <w:szCs w:val="16"/>
        </w:rPr>
        <w:tab/>
        <w:t>whether the product conforms, or would conform, to any standard made for the product under section 6E to the extent that the standard relates to matters covered by subsection (1);</w:t>
      </w:r>
    </w:p>
    <w:p w14:paraId="5192462F" w14:textId="77777777" w:rsidR="006B4FEC" w:rsidRPr="00EC2AFB" w:rsidRDefault="006B4FEC" w:rsidP="006B4FEC">
      <w:pPr>
        <w:pStyle w:val="NumberLevel1"/>
        <w:numPr>
          <w:ilvl w:val="0"/>
          <w:numId w:val="0"/>
        </w:numPr>
        <w:spacing w:line="240" w:lineRule="auto"/>
        <w:ind w:left="1701" w:hanging="567"/>
        <w:rPr>
          <w:sz w:val="16"/>
          <w:szCs w:val="16"/>
        </w:rPr>
      </w:pPr>
      <w:r w:rsidRPr="00EC2AFB">
        <w:rPr>
          <w:sz w:val="16"/>
          <w:szCs w:val="16"/>
        </w:rPr>
        <w:t xml:space="preserve">(vii)  </w:t>
      </w:r>
      <w:r w:rsidRPr="00EC2AFB">
        <w:rPr>
          <w:sz w:val="16"/>
          <w:szCs w:val="16"/>
        </w:rPr>
        <w:tab/>
      </w:r>
      <w:proofErr w:type="gramStart"/>
      <w:r w:rsidRPr="00EC2AFB">
        <w:rPr>
          <w:sz w:val="16"/>
          <w:szCs w:val="16"/>
        </w:rPr>
        <w:t>any</w:t>
      </w:r>
      <w:proofErr w:type="gramEnd"/>
      <w:r w:rsidRPr="00EC2AFB">
        <w:rPr>
          <w:sz w:val="16"/>
          <w:szCs w:val="16"/>
        </w:rPr>
        <w:t xml:space="preserve"> matters prescribed by the regulations; and</w:t>
      </w:r>
    </w:p>
    <w:p w14:paraId="739B6365" w14:textId="77777777" w:rsidR="006B4FEC" w:rsidRPr="00EC2AFB" w:rsidRDefault="006B4FEC" w:rsidP="006B4FEC">
      <w:pPr>
        <w:pStyle w:val="Leg2Sec1"/>
        <w:tabs>
          <w:tab w:val="clear" w:pos="1276"/>
          <w:tab w:val="left" w:pos="1134"/>
        </w:tabs>
        <w:spacing w:line="240" w:lineRule="auto"/>
        <w:ind w:left="1134" w:hanging="567"/>
        <w:rPr>
          <w:sz w:val="16"/>
          <w:szCs w:val="16"/>
        </w:rPr>
      </w:pPr>
      <w:r w:rsidRPr="00EC2AFB">
        <w:rPr>
          <w:sz w:val="16"/>
          <w:szCs w:val="16"/>
        </w:rPr>
        <w:t xml:space="preserve">(b)  </w:t>
      </w:r>
      <w:r w:rsidRPr="009F0D10">
        <w:rPr>
          <w:sz w:val="16"/>
          <w:szCs w:val="16"/>
        </w:rPr>
        <w:tab/>
      </w:r>
      <w:r>
        <w:rPr>
          <w:sz w:val="16"/>
          <w:szCs w:val="16"/>
        </w:rPr>
        <w:t>[</w:t>
      </w:r>
      <w:proofErr w:type="gramStart"/>
      <w:r>
        <w:rPr>
          <w:sz w:val="16"/>
          <w:szCs w:val="16"/>
        </w:rPr>
        <w:t>the</w:t>
      </w:r>
      <w:proofErr w:type="gramEnd"/>
      <w:r>
        <w:rPr>
          <w:sz w:val="16"/>
          <w:szCs w:val="16"/>
        </w:rPr>
        <w:t xml:space="preserve"> APVMA] </w:t>
      </w:r>
      <w:r w:rsidRPr="00EC2AFB">
        <w:rPr>
          <w:sz w:val="16"/>
          <w:szCs w:val="16"/>
        </w:rPr>
        <w:t>may have regard to one or more of the following:</w:t>
      </w:r>
    </w:p>
    <w:p w14:paraId="2B41103B" w14:textId="77777777" w:rsidR="006B4FEC" w:rsidRPr="00EC2AFB" w:rsidRDefault="006B4FEC" w:rsidP="006B4FEC">
      <w:pPr>
        <w:pStyle w:val="NumberLevel1"/>
        <w:numPr>
          <w:ilvl w:val="0"/>
          <w:numId w:val="0"/>
        </w:numPr>
        <w:spacing w:line="240" w:lineRule="auto"/>
        <w:ind w:left="1701" w:hanging="567"/>
        <w:rPr>
          <w:sz w:val="16"/>
          <w:szCs w:val="16"/>
        </w:rPr>
      </w:pPr>
      <w:r w:rsidRPr="00EC2AFB">
        <w:rPr>
          <w:sz w:val="16"/>
          <w:szCs w:val="16"/>
        </w:rPr>
        <w:t>(</w:t>
      </w:r>
      <w:proofErr w:type="spellStart"/>
      <w:r w:rsidRPr="00EC2AFB">
        <w:rPr>
          <w:sz w:val="16"/>
          <w:szCs w:val="16"/>
        </w:rPr>
        <w:t>i</w:t>
      </w:r>
      <w:proofErr w:type="spellEnd"/>
      <w:r w:rsidRPr="00EC2AFB">
        <w:rPr>
          <w:sz w:val="16"/>
          <w:szCs w:val="16"/>
        </w:rPr>
        <w:t xml:space="preserve">)  </w:t>
      </w:r>
      <w:r w:rsidRPr="00EC2AFB">
        <w:rPr>
          <w:sz w:val="16"/>
          <w:szCs w:val="16"/>
        </w:rPr>
        <w:tab/>
      </w:r>
      <w:proofErr w:type="gramStart"/>
      <w:r w:rsidRPr="00EC2AFB">
        <w:rPr>
          <w:sz w:val="16"/>
          <w:szCs w:val="16"/>
        </w:rPr>
        <w:t>the</w:t>
      </w:r>
      <w:proofErr w:type="gramEnd"/>
      <w:r w:rsidRPr="00EC2AFB">
        <w:rPr>
          <w:sz w:val="16"/>
          <w:szCs w:val="16"/>
        </w:rPr>
        <w:t xml:space="preserve"> acceptable daily intake of each constituent contained in the product;</w:t>
      </w:r>
    </w:p>
    <w:p w14:paraId="7A1868B1" w14:textId="77777777" w:rsidR="006B4FEC" w:rsidRPr="00EC2AFB" w:rsidRDefault="006B4FEC" w:rsidP="006B4FEC">
      <w:pPr>
        <w:pStyle w:val="NumberLevel1"/>
        <w:numPr>
          <w:ilvl w:val="0"/>
          <w:numId w:val="0"/>
        </w:numPr>
        <w:spacing w:line="240" w:lineRule="auto"/>
        <w:ind w:left="1701" w:hanging="567"/>
        <w:rPr>
          <w:sz w:val="16"/>
          <w:szCs w:val="16"/>
        </w:rPr>
      </w:pPr>
      <w:r w:rsidRPr="00EC2AFB">
        <w:rPr>
          <w:sz w:val="16"/>
          <w:szCs w:val="16"/>
        </w:rPr>
        <w:t xml:space="preserve">(ii)  </w:t>
      </w:r>
      <w:r w:rsidRPr="00EC2AFB">
        <w:rPr>
          <w:sz w:val="16"/>
          <w:szCs w:val="16"/>
        </w:rPr>
        <w:tab/>
        <w:t>any dietary exposure assessment prepared under subsection 82(4) of the </w:t>
      </w:r>
      <w:r w:rsidRPr="00EC2AFB">
        <w:rPr>
          <w:i/>
          <w:iCs/>
          <w:sz w:val="16"/>
          <w:szCs w:val="16"/>
        </w:rPr>
        <w:t>Food Standards Australia New Zealand Act 1991</w:t>
      </w:r>
      <w:r w:rsidRPr="00EC2AFB">
        <w:rPr>
          <w:sz w:val="16"/>
          <w:szCs w:val="16"/>
        </w:rPr>
        <w:t> as a result of any proposed variation notified under subsection 82(3) of that Act in relation to the product, and any comments on the assessment given to the APVMA under subsection 82(4) of that Act;</w:t>
      </w:r>
    </w:p>
    <w:p w14:paraId="15755686" w14:textId="77777777" w:rsidR="006B4FEC" w:rsidRPr="00EC2AFB" w:rsidRDefault="006B4FEC" w:rsidP="006B4FEC">
      <w:pPr>
        <w:pStyle w:val="NumberLevel1"/>
        <w:numPr>
          <w:ilvl w:val="0"/>
          <w:numId w:val="0"/>
        </w:numPr>
        <w:spacing w:line="240" w:lineRule="auto"/>
        <w:ind w:left="1701" w:hanging="567"/>
        <w:rPr>
          <w:sz w:val="16"/>
          <w:szCs w:val="16"/>
        </w:rPr>
      </w:pPr>
      <w:r w:rsidRPr="00EC2AFB">
        <w:rPr>
          <w:sz w:val="16"/>
          <w:szCs w:val="16"/>
        </w:rPr>
        <w:t xml:space="preserve">(iii)  </w:t>
      </w:r>
      <w:r w:rsidRPr="00EC2AFB">
        <w:rPr>
          <w:sz w:val="16"/>
          <w:szCs w:val="16"/>
        </w:rPr>
        <w:tab/>
        <w:t>whether any trials or laboratory experiments have been carried out to determine the residues of the product and, if so, the results of those trials or experiments and whether those results show that the residues of the product will not be greater than limits that the APVMA has approved or approves;</w:t>
      </w:r>
    </w:p>
    <w:p w14:paraId="51850ED9" w14:textId="77777777" w:rsidR="006B4FEC" w:rsidRPr="00EC2AFB" w:rsidRDefault="006B4FEC" w:rsidP="006B4FEC">
      <w:pPr>
        <w:pStyle w:val="NumberLevel1"/>
        <w:numPr>
          <w:ilvl w:val="0"/>
          <w:numId w:val="0"/>
        </w:numPr>
        <w:spacing w:line="240" w:lineRule="auto"/>
        <w:ind w:left="1701" w:hanging="567"/>
        <w:rPr>
          <w:sz w:val="16"/>
          <w:szCs w:val="16"/>
        </w:rPr>
      </w:pPr>
      <w:r w:rsidRPr="00EC2AFB">
        <w:rPr>
          <w:sz w:val="16"/>
          <w:szCs w:val="16"/>
        </w:rPr>
        <w:t xml:space="preserve">(iv)  </w:t>
      </w:r>
      <w:r w:rsidRPr="00EC2AFB">
        <w:rPr>
          <w:sz w:val="16"/>
          <w:szCs w:val="16"/>
        </w:rPr>
        <w:tab/>
      </w:r>
      <w:proofErr w:type="gramStart"/>
      <w:r w:rsidRPr="00EC2AFB">
        <w:rPr>
          <w:sz w:val="16"/>
          <w:szCs w:val="16"/>
        </w:rPr>
        <w:t>the</w:t>
      </w:r>
      <w:proofErr w:type="gramEnd"/>
      <w:r w:rsidRPr="00EC2AFB">
        <w:rPr>
          <w:sz w:val="16"/>
          <w:szCs w:val="16"/>
        </w:rPr>
        <w:t xml:space="preserve"> stability of the product;</w:t>
      </w:r>
    </w:p>
    <w:p w14:paraId="78976F33" w14:textId="77777777" w:rsidR="006B4FEC" w:rsidRPr="00EC2AFB" w:rsidRDefault="006B4FEC" w:rsidP="006B4FEC">
      <w:pPr>
        <w:pStyle w:val="NumberLevel1"/>
        <w:numPr>
          <w:ilvl w:val="0"/>
          <w:numId w:val="0"/>
        </w:numPr>
        <w:spacing w:line="240" w:lineRule="auto"/>
        <w:ind w:left="1701" w:hanging="567"/>
        <w:rPr>
          <w:sz w:val="16"/>
          <w:szCs w:val="16"/>
        </w:rPr>
      </w:pPr>
      <w:r w:rsidRPr="00EC2AFB">
        <w:rPr>
          <w:sz w:val="16"/>
          <w:szCs w:val="16"/>
        </w:rPr>
        <w:t xml:space="preserve">(v)  </w:t>
      </w:r>
      <w:r w:rsidRPr="00EC2AFB">
        <w:rPr>
          <w:sz w:val="16"/>
          <w:szCs w:val="16"/>
        </w:rPr>
        <w:tab/>
      </w:r>
      <w:proofErr w:type="gramStart"/>
      <w:r w:rsidRPr="00EC2AFB">
        <w:rPr>
          <w:sz w:val="16"/>
          <w:szCs w:val="16"/>
        </w:rPr>
        <w:t>the</w:t>
      </w:r>
      <w:proofErr w:type="gramEnd"/>
      <w:r w:rsidRPr="00EC2AFB">
        <w:rPr>
          <w:sz w:val="16"/>
          <w:szCs w:val="16"/>
        </w:rPr>
        <w:t xml:space="preserve"> specifications for containers for the product;</w:t>
      </w:r>
    </w:p>
    <w:p w14:paraId="6491E598" w14:textId="77777777" w:rsidR="006B4FEC" w:rsidRPr="00EC2AFB" w:rsidRDefault="006B4FEC" w:rsidP="006B4FEC">
      <w:pPr>
        <w:pStyle w:val="NumberLevel1"/>
        <w:numPr>
          <w:ilvl w:val="0"/>
          <w:numId w:val="0"/>
        </w:numPr>
        <w:spacing w:line="240" w:lineRule="auto"/>
        <w:ind w:left="1701" w:hanging="567"/>
        <w:rPr>
          <w:sz w:val="16"/>
          <w:szCs w:val="16"/>
        </w:rPr>
      </w:pPr>
      <w:r w:rsidRPr="00EC2AFB">
        <w:rPr>
          <w:sz w:val="16"/>
          <w:szCs w:val="16"/>
        </w:rPr>
        <w:t xml:space="preserve">(vi)  </w:t>
      </w:r>
      <w:r w:rsidRPr="00EC2AFB">
        <w:rPr>
          <w:sz w:val="16"/>
          <w:szCs w:val="16"/>
        </w:rPr>
        <w:tab/>
      </w:r>
      <w:proofErr w:type="gramStart"/>
      <w:r w:rsidRPr="00EC2AFB">
        <w:rPr>
          <w:sz w:val="16"/>
          <w:szCs w:val="16"/>
        </w:rPr>
        <w:t>such</w:t>
      </w:r>
      <w:proofErr w:type="gramEnd"/>
      <w:r w:rsidRPr="00EC2AFB">
        <w:rPr>
          <w:sz w:val="16"/>
          <w:szCs w:val="16"/>
        </w:rPr>
        <w:t xml:space="preserve"> other matters as it thinks relevant.</w:t>
      </w:r>
    </w:p>
    <w:p w14:paraId="4C21F1FA" w14:textId="77777777" w:rsidR="006B4FEC" w:rsidRPr="00EC2AFB" w:rsidRDefault="006B4FEC" w:rsidP="003C69F4">
      <w:pPr>
        <w:pStyle w:val="NumberLevel1"/>
        <w:ind w:left="709"/>
      </w:pPr>
      <w:r w:rsidRPr="00EC2AFB">
        <w:lastRenderedPageBreak/>
        <w:t xml:space="preserve">Regulation 8AB of the </w:t>
      </w:r>
      <w:r w:rsidRPr="00EC2AFB">
        <w:rPr>
          <w:i/>
        </w:rPr>
        <w:t xml:space="preserve">Agricultural and Veterinary Chemicals Code Regulations 1995 </w:t>
      </w:r>
      <w:r w:rsidRPr="00EC2AFB">
        <w:t>(</w:t>
      </w:r>
      <w:proofErr w:type="spellStart"/>
      <w:r w:rsidRPr="00EC2AFB">
        <w:t>Cth</w:t>
      </w:r>
      <w:proofErr w:type="spellEnd"/>
      <w:r w:rsidRPr="00EC2AFB">
        <w:t>) (</w:t>
      </w:r>
      <w:r w:rsidRPr="00EC2AFB">
        <w:rPr>
          <w:b/>
        </w:rPr>
        <w:t xml:space="preserve">the </w:t>
      </w:r>
      <w:proofErr w:type="spellStart"/>
      <w:r w:rsidRPr="00EC2AFB">
        <w:rPr>
          <w:b/>
        </w:rPr>
        <w:t>Agvet</w:t>
      </w:r>
      <w:proofErr w:type="spellEnd"/>
      <w:r w:rsidRPr="00EC2AFB">
        <w:rPr>
          <w:b/>
        </w:rPr>
        <w:t xml:space="preserve"> Code Regulations</w:t>
      </w:r>
      <w:r w:rsidRPr="00EC2AFB">
        <w:t>) prescribes the following matters for chemical products, pursuant to subparagraph 5A(3)(a)(vii):</w:t>
      </w:r>
    </w:p>
    <w:p w14:paraId="4D4CE407" w14:textId="77777777" w:rsidR="006B4FEC" w:rsidRPr="00EC2AFB" w:rsidRDefault="006B4FEC" w:rsidP="006B4FEC">
      <w:pPr>
        <w:pStyle w:val="Leg2Sec1"/>
        <w:tabs>
          <w:tab w:val="clear" w:pos="1276"/>
          <w:tab w:val="left" w:pos="1134"/>
        </w:tabs>
        <w:spacing w:line="240" w:lineRule="auto"/>
        <w:ind w:left="1134" w:hanging="567"/>
        <w:rPr>
          <w:sz w:val="16"/>
          <w:szCs w:val="16"/>
        </w:rPr>
      </w:pPr>
      <w:r w:rsidRPr="00EC2AFB">
        <w:rPr>
          <w:sz w:val="16"/>
          <w:szCs w:val="16"/>
        </w:rPr>
        <w:t xml:space="preserve">(1)  </w:t>
      </w:r>
      <w:r>
        <w:rPr>
          <w:sz w:val="16"/>
          <w:szCs w:val="16"/>
        </w:rPr>
        <w:tab/>
      </w:r>
      <w:r w:rsidRPr="00EC2AFB">
        <w:rPr>
          <w:sz w:val="16"/>
          <w:szCs w:val="16"/>
        </w:rPr>
        <w:t>For subparagraph </w:t>
      </w:r>
      <w:proofErr w:type="gramStart"/>
      <w:r w:rsidRPr="00EC2AFB">
        <w:rPr>
          <w:sz w:val="16"/>
          <w:szCs w:val="16"/>
        </w:rPr>
        <w:t>5A(</w:t>
      </w:r>
      <w:proofErr w:type="gramEnd"/>
      <w:r w:rsidRPr="00EC2AFB">
        <w:rPr>
          <w:sz w:val="16"/>
          <w:szCs w:val="16"/>
        </w:rPr>
        <w:t>3)(a)(vii) of the Code, the following are prescribed matters for a chemical product:</w:t>
      </w:r>
    </w:p>
    <w:p w14:paraId="19D4C314" w14:textId="77777777" w:rsidR="006B4FEC" w:rsidRPr="00EC2AFB" w:rsidRDefault="006B4FEC" w:rsidP="006B4FEC">
      <w:pPr>
        <w:pStyle w:val="NumberLevel1"/>
        <w:numPr>
          <w:ilvl w:val="0"/>
          <w:numId w:val="0"/>
        </w:numPr>
        <w:spacing w:line="240" w:lineRule="auto"/>
        <w:ind w:left="1701" w:hanging="567"/>
        <w:rPr>
          <w:sz w:val="16"/>
          <w:szCs w:val="16"/>
        </w:rPr>
      </w:pPr>
      <w:r w:rsidRPr="00EC2AFB">
        <w:rPr>
          <w:sz w:val="16"/>
          <w:szCs w:val="16"/>
        </w:rPr>
        <w:t xml:space="preserve">(a)  </w:t>
      </w:r>
      <w:r>
        <w:rPr>
          <w:sz w:val="16"/>
          <w:szCs w:val="16"/>
        </w:rPr>
        <w:tab/>
      </w:r>
      <w:proofErr w:type="gramStart"/>
      <w:r w:rsidRPr="00EC2AFB">
        <w:rPr>
          <w:sz w:val="16"/>
          <w:szCs w:val="16"/>
        </w:rPr>
        <w:t>for</w:t>
      </w:r>
      <w:proofErr w:type="gramEnd"/>
      <w:r w:rsidRPr="00EC2AFB">
        <w:rPr>
          <w:sz w:val="16"/>
          <w:szCs w:val="16"/>
        </w:rPr>
        <w:t xml:space="preserve"> all chemical products—the method of analysis (if any) of the chemical composition and form of the constituents of the chemical product;</w:t>
      </w:r>
    </w:p>
    <w:p w14:paraId="124C8446" w14:textId="77777777" w:rsidR="006B4FEC" w:rsidRDefault="006B4FEC" w:rsidP="006B4FEC">
      <w:pPr>
        <w:pStyle w:val="NumberLevel1"/>
        <w:numPr>
          <w:ilvl w:val="0"/>
          <w:numId w:val="0"/>
        </w:numPr>
        <w:spacing w:line="240" w:lineRule="auto"/>
        <w:ind w:left="1701" w:hanging="567"/>
        <w:rPr>
          <w:sz w:val="16"/>
          <w:szCs w:val="16"/>
        </w:rPr>
      </w:pPr>
      <w:r w:rsidRPr="00EC2AFB">
        <w:rPr>
          <w:sz w:val="16"/>
          <w:szCs w:val="16"/>
        </w:rPr>
        <w:t xml:space="preserve">(b)  </w:t>
      </w:r>
      <w:r>
        <w:rPr>
          <w:sz w:val="16"/>
          <w:szCs w:val="16"/>
        </w:rPr>
        <w:tab/>
      </w:r>
      <w:proofErr w:type="gramStart"/>
      <w:r w:rsidRPr="00EC2AFB">
        <w:rPr>
          <w:sz w:val="16"/>
          <w:szCs w:val="16"/>
        </w:rPr>
        <w:t>for</w:t>
      </w:r>
      <w:proofErr w:type="gramEnd"/>
      <w:r w:rsidRPr="00EC2AFB">
        <w:rPr>
          <w:sz w:val="16"/>
          <w:szCs w:val="16"/>
        </w:rPr>
        <w:t xml:space="preserve"> a product manufactured in Australia—whether each step in the manufacture of the product complies, or will comply, with the manufacturing principles and the Australian GMP Code;</w:t>
      </w:r>
    </w:p>
    <w:p w14:paraId="1C7B3923" w14:textId="77777777" w:rsidR="006B4FEC" w:rsidRPr="00EC2AFB" w:rsidRDefault="006B4FEC" w:rsidP="006B4FEC">
      <w:pPr>
        <w:pStyle w:val="NumberLevel1"/>
        <w:numPr>
          <w:ilvl w:val="0"/>
          <w:numId w:val="0"/>
        </w:numPr>
        <w:spacing w:line="240" w:lineRule="auto"/>
        <w:ind w:left="1701" w:hanging="567"/>
        <w:rPr>
          <w:sz w:val="16"/>
          <w:szCs w:val="16"/>
        </w:rPr>
      </w:pPr>
      <w:r>
        <w:rPr>
          <w:sz w:val="16"/>
          <w:szCs w:val="16"/>
        </w:rPr>
        <w:t>(c)</w:t>
      </w:r>
      <w:r>
        <w:rPr>
          <w:sz w:val="16"/>
          <w:szCs w:val="16"/>
        </w:rPr>
        <w:tab/>
      </w:r>
      <w:proofErr w:type="gramStart"/>
      <w:r w:rsidRPr="00EC2AFB">
        <w:rPr>
          <w:sz w:val="16"/>
          <w:szCs w:val="16"/>
        </w:rPr>
        <w:t>for</w:t>
      </w:r>
      <w:proofErr w:type="gramEnd"/>
      <w:r w:rsidRPr="00EC2AFB">
        <w:rPr>
          <w:sz w:val="16"/>
          <w:szCs w:val="16"/>
        </w:rPr>
        <w:t xml:space="preserve"> a product manufactured outside Australia—whether each</w:t>
      </w:r>
      <w:r>
        <w:rPr>
          <w:sz w:val="16"/>
          <w:szCs w:val="16"/>
        </w:rPr>
        <w:t xml:space="preserve"> step in the manufacture of the </w:t>
      </w:r>
      <w:r w:rsidRPr="00EC2AFB">
        <w:rPr>
          <w:sz w:val="16"/>
          <w:szCs w:val="16"/>
        </w:rPr>
        <w:t>product complies, or will comply, with a standard that the APVMA has determined is comparable to the manufacturing principles and the Australian GMP Code;</w:t>
      </w:r>
    </w:p>
    <w:p w14:paraId="3E4BC709" w14:textId="77777777" w:rsidR="006B4FEC" w:rsidRPr="00EC2AFB" w:rsidRDefault="006B4FEC" w:rsidP="006B4FEC">
      <w:pPr>
        <w:pStyle w:val="NumberLevel1"/>
        <w:numPr>
          <w:ilvl w:val="0"/>
          <w:numId w:val="0"/>
        </w:numPr>
        <w:spacing w:line="240" w:lineRule="auto"/>
        <w:ind w:left="1701" w:hanging="567"/>
        <w:rPr>
          <w:sz w:val="16"/>
          <w:szCs w:val="16"/>
        </w:rPr>
      </w:pPr>
      <w:r w:rsidRPr="00EC2AFB">
        <w:rPr>
          <w:sz w:val="16"/>
          <w:szCs w:val="16"/>
        </w:rPr>
        <w:t>(</w:t>
      </w:r>
      <w:proofErr w:type="gramStart"/>
      <w:r w:rsidRPr="00EC2AFB">
        <w:rPr>
          <w:sz w:val="16"/>
          <w:szCs w:val="16"/>
        </w:rPr>
        <w:t>d</w:t>
      </w:r>
      <w:proofErr w:type="gramEnd"/>
      <w:r w:rsidRPr="00EC2AFB">
        <w:rPr>
          <w:sz w:val="16"/>
          <w:szCs w:val="16"/>
        </w:rPr>
        <w:t xml:space="preserve">)  </w:t>
      </w:r>
      <w:r>
        <w:rPr>
          <w:sz w:val="16"/>
          <w:szCs w:val="16"/>
        </w:rPr>
        <w:tab/>
      </w:r>
      <w:r w:rsidRPr="00EC2AFB">
        <w:rPr>
          <w:sz w:val="16"/>
          <w:szCs w:val="16"/>
        </w:rPr>
        <w:t xml:space="preserve">for a </w:t>
      </w:r>
      <w:proofErr w:type="spellStart"/>
      <w:r w:rsidRPr="00EC2AFB">
        <w:rPr>
          <w:sz w:val="16"/>
          <w:szCs w:val="16"/>
        </w:rPr>
        <w:t>molluscicide</w:t>
      </w:r>
      <w:proofErr w:type="spellEnd"/>
      <w:r w:rsidRPr="00EC2AFB">
        <w:rPr>
          <w:sz w:val="16"/>
          <w:szCs w:val="16"/>
        </w:rPr>
        <w:t xml:space="preserve"> in the form of a bait and of which the active constituent is metaldehyde:</w:t>
      </w:r>
    </w:p>
    <w:p w14:paraId="7C1F7D81" w14:textId="77777777" w:rsidR="006B4FEC" w:rsidRPr="00EC2AFB" w:rsidRDefault="006B4FEC" w:rsidP="006B4FEC">
      <w:pPr>
        <w:pStyle w:val="NumberLevel1"/>
        <w:numPr>
          <w:ilvl w:val="0"/>
          <w:numId w:val="0"/>
        </w:numPr>
        <w:spacing w:line="240" w:lineRule="auto"/>
        <w:ind w:left="2268" w:hanging="567"/>
        <w:rPr>
          <w:sz w:val="16"/>
          <w:szCs w:val="16"/>
        </w:rPr>
      </w:pPr>
      <w:r w:rsidRPr="00EC2AFB">
        <w:rPr>
          <w:sz w:val="16"/>
          <w:szCs w:val="16"/>
        </w:rPr>
        <w:t>(</w:t>
      </w:r>
      <w:proofErr w:type="spellStart"/>
      <w:r w:rsidRPr="00EC2AFB">
        <w:rPr>
          <w:sz w:val="16"/>
          <w:szCs w:val="16"/>
        </w:rPr>
        <w:t>i</w:t>
      </w:r>
      <w:proofErr w:type="spellEnd"/>
      <w:r w:rsidRPr="00EC2AFB">
        <w:rPr>
          <w:sz w:val="16"/>
          <w:szCs w:val="16"/>
        </w:rPr>
        <w:t xml:space="preserve">)  </w:t>
      </w:r>
      <w:r>
        <w:rPr>
          <w:sz w:val="16"/>
          <w:szCs w:val="16"/>
        </w:rPr>
        <w:tab/>
      </w:r>
      <w:proofErr w:type="gramStart"/>
      <w:r w:rsidRPr="00EC2AFB">
        <w:rPr>
          <w:sz w:val="16"/>
          <w:szCs w:val="16"/>
        </w:rPr>
        <w:t>whether</w:t>
      </w:r>
      <w:proofErr w:type="gramEnd"/>
      <w:r w:rsidRPr="00EC2AFB">
        <w:rPr>
          <w:sz w:val="16"/>
          <w:szCs w:val="16"/>
        </w:rPr>
        <w:t xml:space="preserve"> the product contains sufficient green pigment or dye to colour the bait a distinctive green colour; and</w:t>
      </w:r>
    </w:p>
    <w:p w14:paraId="5F1ECAE0" w14:textId="77777777" w:rsidR="006B4FEC" w:rsidRPr="00EC2AFB" w:rsidRDefault="006B4FEC" w:rsidP="006B4FEC">
      <w:pPr>
        <w:pStyle w:val="NumberLevel1"/>
        <w:numPr>
          <w:ilvl w:val="0"/>
          <w:numId w:val="0"/>
        </w:numPr>
        <w:spacing w:line="240" w:lineRule="auto"/>
        <w:ind w:left="2268" w:hanging="567"/>
        <w:rPr>
          <w:sz w:val="16"/>
          <w:szCs w:val="16"/>
        </w:rPr>
      </w:pPr>
      <w:r w:rsidRPr="00EC2AFB">
        <w:rPr>
          <w:sz w:val="16"/>
          <w:szCs w:val="16"/>
        </w:rPr>
        <w:t xml:space="preserve">(ii)  </w:t>
      </w:r>
      <w:r>
        <w:rPr>
          <w:sz w:val="16"/>
          <w:szCs w:val="16"/>
        </w:rPr>
        <w:tab/>
      </w:r>
      <w:proofErr w:type="gramStart"/>
      <w:r w:rsidRPr="00EC2AFB">
        <w:rPr>
          <w:sz w:val="16"/>
          <w:szCs w:val="16"/>
        </w:rPr>
        <w:t>whether</w:t>
      </w:r>
      <w:proofErr w:type="gramEnd"/>
      <w:r w:rsidRPr="00EC2AFB">
        <w:rPr>
          <w:sz w:val="16"/>
          <w:szCs w:val="16"/>
        </w:rPr>
        <w:t xml:space="preserve"> the product contains, in the bait, any bone meal or other product of animal origin;</w:t>
      </w:r>
    </w:p>
    <w:p w14:paraId="3B59EDE2" w14:textId="77777777" w:rsidR="006B4FEC" w:rsidRPr="00EC2AFB" w:rsidRDefault="006B4FEC" w:rsidP="006B4FEC">
      <w:pPr>
        <w:pStyle w:val="NumberLevel1"/>
        <w:numPr>
          <w:ilvl w:val="0"/>
          <w:numId w:val="0"/>
        </w:numPr>
        <w:spacing w:line="240" w:lineRule="auto"/>
        <w:ind w:left="1701" w:hanging="567"/>
        <w:rPr>
          <w:sz w:val="16"/>
          <w:szCs w:val="16"/>
        </w:rPr>
      </w:pPr>
      <w:r>
        <w:rPr>
          <w:sz w:val="16"/>
          <w:szCs w:val="16"/>
        </w:rPr>
        <w:t>(e)</w:t>
      </w:r>
      <w:r w:rsidRPr="00EC2AFB">
        <w:rPr>
          <w:sz w:val="16"/>
          <w:szCs w:val="16"/>
        </w:rPr>
        <w:t>  </w:t>
      </w:r>
      <w:r>
        <w:rPr>
          <w:sz w:val="16"/>
          <w:szCs w:val="16"/>
        </w:rPr>
        <w:tab/>
      </w:r>
      <w:proofErr w:type="gramStart"/>
      <w:r w:rsidRPr="00D149C8">
        <w:rPr>
          <w:sz w:val="16"/>
          <w:szCs w:val="16"/>
        </w:rPr>
        <w:t>for</w:t>
      </w:r>
      <w:proofErr w:type="gramEnd"/>
      <w:r w:rsidRPr="00D149C8">
        <w:rPr>
          <w:sz w:val="16"/>
          <w:szCs w:val="16"/>
        </w:rPr>
        <w:t xml:space="preserve"> a </w:t>
      </w:r>
      <w:proofErr w:type="spellStart"/>
      <w:r w:rsidRPr="00D149C8">
        <w:rPr>
          <w:sz w:val="16"/>
          <w:szCs w:val="16"/>
        </w:rPr>
        <w:t>molluscicide</w:t>
      </w:r>
      <w:proofErr w:type="spellEnd"/>
      <w:r w:rsidRPr="00D149C8">
        <w:rPr>
          <w:sz w:val="16"/>
          <w:szCs w:val="16"/>
        </w:rPr>
        <w:t xml:space="preserve"> in the</w:t>
      </w:r>
      <w:r w:rsidRPr="00EC2AFB">
        <w:rPr>
          <w:sz w:val="16"/>
          <w:szCs w:val="16"/>
        </w:rPr>
        <w:t xml:space="preserve"> form of a bait and of which the active constituent is </w:t>
      </w:r>
      <w:proofErr w:type="spellStart"/>
      <w:r w:rsidRPr="00EC2AFB">
        <w:rPr>
          <w:sz w:val="16"/>
          <w:szCs w:val="16"/>
        </w:rPr>
        <w:t>methiocarb</w:t>
      </w:r>
      <w:proofErr w:type="spellEnd"/>
      <w:r w:rsidRPr="00EC2AFB">
        <w:rPr>
          <w:sz w:val="16"/>
          <w:szCs w:val="16"/>
        </w:rPr>
        <w:t>:</w:t>
      </w:r>
    </w:p>
    <w:p w14:paraId="0407D045" w14:textId="77777777" w:rsidR="006B4FEC" w:rsidRPr="00EC2AFB" w:rsidRDefault="006B4FEC" w:rsidP="006B4FEC">
      <w:pPr>
        <w:pStyle w:val="NumberLevel1"/>
        <w:numPr>
          <w:ilvl w:val="0"/>
          <w:numId w:val="0"/>
        </w:numPr>
        <w:spacing w:line="240" w:lineRule="auto"/>
        <w:ind w:left="2268" w:hanging="567"/>
        <w:rPr>
          <w:sz w:val="16"/>
          <w:szCs w:val="16"/>
        </w:rPr>
      </w:pPr>
      <w:r w:rsidRPr="00EC2AFB">
        <w:rPr>
          <w:sz w:val="16"/>
          <w:szCs w:val="16"/>
        </w:rPr>
        <w:t>(</w:t>
      </w:r>
      <w:proofErr w:type="spellStart"/>
      <w:r w:rsidRPr="00EC2AFB">
        <w:rPr>
          <w:sz w:val="16"/>
          <w:szCs w:val="16"/>
        </w:rPr>
        <w:t>i</w:t>
      </w:r>
      <w:proofErr w:type="spellEnd"/>
      <w:r w:rsidRPr="00EC2AFB">
        <w:rPr>
          <w:sz w:val="16"/>
          <w:szCs w:val="16"/>
        </w:rPr>
        <w:t xml:space="preserve">)  </w:t>
      </w:r>
      <w:r>
        <w:rPr>
          <w:sz w:val="16"/>
          <w:szCs w:val="16"/>
        </w:rPr>
        <w:tab/>
      </w:r>
      <w:proofErr w:type="gramStart"/>
      <w:r w:rsidRPr="00EC2AFB">
        <w:rPr>
          <w:sz w:val="16"/>
          <w:szCs w:val="16"/>
        </w:rPr>
        <w:t>whether</w:t>
      </w:r>
      <w:proofErr w:type="gramEnd"/>
      <w:r w:rsidRPr="00EC2AFB">
        <w:rPr>
          <w:sz w:val="16"/>
          <w:szCs w:val="16"/>
        </w:rPr>
        <w:t xml:space="preserve"> the product contains sufficient blue pigment or dye to colour the bait a distinctive blue colour; and</w:t>
      </w:r>
    </w:p>
    <w:p w14:paraId="3ACDA063" w14:textId="77777777" w:rsidR="006B4FEC" w:rsidRPr="00EC2AFB" w:rsidRDefault="006B4FEC" w:rsidP="006B4FEC">
      <w:pPr>
        <w:pStyle w:val="NumberLevel1"/>
        <w:numPr>
          <w:ilvl w:val="0"/>
          <w:numId w:val="0"/>
        </w:numPr>
        <w:spacing w:line="240" w:lineRule="auto"/>
        <w:ind w:left="2268" w:hanging="567"/>
        <w:rPr>
          <w:sz w:val="16"/>
          <w:szCs w:val="16"/>
        </w:rPr>
      </w:pPr>
      <w:r w:rsidRPr="00EC2AFB">
        <w:rPr>
          <w:sz w:val="16"/>
          <w:szCs w:val="16"/>
        </w:rPr>
        <w:t xml:space="preserve">(ii)  </w:t>
      </w:r>
      <w:r>
        <w:rPr>
          <w:sz w:val="16"/>
          <w:szCs w:val="16"/>
        </w:rPr>
        <w:tab/>
      </w:r>
      <w:proofErr w:type="gramStart"/>
      <w:r w:rsidRPr="00EC2AFB">
        <w:rPr>
          <w:sz w:val="16"/>
          <w:szCs w:val="16"/>
        </w:rPr>
        <w:t>whether</w:t>
      </w:r>
      <w:proofErr w:type="gramEnd"/>
      <w:r w:rsidRPr="00EC2AFB">
        <w:rPr>
          <w:sz w:val="16"/>
          <w:szCs w:val="16"/>
        </w:rPr>
        <w:t xml:space="preserve"> the product contains, in the bait, any bone meal or other product of animal origin;</w:t>
      </w:r>
    </w:p>
    <w:p w14:paraId="7D8ECE14" w14:textId="77777777" w:rsidR="006B4FEC" w:rsidRPr="00EC2AFB" w:rsidRDefault="006B4FEC" w:rsidP="006B4FEC">
      <w:pPr>
        <w:pStyle w:val="NumberLevel1"/>
        <w:numPr>
          <w:ilvl w:val="0"/>
          <w:numId w:val="0"/>
        </w:numPr>
        <w:spacing w:line="240" w:lineRule="auto"/>
        <w:ind w:left="1701" w:hanging="567"/>
        <w:rPr>
          <w:sz w:val="16"/>
          <w:szCs w:val="16"/>
        </w:rPr>
      </w:pPr>
      <w:r w:rsidRPr="00EC2AFB">
        <w:rPr>
          <w:sz w:val="16"/>
          <w:szCs w:val="16"/>
        </w:rPr>
        <w:t>(f) </w:t>
      </w:r>
      <w:r>
        <w:rPr>
          <w:sz w:val="16"/>
          <w:szCs w:val="16"/>
        </w:rPr>
        <w:tab/>
      </w:r>
      <w:r w:rsidRPr="00EC2AFB">
        <w:rPr>
          <w:sz w:val="16"/>
          <w:szCs w:val="16"/>
        </w:rPr>
        <w:t>for an agricultural chemical product to be applied to seeds to be stored before planting or sowing—whether the product contains sufficient pigment or dye to colour the seed to enable the seed to be readily distinguished from seed to which the product has not been applied.</w:t>
      </w:r>
    </w:p>
    <w:p w14:paraId="6A84C67B" w14:textId="77777777" w:rsidR="006B4FEC" w:rsidRPr="00EC2AFB" w:rsidRDefault="006B4FEC" w:rsidP="006B4FEC">
      <w:pPr>
        <w:pStyle w:val="Leg2Sec1"/>
        <w:tabs>
          <w:tab w:val="clear" w:pos="1276"/>
          <w:tab w:val="left" w:pos="1134"/>
        </w:tabs>
        <w:spacing w:line="240" w:lineRule="auto"/>
        <w:ind w:left="1134" w:hanging="567"/>
        <w:rPr>
          <w:sz w:val="16"/>
          <w:szCs w:val="16"/>
        </w:rPr>
      </w:pPr>
      <w:r w:rsidRPr="00EC2AFB">
        <w:rPr>
          <w:sz w:val="16"/>
          <w:szCs w:val="16"/>
        </w:rPr>
        <w:t>(2) </w:t>
      </w:r>
      <w:r>
        <w:rPr>
          <w:sz w:val="16"/>
          <w:szCs w:val="16"/>
        </w:rPr>
        <w:tab/>
      </w:r>
      <w:r w:rsidRPr="00EC2AFB">
        <w:rPr>
          <w:sz w:val="16"/>
          <w:szCs w:val="16"/>
        </w:rPr>
        <w:t>However, paragraphs (1</w:t>
      </w:r>
      <w:proofErr w:type="gramStart"/>
      <w:r w:rsidRPr="00EC2AFB">
        <w:rPr>
          <w:sz w:val="16"/>
          <w:szCs w:val="16"/>
        </w:rPr>
        <w:t>)(</w:t>
      </w:r>
      <w:proofErr w:type="gramEnd"/>
      <w:r w:rsidRPr="00EC2AFB">
        <w:rPr>
          <w:sz w:val="16"/>
          <w:szCs w:val="16"/>
        </w:rPr>
        <w:t xml:space="preserve">b) and (c) do not apply if the product is prescribed under </w:t>
      </w:r>
      <w:proofErr w:type="spellStart"/>
      <w:r w:rsidRPr="00EC2AFB">
        <w:rPr>
          <w:sz w:val="16"/>
          <w:szCs w:val="16"/>
        </w:rPr>
        <w:t>subregulation</w:t>
      </w:r>
      <w:proofErr w:type="spellEnd"/>
      <w:r w:rsidRPr="00EC2AFB">
        <w:rPr>
          <w:sz w:val="16"/>
          <w:szCs w:val="16"/>
        </w:rPr>
        <w:t> 59(1) for the purposes of section 120A of the Code.</w:t>
      </w:r>
    </w:p>
    <w:p w14:paraId="02BF4836" w14:textId="77777777" w:rsidR="006B4FEC" w:rsidRDefault="006B4FEC" w:rsidP="006B4FEC">
      <w:pPr>
        <w:pStyle w:val="NumberLevel1"/>
        <w:numPr>
          <w:ilvl w:val="0"/>
          <w:numId w:val="0"/>
        </w:numPr>
        <w:spacing w:before="360" w:after="0"/>
      </w:pPr>
      <w:r w:rsidRPr="00EC2AFB">
        <w:rPr>
          <w:i/>
          <w:u w:val="single"/>
        </w:rPr>
        <w:t xml:space="preserve">Paragraphs </w:t>
      </w:r>
      <w:proofErr w:type="gramStart"/>
      <w:r w:rsidRPr="00EC2AFB">
        <w:rPr>
          <w:i/>
          <w:u w:val="single"/>
        </w:rPr>
        <w:t>5A(</w:t>
      </w:r>
      <w:proofErr w:type="gramEnd"/>
      <w:r w:rsidRPr="00EC2AFB">
        <w:rPr>
          <w:i/>
          <w:u w:val="single"/>
        </w:rPr>
        <w:t>1)(a) and (b)</w:t>
      </w:r>
    </w:p>
    <w:p w14:paraId="7F41E5D4" w14:textId="77777777" w:rsidR="006B4FEC" w:rsidRDefault="006B4FEC" w:rsidP="003C69F4">
      <w:pPr>
        <w:pStyle w:val="NumberLevel1"/>
        <w:ind w:left="709"/>
      </w:pPr>
      <w:r>
        <w:t>Paragraphs 5A(1)(a) and (b) provide that a product will only satisfy the safety criteria if it is not, or would not be:</w:t>
      </w:r>
    </w:p>
    <w:p w14:paraId="1E1AE849" w14:textId="77777777" w:rsidR="006B4FEC" w:rsidRDefault="006B4FEC" w:rsidP="006B4FEC">
      <w:pPr>
        <w:pStyle w:val="NumberLevel2"/>
      </w:pPr>
      <w:r>
        <w:t xml:space="preserve">an undue hazard to the safety of people exposed to it during its handling or using anything containing its residues; and </w:t>
      </w:r>
    </w:p>
    <w:p w14:paraId="094E0314" w14:textId="77777777" w:rsidR="006B4FEC" w:rsidRDefault="006B4FEC" w:rsidP="006B4FEC">
      <w:pPr>
        <w:pStyle w:val="NumberLevel2"/>
      </w:pPr>
      <w:proofErr w:type="gramStart"/>
      <w:r>
        <w:t>likely</w:t>
      </w:r>
      <w:proofErr w:type="gramEnd"/>
      <w:r>
        <w:t xml:space="preserve"> to have an effect that is harmful to human beings.</w:t>
      </w:r>
    </w:p>
    <w:p w14:paraId="10D8BF7B" w14:textId="144CE4BF" w:rsidR="006B4FEC" w:rsidRDefault="006B4FEC" w:rsidP="003C69F4">
      <w:pPr>
        <w:pStyle w:val="NumberLevel1"/>
        <w:ind w:left="709"/>
      </w:pPr>
      <w:r>
        <w:t xml:space="preserve">In relation to determining whether the products satisfy these requirements, I have had regard to relevant advice from </w:t>
      </w:r>
      <w:r w:rsidRPr="009F554D">
        <w:t xml:space="preserve">the </w:t>
      </w:r>
      <w:r>
        <w:t>Principal Toxicologist. That advice is set out in the</w:t>
      </w:r>
      <w:r w:rsidRPr="0099752A">
        <w:t xml:space="preserve"> </w:t>
      </w:r>
      <w:r>
        <w:t xml:space="preserve">Reconsideration of </w:t>
      </w:r>
      <w:proofErr w:type="spellStart"/>
      <w:r>
        <w:t>chlorpyrifos</w:t>
      </w:r>
      <w:proofErr w:type="spellEnd"/>
      <w:r w:rsidR="00A57DA0">
        <w:t>—</w:t>
      </w:r>
      <w:r>
        <w:t xml:space="preserve">Toxicology update, June 2019. The Reconsideration of </w:t>
      </w:r>
      <w:proofErr w:type="spellStart"/>
      <w:r>
        <w:t>chlorpyrifos</w:t>
      </w:r>
      <w:proofErr w:type="spellEnd"/>
      <w:r w:rsidR="00A57DA0">
        <w:t>—</w:t>
      </w:r>
      <w:r>
        <w:t xml:space="preserve">Toxicology update, June 2019 confirms that exposure to </w:t>
      </w:r>
      <w:proofErr w:type="spellStart"/>
      <w:r>
        <w:t>chlorpyrifos</w:t>
      </w:r>
      <w:proofErr w:type="spellEnd"/>
      <w:r>
        <w:t xml:space="preserve"> at levels higher than those that i</w:t>
      </w:r>
      <w:r w:rsidR="00AA3402">
        <w:t xml:space="preserve">nhibit blood </w:t>
      </w:r>
      <w:proofErr w:type="spellStart"/>
      <w:r w:rsidR="00AA3402">
        <w:t>cholinesterases</w:t>
      </w:r>
      <w:proofErr w:type="spellEnd"/>
      <w:r w:rsidR="00AA3402">
        <w:t xml:space="preserve"> (</w:t>
      </w:r>
      <w:proofErr w:type="spellStart"/>
      <w:r w:rsidR="00AA3402">
        <w:t>i</w:t>
      </w:r>
      <w:r>
        <w:t>e</w:t>
      </w:r>
      <w:proofErr w:type="spellEnd"/>
      <w:r w:rsidR="001B30E8">
        <w:t>,</w:t>
      </w:r>
      <w:r>
        <w:t xml:space="preserve"> ‘high dose </w:t>
      </w:r>
      <w:proofErr w:type="spellStart"/>
      <w:r>
        <w:t>chlorpyrifos</w:t>
      </w:r>
      <w:proofErr w:type="spellEnd"/>
      <w:r>
        <w:t xml:space="preserve"> exposure’) results in adverse effects, </w:t>
      </w:r>
      <w:r w:rsidRPr="009F554D">
        <w:t>p</w:t>
      </w:r>
      <w:r>
        <w:t>articularly adverse effects on n</w:t>
      </w:r>
      <w:r w:rsidRPr="009A087C">
        <w:t>eurodevelopmen</w:t>
      </w:r>
      <w:r>
        <w:t>t</w:t>
      </w:r>
      <w:r w:rsidRPr="009A087C">
        <w:t xml:space="preserve"> and </w:t>
      </w:r>
      <w:proofErr w:type="spellStart"/>
      <w:r w:rsidRPr="009A087C">
        <w:t>neurobehavioural</w:t>
      </w:r>
      <w:proofErr w:type="spellEnd"/>
      <w:r w:rsidRPr="009A087C">
        <w:t xml:space="preserve"> developmental</w:t>
      </w:r>
      <w:r>
        <w:t>.</w:t>
      </w:r>
      <w:r>
        <w:rPr>
          <w:rStyle w:val="FootnoteReference"/>
        </w:rPr>
        <w:footnoteReference w:id="10"/>
      </w:r>
      <w:r>
        <w:t xml:space="preserve"> </w:t>
      </w:r>
    </w:p>
    <w:p w14:paraId="66368169" w14:textId="77777777" w:rsidR="006B4FEC" w:rsidRPr="003F1269" w:rsidRDefault="006B4FEC" w:rsidP="006B4FEC">
      <w:pPr>
        <w:pStyle w:val="Heading5"/>
        <w:numPr>
          <w:ilvl w:val="0"/>
          <w:numId w:val="37"/>
        </w:numPr>
        <w:spacing w:before="240" w:line="280" w:lineRule="atLeast"/>
        <w:rPr>
          <w:rFonts w:ascii="Arial" w:eastAsia="Times New Roman" w:hAnsi="Arial" w:cs="Arial"/>
          <w:bCs/>
          <w:i/>
          <w:iCs/>
          <w:color w:val="auto"/>
          <w:sz w:val="20"/>
          <w:szCs w:val="26"/>
          <w:lang w:eastAsia="en-AU"/>
        </w:rPr>
      </w:pPr>
      <w:r w:rsidRPr="003F1269">
        <w:rPr>
          <w:rFonts w:ascii="Arial" w:eastAsia="Times New Roman" w:hAnsi="Arial" w:cs="Arial"/>
          <w:bCs/>
          <w:i/>
          <w:iCs/>
          <w:color w:val="auto"/>
          <w:sz w:val="20"/>
          <w:szCs w:val="26"/>
          <w:lang w:eastAsia="en-AU"/>
        </w:rPr>
        <w:t>Acceptable daily intake</w:t>
      </w:r>
    </w:p>
    <w:p w14:paraId="540F8E08" w14:textId="77777777" w:rsidR="006B4FEC" w:rsidRPr="00CE50D4" w:rsidRDefault="006B4FEC" w:rsidP="006B4FEC">
      <w:pPr>
        <w:pStyle w:val="Heading6"/>
        <w:numPr>
          <w:ilvl w:val="0"/>
          <w:numId w:val="40"/>
        </w:numPr>
        <w:spacing w:line="280" w:lineRule="atLeast"/>
        <w:rPr>
          <w:rFonts w:ascii="Arial" w:eastAsiaTheme="minorEastAsia" w:hAnsi="Arial" w:cstheme="minorBidi"/>
          <w:b w:val="0"/>
          <w:i/>
          <w:caps/>
          <w:lang w:eastAsia="en-AU"/>
        </w:rPr>
      </w:pPr>
      <w:r w:rsidRPr="00CE50D4">
        <w:rPr>
          <w:rFonts w:ascii="Arial" w:eastAsiaTheme="minorEastAsia" w:hAnsi="Arial" w:cstheme="minorBidi"/>
          <w:b w:val="0"/>
          <w:i/>
          <w:lang w:eastAsia="en-AU"/>
        </w:rPr>
        <w:t xml:space="preserve">Identifying an appropriate point of departure </w:t>
      </w:r>
    </w:p>
    <w:p w14:paraId="73C8B087" w14:textId="335827F1" w:rsidR="006B4FEC" w:rsidRDefault="006B4FEC" w:rsidP="003C69F4">
      <w:pPr>
        <w:pStyle w:val="NumberLevel1"/>
        <w:ind w:left="567" w:hanging="567"/>
      </w:pPr>
      <w:r>
        <w:t>I note that the ADI for the constituents in a chemical product is a matter to which I may have regard in determining whether the products meet the safety criteria.</w:t>
      </w:r>
      <w:r>
        <w:rPr>
          <w:rStyle w:val="FootnoteReference"/>
        </w:rPr>
        <w:footnoteReference w:id="11"/>
      </w:r>
      <w:r>
        <w:t xml:space="preserve"> The Reconsideration of </w:t>
      </w:r>
      <w:proofErr w:type="spellStart"/>
      <w:r>
        <w:t>chlorpyrifos</w:t>
      </w:r>
      <w:proofErr w:type="spellEnd"/>
      <w:r w:rsidR="00A57DA0">
        <w:t>—</w:t>
      </w:r>
      <w:r>
        <w:t xml:space="preserve">Toxicology update, June 2019 evaluated the study that presently forms the basis for the APVMA ADI for </w:t>
      </w:r>
      <w:proofErr w:type="spellStart"/>
      <w:r>
        <w:t>chlorpyrifos</w:t>
      </w:r>
      <w:proofErr w:type="spellEnd"/>
      <w:r>
        <w:t xml:space="preserve"> (0.003 mg/kg </w:t>
      </w:r>
      <w:proofErr w:type="spellStart"/>
      <w:r>
        <w:t>bw</w:t>
      </w:r>
      <w:proofErr w:type="spellEnd"/>
      <w:r>
        <w:t xml:space="preserve">/day). That study is entitled </w:t>
      </w:r>
      <w:r>
        <w:rPr>
          <w:i/>
        </w:rPr>
        <w:t xml:space="preserve">Safety evaluation of DOWCO 179 in human </w:t>
      </w:r>
      <w:r>
        <w:rPr>
          <w:i/>
        </w:rPr>
        <w:lastRenderedPageBreak/>
        <w:t xml:space="preserve">volunteers </w:t>
      </w:r>
      <w:r>
        <w:t>(</w:t>
      </w:r>
      <w:proofErr w:type="spellStart"/>
      <w:r>
        <w:rPr>
          <w:b/>
        </w:rPr>
        <w:t>Coulston</w:t>
      </w:r>
      <w:proofErr w:type="spellEnd"/>
      <w:r>
        <w:rPr>
          <w:b/>
        </w:rPr>
        <w:t xml:space="preserve"> and </w:t>
      </w:r>
      <w:proofErr w:type="spellStart"/>
      <w:r>
        <w:rPr>
          <w:b/>
        </w:rPr>
        <w:t>Golberg</w:t>
      </w:r>
      <w:proofErr w:type="spellEnd"/>
      <w:r>
        <w:rPr>
          <w:b/>
        </w:rPr>
        <w:t xml:space="preserve">, </w:t>
      </w:r>
      <w:r w:rsidRPr="00731B84">
        <w:t>1972</w:t>
      </w:r>
      <w:r>
        <w:t>).</w:t>
      </w:r>
      <w:r>
        <w:rPr>
          <w:rStyle w:val="FootnoteReference"/>
        </w:rPr>
        <w:footnoteReference w:id="12"/>
      </w:r>
      <w:r>
        <w:t xml:space="preserve"> The purpose of that evaluation was to provide advice as to whether </w:t>
      </w:r>
      <w:proofErr w:type="spellStart"/>
      <w:r>
        <w:t>Coulston</w:t>
      </w:r>
      <w:proofErr w:type="spellEnd"/>
      <w:r>
        <w:t xml:space="preserve"> and </w:t>
      </w:r>
      <w:proofErr w:type="spellStart"/>
      <w:r>
        <w:t>Golberg</w:t>
      </w:r>
      <w:proofErr w:type="spellEnd"/>
      <w:r>
        <w:t xml:space="preserve"> continues to represent an appropriate departure point for the establishment of the ADI. </w:t>
      </w:r>
    </w:p>
    <w:p w14:paraId="75293342" w14:textId="53BD6873" w:rsidR="006B4FEC" w:rsidRDefault="006B4FEC" w:rsidP="003C69F4">
      <w:pPr>
        <w:pStyle w:val="NumberLevel1"/>
        <w:tabs>
          <w:tab w:val="clear" w:pos="709"/>
          <w:tab w:val="num" w:pos="567"/>
        </w:tabs>
        <w:ind w:left="567" w:hanging="567"/>
      </w:pPr>
      <w:r>
        <w:t xml:space="preserve">In the Reconsideration of </w:t>
      </w:r>
      <w:proofErr w:type="spellStart"/>
      <w:r>
        <w:t>chlorpyrifos</w:t>
      </w:r>
      <w:proofErr w:type="spellEnd"/>
      <w:r w:rsidR="00A57DA0">
        <w:t>—</w:t>
      </w:r>
      <w:r>
        <w:t xml:space="preserve">Toxicology update, June 2019, the Principal Toxicologist found that there were certain shortcomings in the quality of the </w:t>
      </w:r>
      <w:proofErr w:type="spellStart"/>
      <w:r>
        <w:t>Coulston</w:t>
      </w:r>
      <w:proofErr w:type="spellEnd"/>
      <w:r>
        <w:t xml:space="preserve"> and </w:t>
      </w:r>
      <w:proofErr w:type="spellStart"/>
      <w:r>
        <w:t>Golberg</w:t>
      </w:r>
      <w:proofErr w:type="spellEnd"/>
      <w:r>
        <w:t xml:space="preserve"> study. These are addressed in detail at pages 14–16 of Reconsideration of </w:t>
      </w:r>
      <w:proofErr w:type="spellStart"/>
      <w:r>
        <w:t>chlorpyrifos</w:t>
      </w:r>
      <w:proofErr w:type="spellEnd"/>
      <w:r w:rsidR="00A57DA0">
        <w:t>—</w:t>
      </w:r>
      <w:r>
        <w:t xml:space="preserve">Toxicology update, June 2019. I accept the Principal Toxicologist’s analysis of the </w:t>
      </w:r>
      <w:proofErr w:type="spellStart"/>
      <w:r>
        <w:t>Coulston</w:t>
      </w:r>
      <w:proofErr w:type="spellEnd"/>
      <w:r>
        <w:t xml:space="preserve"> and </w:t>
      </w:r>
      <w:proofErr w:type="spellStart"/>
      <w:r>
        <w:t>Golberg</w:t>
      </w:r>
      <w:proofErr w:type="spellEnd"/>
      <w:r>
        <w:t xml:space="preserve"> study set out in the Reconsideration of </w:t>
      </w:r>
      <w:proofErr w:type="spellStart"/>
      <w:r>
        <w:t>chlorpyrifos</w:t>
      </w:r>
      <w:proofErr w:type="spellEnd"/>
      <w:r w:rsidR="00A57DA0">
        <w:t>—</w:t>
      </w:r>
      <w:r>
        <w:t xml:space="preserve">Toxicology update, June 2019, and I adopt the Principal Toxicologist’s conclusion that it no longer represents a reliable point of departure for the calculation of the ADI for </w:t>
      </w:r>
      <w:proofErr w:type="spellStart"/>
      <w:r>
        <w:t>chlorpyrifos</w:t>
      </w:r>
      <w:proofErr w:type="spellEnd"/>
      <w:r>
        <w:t xml:space="preserve"> for humans.</w:t>
      </w:r>
      <w:r>
        <w:rPr>
          <w:rStyle w:val="FootnoteReference"/>
        </w:rPr>
        <w:footnoteReference w:id="13"/>
      </w:r>
      <w:r>
        <w:t xml:space="preserve"> As discussed in the following paragraphs, I also adopt the Principal Toxicologist’s conclusion that the current ADI for </w:t>
      </w:r>
      <w:proofErr w:type="spellStart"/>
      <w:r>
        <w:t>chlorpyrifos</w:t>
      </w:r>
      <w:proofErr w:type="spellEnd"/>
      <w:r>
        <w:t xml:space="preserve"> (0.003 mg/kg </w:t>
      </w:r>
      <w:proofErr w:type="spellStart"/>
      <w:r>
        <w:t>bw</w:t>
      </w:r>
      <w:proofErr w:type="spellEnd"/>
      <w:r>
        <w:t>/day) is no longer reliable for regulatory purposes.</w:t>
      </w:r>
      <w:r>
        <w:rPr>
          <w:rStyle w:val="FootnoteReference"/>
        </w:rPr>
        <w:footnoteReference w:id="14"/>
      </w:r>
    </w:p>
    <w:p w14:paraId="48A073DF" w14:textId="6D6BA1D5" w:rsidR="006B4FEC" w:rsidRDefault="006B4FEC" w:rsidP="003C69F4">
      <w:pPr>
        <w:pStyle w:val="NumberLevel1"/>
        <w:tabs>
          <w:tab w:val="clear" w:pos="709"/>
          <w:tab w:val="num" w:pos="567"/>
        </w:tabs>
        <w:ind w:left="567" w:hanging="567"/>
      </w:pPr>
      <w:r>
        <w:t xml:space="preserve">In the Reconsideration of </w:t>
      </w:r>
      <w:proofErr w:type="spellStart"/>
      <w:r>
        <w:t>chlorpyrifos</w:t>
      </w:r>
      <w:proofErr w:type="spellEnd"/>
      <w:r w:rsidR="00A57DA0">
        <w:t>—</w:t>
      </w:r>
      <w:r>
        <w:t xml:space="preserve">Toxicology update, June 2019, the Principal Toxicologist </w:t>
      </w:r>
      <w:r w:rsidRPr="00D149C8">
        <w:t>recommended</w:t>
      </w:r>
      <w:r>
        <w:t xml:space="preserve"> that the APVMA establish a new ADI for </w:t>
      </w:r>
      <w:proofErr w:type="spellStart"/>
      <w:r>
        <w:t>chlorpyrifos</w:t>
      </w:r>
      <w:proofErr w:type="spellEnd"/>
      <w:r>
        <w:t xml:space="preserve"> based on the recent series of studies in young and adult rat populations performed by DOW in 2010</w:t>
      </w:r>
      <w:r>
        <w:rPr>
          <w:rStyle w:val="FootnoteReference"/>
        </w:rPr>
        <w:footnoteReference w:id="15"/>
      </w:r>
      <w:r>
        <w:t xml:space="preserve"> and Marty </w:t>
      </w:r>
      <w:r w:rsidRPr="00655335">
        <w:rPr>
          <w:i/>
        </w:rPr>
        <w:t>et al.</w:t>
      </w:r>
      <w:r>
        <w:t xml:space="preserve"> in 2012.</w:t>
      </w:r>
      <w:r>
        <w:rPr>
          <w:rStyle w:val="FootnoteReference"/>
        </w:rPr>
        <w:footnoteReference w:id="16"/>
      </w:r>
      <w:r>
        <w:t xml:space="preserve"> In these studies, the No Observable Effect Level (</w:t>
      </w:r>
      <w:r w:rsidRPr="009052C9">
        <w:rPr>
          <w:b/>
        </w:rPr>
        <w:t>NOEL</w:t>
      </w:r>
      <w:r>
        <w:t xml:space="preserve">) for inhibition of blood </w:t>
      </w:r>
      <w:proofErr w:type="spellStart"/>
      <w:r>
        <w:t>cholinesterases</w:t>
      </w:r>
      <w:proofErr w:type="spellEnd"/>
      <w:r>
        <w:t xml:space="preserve"> for rats from post</w:t>
      </w:r>
      <w:r>
        <w:noBreakHyphen/>
        <w:t xml:space="preserve">natal day 11 of age to adulthood was 0.1 mg/kg </w:t>
      </w:r>
      <w:proofErr w:type="spellStart"/>
      <w:r>
        <w:t>bw</w:t>
      </w:r>
      <w:proofErr w:type="spellEnd"/>
      <w:r>
        <w:t xml:space="preserve">/day (consistently five-fold lower than the threshold for inhibition of brain </w:t>
      </w:r>
      <w:proofErr w:type="spellStart"/>
      <w:r>
        <w:t>cholinesterases</w:t>
      </w:r>
      <w:proofErr w:type="spellEnd"/>
      <w:r>
        <w:t xml:space="preserve"> in this species).</w:t>
      </w:r>
      <w:r>
        <w:rPr>
          <w:rStyle w:val="FootnoteReference"/>
        </w:rPr>
        <w:footnoteReference w:id="17"/>
      </w:r>
      <w:r>
        <w:t xml:space="preserve"> The Reconsideration of </w:t>
      </w:r>
      <w:proofErr w:type="spellStart"/>
      <w:r>
        <w:t>chlorpyrifos</w:t>
      </w:r>
      <w:proofErr w:type="spellEnd"/>
      <w:r w:rsidR="00A57DA0">
        <w:t>—</w:t>
      </w:r>
      <w:r>
        <w:t>Toxicology update, June 2019 notes that this point of departure is also supported by toxicological thresholds in other studies that have been evaluated by the APVMA.</w:t>
      </w:r>
      <w:r>
        <w:rPr>
          <w:rStyle w:val="FootnoteReference"/>
        </w:rPr>
        <w:footnoteReference w:id="18"/>
      </w:r>
      <w:r>
        <w:t xml:space="preserve"> I therefore accept that the NOEL of 0.1 mg/kg </w:t>
      </w:r>
      <w:proofErr w:type="spellStart"/>
      <w:r>
        <w:t>bw</w:t>
      </w:r>
      <w:proofErr w:type="spellEnd"/>
      <w:r>
        <w:t>/day is the appropriate point of departure for the establishment of a new ADI.</w:t>
      </w:r>
    </w:p>
    <w:p w14:paraId="4E8A0675" w14:textId="77777777" w:rsidR="006B4FEC" w:rsidRPr="003F1269" w:rsidRDefault="006B4FEC" w:rsidP="006B4FEC">
      <w:pPr>
        <w:pStyle w:val="Heading6"/>
        <w:keepNext/>
        <w:keepLines/>
        <w:numPr>
          <w:ilvl w:val="0"/>
          <w:numId w:val="40"/>
        </w:numPr>
        <w:spacing w:line="280" w:lineRule="atLeast"/>
        <w:rPr>
          <w:rFonts w:ascii="Arial" w:eastAsiaTheme="minorEastAsia" w:hAnsi="Arial" w:cstheme="minorBidi"/>
          <w:b w:val="0"/>
          <w:i/>
          <w:caps/>
          <w:lang w:eastAsia="en-AU"/>
        </w:rPr>
      </w:pPr>
      <w:r w:rsidRPr="003F1269">
        <w:rPr>
          <w:rFonts w:ascii="Arial" w:eastAsiaTheme="minorEastAsia" w:hAnsi="Arial" w:cstheme="minorBidi"/>
          <w:b w:val="0"/>
          <w:i/>
          <w:lang w:eastAsia="en-AU"/>
        </w:rPr>
        <w:t>Uncertainty factors</w:t>
      </w:r>
    </w:p>
    <w:p w14:paraId="2026852E" w14:textId="05830660" w:rsidR="006B4FEC" w:rsidRDefault="006B4FEC" w:rsidP="003C69F4">
      <w:pPr>
        <w:pStyle w:val="NumberLevel1"/>
        <w:keepNext/>
        <w:keepLines/>
        <w:ind w:left="709"/>
      </w:pPr>
      <w:r>
        <w:t xml:space="preserve">In the Reconsideration of </w:t>
      </w:r>
      <w:proofErr w:type="spellStart"/>
      <w:r>
        <w:t>chlorpyrifos</w:t>
      </w:r>
      <w:proofErr w:type="spellEnd"/>
      <w:r w:rsidR="00A57DA0">
        <w:t>—</w:t>
      </w:r>
      <w:r>
        <w:t>Toxicology update, June 2019, the Principal Toxicologist recommended that an uncertainty factor of 10 should be applied to account for intra-species variations.</w:t>
      </w:r>
      <w:r>
        <w:rPr>
          <w:rStyle w:val="FootnoteReference"/>
        </w:rPr>
        <w:footnoteReference w:id="19"/>
      </w:r>
      <w:r>
        <w:t xml:space="preserve"> The Principal Toxicologist further recommended that an uncertainty factor of 10 be applied to account for inter-species variations.</w:t>
      </w:r>
      <w:r>
        <w:rPr>
          <w:rStyle w:val="FootnoteReference"/>
        </w:rPr>
        <w:footnoteReference w:id="20"/>
      </w:r>
      <w:r>
        <w:t xml:space="preserve"> Thus the total recommended uncertainty factor to be applied is 100.</w:t>
      </w:r>
      <w:r>
        <w:rPr>
          <w:rStyle w:val="FootnoteReference"/>
        </w:rPr>
        <w:footnoteReference w:id="21"/>
      </w:r>
      <w:r>
        <w:t xml:space="preserve"> I am advised by the Principal Toxicologist, and I accept, that the application of such uncertainty factors is consistent with established approaches to regulatory toxicology. </w:t>
      </w:r>
    </w:p>
    <w:p w14:paraId="00D004EA" w14:textId="77777777" w:rsidR="006B4FEC" w:rsidRPr="003F1269" w:rsidRDefault="006B4FEC" w:rsidP="006B4FEC">
      <w:pPr>
        <w:pStyle w:val="Heading6"/>
        <w:keepNext/>
        <w:keepLines/>
        <w:numPr>
          <w:ilvl w:val="0"/>
          <w:numId w:val="40"/>
        </w:numPr>
        <w:spacing w:line="280" w:lineRule="atLeast"/>
        <w:rPr>
          <w:rFonts w:ascii="Arial" w:eastAsiaTheme="minorEastAsia" w:hAnsi="Arial" w:cstheme="minorBidi"/>
          <w:b w:val="0"/>
          <w:i/>
          <w:caps/>
          <w:lang w:eastAsia="en-AU"/>
        </w:rPr>
      </w:pPr>
      <w:r w:rsidRPr="003F1269">
        <w:rPr>
          <w:rFonts w:ascii="Arial" w:eastAsiaTheme="minorEastAsia" w:hAnsi="Arial" w:cstheme="minorBidi"/>
          <w:b w:val="0"/>
          <w:i/>
          <w:lang w:eastAsia="en-AU"/>
        </w:rPr>
        <w:t>New acceptable daily intake</w:t>
      </w:r>
    </w:p>
    <w:p w14:paraId="47593842" w14:textId="75A11AF7" w:rsidR="006B4FEC" w:rsidRDefault="006B4FEC" w:rsidP="003C69F4">
      <w:pPr>
        <w:pStyle w:val="NumberLevel1"/>
        <w:ind w:left="709"/>
      </w:pPr>
      <w:r>
        <w:t xml:space="preserve">In the Reconsideration of </w:t>
      </w:r>
      <w:proofErr w:type="spellStart"/>
      <w:r>
        <w:t>chlorpyrifos</w:t>
      </w:r>
      <w:proofErr w:type="spellEnd"/>
      <w:r w:rsidR="00A57DA0">
        <w:t>—</w:t>
      </w:r>
      <w:r>
        <w:t xml:space="preserve">Toxicology update, June 2019, the Principal Toxicologist advised that the ADI is calculated by dividing the NOEL by the uncertainty factor (in this case, 100) and proposed that the new ADI 0.001 mg/kg </w:t>
      </w:r>
      <w:proofErr w:type="spellStart"/>
      <w:r>
        <w:t>bw</w:t>
      </w:r>
      <w:proofErr w:type="spellEnd"/>
      <w:r>
        <w:t>/day (1</w:t>
      </w:r>
      <w:r w:rsidRPr="00082306">
        <w:t xml:space="preserve"> </w:t>
      </w:r>
      <w:r w:rsidRPr="0008273C">
        <w:t>µ</w:t>
      </w:r>
      <w:r>
        <w:t xml:space="preserve">/kg </w:t>
      </w:r>
      <w:proofErr w:type="spellStart"/>
      <w:r>
        <w:t>bw</w:t>
      </w:r>
      <w:proofErr w:type="spellEnd"/>
      <w:r>
        <w:t>/day).</w:t>
      </w:r>
      <w:r>
        <w:rPr>
          <w:rStyle w:val="FootnoteReference"/>
        </w:rPr>
        <w:footnoteReference w:id="22"/>
      </w:r>
      <w:r>
        <w:t xml:space="preserve"> </w:t>
      </w:r>
    </w:p>
    <w:p w14:paraId="44D01F1C" w14:textId="77777777" w:rsidR="006B4FEC" w:rsidRDefault="006B4FEC" w:rsidP="003C69F4">
      <w:pPr>
        <w:pStyle w:val="NumberLevel1"/>
        <w:ind w:left="709"/>
      </w:pPr>
      <w:r>
        <w:lastRenderedPageBreak/>
        <w:t xml:space="preserve">On the basis of this advice, I find that 0.001 mg/kg </w:t>
      </w:r>
      <w:proofErr w:type="spellStart"/>
      <w:r>
        <w:t>bw</w:t>
      </w:r>
      <w:proofErr w:type="spellEnd"/>
      <w:r>
        <w:t>/day (1</w:t>
      </w:r>
      <w:r w:rsidRPr="00082306">
        <w:t xml:space="preserve"> </w:t>
      </w:r>
      <w:r w:rsidRPr="0008273C">
        <w:t>µ</w:t>
      </w:r>
      <w:r>
        <w:t xml:space="preserve">/kg </w:t>
      </w:r>
      <w:proofErr w:type="spellStart"/>
      <w:r>
        <w:t>bw</w:t>
      </w:r>
      <w:proofErr w:type="spellEnd"/>
      <w:r>
        <w:t xml:space="preserve">/day) is the new ADI for </w:t>
      </w:r>
      <w:proofErr w:type="spellStart"/>
      <w:r>
        <w:t>chlorpyrifos</w:t>
      </w:r>
      <w:proofErr w:type="spellEnd"/>
      <w:r>
        <w:t xml:space="preserve">. </w:t>
      </w:r>
    </w:p>
    <w:p w14:paraId="7F464006" w14:textId="77777777" w:rsidR="006B4FEC" w:rsidRPr="003F1269" w:rsidRDefault="006B4FEC" w:rsidP="006B4FEC">
      <w:pPr>
        <w:pStyle w:val="Heading5"/>
        <w:numPr>
          <w:ilvl w:val="0"/>
          <w:numId w:val="37"/>
        </w:numPr>
        <w:spacing w:before="240" w:line="280" w:lineRule="atLeast"/>
        <w:rPr>
          <w:rFonts w:ascii="Arial" w:eastAsia="Times New Roman" w:hAnsi="Arial" w:cs="Arial"/>
          <w:bCs/>
          <w:i/>
          <w:iCs/>
          <w:color w:val="auto"/>
          <w:sz w:val="20"/>
          <w:szCs w:val="26"/>
          <w:lang w:eastAsia="en-AU"/>
        </w:rPr>
      </w:pPr>
      <w:r w:rsidRPr="003F1269">
        <w:rPr>
          <w:rFonts w:ascii="Arial" w:eastAsia="Times New Roman" w:hAnsi="Arial" w:cs="Arial"/>
          <w:bCs/>
          <w:i/>
          <w:iCs/>
          <w:color w:val="auto"/>
          <w:sz w:val="20"/>
          <w:szCs w:val="26"/>
          <w:lang w:eastAsia="en-AU"/>
        </w:rPr>
        <w:t>Acute reference dose</w:t>
      </w:r>
    </w:p>
    <w:p w14:paraId="451311A0" w14:textId="77777777" w:rsidR="006B4FEC" w:rsidRPr="003F1269" w:rsidRDefault="006B4FEC" w:rsidP="006B4FEC">
      <w:pPr>
        <w:pStyle w:val="Heading6"/>
        <w:numPr>
          <w:ilvl w:val="0"/>
          <w:numId w:val="42"/>
        </w:numPr>
        <w:spacing w:line="280" w:lineRule="atLeast"/>
        <w:rPr>
          <w:rFonts w:ascii="Arial" w:eastAsiaTheme="minorEastAsia" w:hAnsi="Arial" w:cstheme="minorBidi"/>
          <w:b w:val="0"/>
          <w:i/>
          <w:caps/>
          <w:lang w:eastAsia="en-AU"/>
        </w:rPr>
      </w:pPr>
      <w:r w:rsidRPr="003F1269">
        <w:rPr>
          <w:rFonts w:ascii="Arial" w:eastAsiaTheme="minorEastAsia" w:hAnsi="Arial" w:cstheme="minorBidi"/>
          <w:b w:val="0"/>
          <w:i/>
          <w:lang w:eastAsia="en-AU"/>
        </w:rPr>
        <w:t xml:space="preserve">Identifying an appropriate point of departure </w:t>
      </w:r>
    </w:p>
    <w:p w14:paraId="07981340" w14:textId="77777777" w:rsidR="006B4FEC" w:rsidRDefault="006B4FEC" w:rsidP="003C69F4">
      <w:pPr>
        <w:pStyle w:val="NumberLevel1"/>
        <w:ind w:left="567" w:hanging="567"/>
      </w:pPr>
      <w:r>
        <w:t xml:space="preserve">In the Reconsideration of </w:t>
      </w:r>
      <w:proofErr w:type="spellStart"/>
      <w:r>
        <w:t>chlorpyrifos</w:t>
      </w:r>
      <w:proofErr w:type="spellEnd"/>
      <w:r>
        <w:t xml:space="preserve"> – Toxicology update, June 2019, the Principal Toxicologist also evaluated the regulatory study that forms the basis for the APVMA’s current human acute reference dose for </w:t>
      </w:r>
      <w:proofErr w:type="spellStart"/>
      <w:r>
        <w:t>chlorpyrifos</w:t>
      </w:r>
      <w:proofErr w:type="spellEnd"/>
      <w:r>
        <w:t xml:space="preserve"> (0.1 mg/kg </w:t>
      </w:r>
      <w:proofErr w:type="spellStart"/>
      <w:r>
        <w:t>bw</w:t>
      </w:r>
      <w:proofErr w:type="spellEnd"/>
      <w:r>
        <w:t>/day).</w:t>
      </w:r>
      <w:r>
        <w:rPr>
          <w:rStyle w:val="FootnoteReference"/>
        </w:rPr>
        <w:footnoteReference w:id="23"/>
      </w:r>
      <w:r>
        <w:t xml:space="preserve"> This study is entitled</w:t>
      </w:r>
      <w:r w:rsidRPr="00EC2AFB">
        <w:rPr>
          <w:i/>
        </w:rPr>
        <w:t xml:space="preserve"> </w:t>
      </w:r>
      <w:proofErr w:type="gramStart"/>
      <w:r w:rsidRPr="00EC2AFB">
        <w:rPr>
          <w:i/>
        </w:rPr>
        <w:t>A</w:t>
      </w:r>
      <w:proofErr w:type="gramEnd"/>
      <w:r w:rsidRPr="00EC2AFB">
        <w:rPr>
          <w:i/>
        </w:rPr>
        <w:t xml:space="preserve"> rising dose toxicology study to determine the no-observable-effect-levels (NOEL) for erythrocyte acetylcholinesterase (</w:t>
      </w:r>
      <w:proofErr w:type="spellStart"/>
      <w:r w:rsidRPr="00EC2AFB">
        <w:rPr>
          <w:i/>
        </w:rPr>
        <w:t>AChE</w:t>
      </w:r>
      <w:proofErr w:type="spellEnd"/>
      <w:r w:rsidRPr="00EC2AFB">
        <w:rPr>
          <w:i/>
        </w:rPr>
        <w:t xml:space="preserve">) inhibition and cholinergic signs and symptoms of </w:t>
      </w:r>
      <w:proofErr w:type="spellStart"/>
      <w:r w:rsidRPr="00EC2AFB">
        <w:rPr>
          <w:i/>
        </w:rPr>
        <w:t>chlorpyrifos</w:t>
      </w:r>
      <w:proofErr w:type="spellEnd"/>
      <w:r w:rsidRPr="00EC2AFB">
        <w:rPr>
          <w:i/>
        </w:rPr>
        <w:t xml:space="preserve"> at three dose levels</w:t>
      </w:r>
      <w:r>
        <w:t xml:space="preserve"> (</w:t>
      </w:r>
      <w:proofErr w:type="spellStart"/>
      <w:r>
        <w:rPr>
          <w:b/>
        </w:rPr>
        <w:t>Kisicki</w:t>
      </w:r>
      <w:proofErr w:type="spellEnd"/>
      <w:r>
        <w:rPr>
          <w:b/>
        </w:rPr>
        <w:t xml:space="preserve"> </w:t>
      </w:r>
      <w:r w:rsidRPr="00AA3402">
        <w:t>et al</w:t>
      </w:r>
      <w:r w:rsidRPr="00655335">
        <w:rPr>
          <w:i/>
        </w:rPr>
        <w:t>.</w:t>
      </w:r>
      <w:r w:rsidRPr="00E62BD2">
        <w:t>, 1999</w:t>
      </w:r>
      <w:r>
        <w:t>).</w:t>
      </w:r>
      <w:r>
        <w:rPr>
          <w:rStyle w:val="FootnoteReference"/>
        </w:rPr>
        <w:footnoteReference w:id="24"/>
      </w:r>
      <w:r>
        <w:t xml:space="preserve"> </w:t>
      </w:r>
    </w:p>
    <w:p w14:paraId="702735D8" w14:textId="447DC421" w:rsidR="006B4FEC" w:rsidRDefault="006B4FEC" w:rsidP="003C69F4">
      <w:pPr>
        <w:pStyle w:val="NumberLevel1"/>
        <w:ind w:left="567" w:hanging="567"/>
      </w:pPr>
      <w:r>
        <w:t xml:space="preserve">In the Reconsideration of </w:t>
      </w:r>
      <w:proofErr w:type="spellStart"/>
      <w:r>
        <w:t>chlorpyrifos</w:t>
      </w:r>
      <w:proofErr w:type="spellEnd"/>
      <w:r w:rsidR="00A57DA0">
        <w:t>—</w:t>
      </w:r>
      <w:r>
        <w:t xml:space="preserve">Toxicology update, June 2019, the Principal Toxicologist advised that the study remains the best available acute exposure data in humans that is currently available to the APVMA, but noted that there were statistical power limitations (small </w:t>
      </w:r>
      <w:r>
        <w:rPr>
          <w:i/>
        </w:rPr>
        <w:t xml:space="preserve">n </w:t>
      </w:r>
      <w:r>
        <w:t>compared with modern human clinical trial standards).</w:t>
      </w:r>
      <w:r>
        <w:rPr>
          <w:rStyle w:val="FootnoteReference"/>
        </w:rPr>
        <w:footnoteReference w:id="25"/>
      </w:r>
      <w:r>
        <w:t xml:space="preserve"> I accept the Principal Toxicologist’s conclusions in respect of the quality and reliability of </w:t>
      </w:r>
      <w:proofErr w:type="spellStart"/>
      <w:r>
        <w:t>Kisicki</w:t>
      </w:r>
      <w:proofErr w:type="spellEnd"/>
      <w:r>
        <w:t xml:space="preserve"> (1999), as set out in the Reconsideration of </w:t>
      </w:r>
      <w:proofErr w:type="spellStart"/>
      <w:r>
        <w:t>chlorpyrifos</w:t>
      </w:r>
      <w:proofErr w:type="spellEnd"/>
      <w:r w:rsidR="00A57DA0">
        <w:t>—</w:t>
      </w:r>
      <w:r>
        <w:t xml:space="preserve">Toxicology update, June 2019. </w:t>
      </w:r>
    </w:p>
    <w:p w14:paraId="2B499721" w14:textId="0A7AF63B" w:rsidR="006B4FEC" w:rsidRDefault="006B4FEC" w:rsidP="003C69F4">
      <w:pPr>
        <w:pStyle w:val="NumberLevel1"/>
        <w:ind w:left="567" w:hanging="567"/>
      </w:pPr>
      <w:r>
        <w:t xml:space="preserve">On this basis, I accept the Principal Toxicologist’s recommendation that the current human acute, single dose NOEL for inhibition of plasma </w:t>
      </w:r>
      <w:proofErr w:type="spellStart"/>
      <w:r>
        <w:t>cholinersterase</w:t>
      </w:r>
      <w:proofErr w:type="spellEnd"/>
      <w:r>
        <w:t xml:space="preserve"> of 0.1 mg/kg </w:t>
      </w:r>
      <w:proofErr w:type="spellStart"/>
      <w:proofErr w:type="gramStart"/>
      <w:r>
        <w:t>bw</w:t>
      </w:r>
      <w:proofErr w:type="spellEnd"/>
      <w:proofErr w:type="gramEnd"/>
      <w:r>
        <w:t xml:space="preserve"> derived from </w:t>
      </w:r>
      <w:proofErr w:type="spellStart"/>
      <w:r>
        <w:t>Kisicki</w:t>
      </w:r>
      <w:proofErr w:type="spellEnd"/>
      <w:r>
        <w:t xml:space="preserve"> (</w:t>
      </w:r>
      <w:r w:rsidR="00AA3402">
        <w:t>1</w:t>
      </w:r>
      <w:r>
        <w:t xml:space="preserve">999) be retained. This forms the point of departure for the calculation of the acute reference dose. </w:t>
      </w:r>
    </w:p>
    <w:p w14:paraId="4137A9F9" w14:textId="77777777" w:rsidR="006B4FEC" w:rsidRPr="003F1269" w:rsidRDefault="006B4FEC" w:rsidP="006B4FEC">
      <w:pPr>
        <w:pStyle w:val="Heading6"/>
        <w:keepNext/>
        <w:keepLines/>
        <w:numPr>
          <w:ilvl w:val="0"/>
          <w:numId w:val="42"/>
        </w:numPr>
        <w:spacing w:line="280" w:lineRule="atLeast"/>
        <w:rPr>
          <w:rFonts w:ascii="Arial" w:eastAsiaTheme="minorEastAsia" w:hAnsi="Arial" w:cstheme="minorBidi"/>
          <w:b w:val="0"/>
          <w:i/>
          <w:caps/>
          <w:lang w:eastAsia="en-AU"/>
        </w:rPr>
      </w:pPr>
      <w:r w:rsidRPr="003F1269">
        <w:rPr>
          <w:rFonts w:ascii="Arial" w:eastAsiaTheme="minorEastAsia" w:hAnsi="Arial" w:cstheme="minorBidi"/>
          <w:b w:val="0"/>
          <w:i/>
          <w:lang w:eastAsia="en-AU"/>
        </w:rPr>
        <w:t>Uncertainty factors</w:t>
      </w:r>
    </w:p>
    <w:p w14:paraId="0F809F42" w14:textId="053A41A8" w:rsidR="006B4FEC" w:rsidRDefault="006B4FEC" w:rsidP="003C69F4">
      <w:pPr>
        <w:pStyle w:val="NumberLevel1"/>
        <w:keepNext/>
        <w:keepLines/>
        <w:ind w:left="709"/>
      </w:pPr>
      <w:r>
        <w:t xml:space="preserve">In the Reconsideration of </w:t>
      </w:r>
      <w:proofErr w:type="spellStart"/>
      <w:r>
        <w:t>chlorpyrifos</w:t>
      </w:r>
      <w:proofErr w:type="spellEnd"/>
      <w:r w:rsidR="00A57DA0">
        <w:t>—</w:t>
      </w:r>
      <w:r>
        <w:t>Toxicology update, June 2019, the Principal Toxicologist recommended an uncertainty factor of 10 should be applied for intra-species variations in calculating the acute reference dose and advised that no inter-species uncertainty factor is necessary.</w:t>
      </w:r>
      <w:r>
        <w:rPr>
          <w:rStyle w:val="FootnoteReference"/>
        </w:rPr>
        <w:footnoteReference w:id="26"/>
      </w:r>
      <w:r>
        <w:t xml:space="preserve"> Because of the statistical power limitations and other issues identified with </w:t>
      </w:r>
      <w:proofErr w:type="spellStart"/>
      <w:r>
        <w:t>Kisicki</w:t>
      </w:r>
      <w:proofErr w:type="spellEnd"/>
      <w:r>
        <w:t xml:space="preserve"> (1999), the Principal Toxicologist also recommended an additional uncertainty factor of 10</w:t>
      </w:r>
      <w:r>
        <w:rPr>
          <w:vertAlign w:val="superscript"/>
        </w:rPr>
        <w:t>0.5</w:t>
      </w:r>
      <w:r>
        <w:t>-fold should be applied to account for any remaining uncertainties.</w:t>
      </w:r>
      <w:r>
        <w:rPr>
          <w:rStyle w:val="FootnoteReference"/>
        </w:rPr>
        <w:footnoteReference w:id="27"/>
      </w:r>
      <w:r>
        <w:t xml:space="preserve"> I accept these recommendations, and therefore find that the total uncertainty factor to be applied is 10 x 10</w:t>
      </w:r>
      <w:r>
        <w:rPr>
          <w:vertAlign w:val="superscript"/>
        </w:rPr>
        <w:t>0.5</w:t>
      </w:r>
      <w:r>
        <w:t>.</w:t>
      </w:r>
    </w:p>
    <w:p w14:paraId="546A6CBC" w14:textId="77777777" w:rsidR="006B4FEC" w:rsidRPr="003F1269" w:rsidRDefault="006B4FEC" w:rsidP="006B4FEC">
      <w:pPr>
        <w:pStyle w:val="Heading6"/>
        <w:numPr>
          <w:ilvl w:val="0"/>
          <w:numId w:val="40"/>
        </w:numPr>
        <w:spacing w:line="280" w:lineRule="atLeast"/>
        <w:rPr>
          <w:rFonts w:ascii="Arial" w:eastAsiaTheme="minorEastAsia" w:hAnsi="Arial" w:cstheme="minorBidi"/>
          <w:b w:val="0"/>
          <w:i/>
          <w:caps/>
          <w:lang w:eastAsia="en-AU"/>
        </w:rPr>
      </w:pPr>
      <w:r w:rsidRPr="003F1269">
        <w:rPr>
          <w:rFonts w:ascii="Arial" w:eastAsiaTheme="minorEastAsia" w:hAnsi="Arial" w:cstheme="minorBidi"/>
          <w:b w:val="0"/>
          <w:i/>
          <w:lang w:eastAsia="en-AU"/>
        </w:rPr>
        <w:t>New acute reference dose</w:t>
      </w:r>
    </w:p>
    <w:p w14:paraId="11DA4643" w14:textId="3BFA47BF" w:rsidR="006B4FEC" w:rsidRDefault="006B4FEC" w:rsidP="003C69F4">
      <w:pPr>
        <w:pStyle w:val="NumberLevel1"/>
        <w:ind w:left="709"/>
      </w:pPr>
      <w:r>
        <w:t xml:space="preserve">In the Reconsideration of </w:t>
      </w:r>
      <w:proofErr w:type="spellStart"/>
      <w:r>
        <w:t>chlorpyrifos</w:t>
      </w:r>
      <w:proofErr w:type="spellEnd"/>
      <w:r w:rsidR="00A57DA0">
        <w:t>—</w:t>
      </w:r>
      <w:bookmarkStart w:id="7" w:name="_GoBack"/>
      <w:bookmarkEnd w:id="7"/>
      <w:r>
        <w:t>Toxicology update, June 2019, the Principal Toxicologist propos</w:t>
      </w:r>
      <w:r w:rsidRPr="006B2052">
        <w:t>ed</w:t>
      </w:r>
      <w:r>
        <w:t xml:space="preserve"> that the new acute reference dose is 1</w:t>
      </w:r>
      <w:proofErr w:type="gramStart"/>
      <w:r>
        <w:t>/(</w:t>
      </w:r>
      <w:proofErr w:type="gramEnd"/>
      <w:r>
        <w:t>10 x 10</w:t>
      </w:r>
      <w:r>
        <w:rPr>
          <w:vertAlign w:val="superscript"/>
        </w:rPr>
        <w:t>0.5</w:t>
      </w:r>
      <w:r>
        <w:t xml:space="preserve">) ≈ 0.03 mg/kg </w:t>
      </w:r>
      <w:proofErr w:type="spellStart"/>
      <w:r>
        <w:t>bw</w:t>
      </w:r>
      <w:proofErr w:type="spellEnd"/>
      <w:r>
        <w:t xml:space="preserve"> (30 µg/kg </w:t>
      </w:r>
      <w:proofErr w:type="spellStart"/>
      <w:r>
        <w:t>bw</w:t>
      </w:r>
      <w:proofErr w:type="spellEnd"/>
      <w:r>
        <w:t xml:space="preserve">). On the basis of this advice, I find that 0.03 mg/kg </w:t>
      </w:r>
      <w:proofErr w:type="spellStart"/>
      <w:proofErr w:type="gramStart"/>
      <w:r>
        <w:t>bw</w:t>
      </w:r>
      <w:proofErr w:type="spellEnd"/>
      <w:proofErr w:type="gramEnd"/>
      <w:r>
        <w:t xml:space="preserve"> (30 µg/kg </w:t>
      </w:r>
      <w:proofErr w:type="spellStart"/>
      <w:r>
        <w:t>bw</w:t>
      </w:r>
      <w:proofErr w:type="spellEnd"/>
      <w:r>
        <w:t>) is the new acute reference dose.</w:t>
      </w:r>
    </w:p>
    <w:p w14:paraId="7DC62345" w14:textId="77777777" w:rsidR="006B4FEC" w:rsidRPr="003F1269" w:rsidRDefault="006B4FEC" w:rsidP="006B4FEC">
      <w:pPr>
        <w:pStyle w:val="Heading5"/>
        <w:numPr>
          <w:ilvl w:val="0"/>
          <w:numId w:val="37"/>
        </w:numPr>
        <w:spacing w:before="240" w:line="280" w:lineRule="atLeast"/>
        <w:ind w:left="360"/>
        <w:rPr>
          <w:rFonts w:ascii="Arial" w:eastAsia="Times New Roman" w:hAnsi="Arial" w:cs="Arial"/>
          <w:bCs/>
          <w:i/>
          <w:iCs/>
          <w:color w:val="auto"/>
          <w:sz w:val="20"/>
          <w:szCs w:val="26"/>
          <w:lang w:eastAsia="en-AU"/>
        </w:rPr>
      </w:pPr>
      <w:r w:rsidRPr="003F1269">
        <w:rPr>
          <w:rFonts w:ascii="Arial" w:eastAsia="Times New Roman" w:hAnsi="Arial" w:cs="Arial"/>
          <w:bCs/>
          <w:i/>
          <w:iCs/>
          <w:color w:val="auto"/>
          <w:sz w:val="20"/>
          <w:szCs w:val="26"/>
          <w:lang w:eastAsia="en-AU"/>
        </w:rPr>
        <w:t>Exposure assessments</w:t>
      </w:r>
    </w:p>
    <w:p w14:paraId="35441157" w14:textId="77777777" w:rsidR="006B4FEC" w:rsidRDefault="006B4FEC" w:rsidP="003C69F4">
      <w:pPr>
        <w:pStyle w:val="NumberLevel1"/>
        <w:ind w:left="709"/>
      </w:pPr>
      <w:r>
        <w:t xml:space="preserve">Having established the ADI and acute reference dose for </w:t>
      </w:r>
      <w:proofErr w:type="spellStart"/>
      <w:r>
        <w:t>chlorpyrifos</w:t>
      </w:r>
      <w:proofErr w:type="spellEnd"/>
      <w:r>
        <w:t xml:space="preserve">, advice was sought from the Principal Toxicologist to assess the anticipated exposure to </w:t>
      </w:r>
      <w:proofErr w:type="spellStart"/>
      <w:r>
        <w:t>chlorpyrifos</w:t>
      </w:r>
      <w:proofErr w:type="spellEnd"/>
      <w:r>
        <w:t xml:space="preserve"> associated with the registered uses of the products. The aim of the exposure assessments was to establish whether reasonably </w:t>
      </w:r>
      <w:r>
        <w:lastRenderedPageBreak/>
        <w:t>anticipated exposures to relevant organisms (including human beings) would exceed whichever of the two health guidance values represented the most appropriate point of departure in any given case.</w:t>
      </w:r>
    </w:p>
    <w:p w14:paraId="0F5A1970" w14:textId="77777777" w:rsidR="006B4FEC" w:rsidRDefault="006B4FEC" w:rsidP="003C69F4">
      <w:pPr>
        <w:pStyle w:val="NumberLevel1"/>
        <w:ind w:firstLine="0"/>
      </w:pPr>
      <w:r>
        <w:t>Exposure assessments and risk characterisations were conducted in respect of three relevant scenarios:</w:t>
      </w:r>
    </w:p>
    <w:p w14:paraId="0E8EA792" w14:textId="77777777" w:rsidR="006B4FEC" w:rsidRDefault="006B4FEC" w:rsidP="006B4FEC">
      <w:pPr>
        <w:pStyle w:val="NumberLevel2"/>
      </w:pPr>
      <w:r>
        <w:t xml:space="preserve">professional applicators who mix, load and apply </w:t>
      </w:r>
      <w:proofErr w:type="spellStart"/>
      <w:r>
        <w:t>chlorpyrifos</w:t>
      </w:r>
      <w:proofErr w:type="spellEnd"/>
      <w:r>
        <w:t xml:space="preserve"> for use in child</w:t>
      </w:r>
      <w:r>
        <w:noBreakHyphen/>
        <w:t>accessible public spaces and domestic/residential areas;</w:t>
      </w:r>
    </w:p>
    <w:p w14:paraId="11BF4344" w14:textId="77777777" w:rsidR="006B4FEC" w:rsidRDefault="006B4FEC" w:rsidP="006B4FEC">
      <w:pPr>
        <w:pStyle w:val="NumberLevel2"/>
      </w:pPr>
      <w:r>
        <w:t xml:space="preserve">professional applicators who re-enter </w:t>
      </w:r>
      <w:proofErr w:type="spellStart"/>
      <w:r>
        <w:t>chlorpyrifos</w:t>
      </w:r>
      <w:proofErr w:type="spellEnd"/>
      <w:r>
        <w:t>-treated, child-accessible public spaces and domestic/residential areas; and</w:t>
      </w:r>
    </w:p>
    <w:p w14:paraId="71843628" w14:textId="77777777" w:rsidR="006B4FEC" w:rsidRDefault="006B4FEC" w:rsidP="006B4FEC">
      <w:pPr>
        <w:pStyle w:val="NumberLevel2"/>
      </w:pPr>
      <w:proofErr w:type="gramStart"/>
      <w:r>
        <w:t>non-professional</w:t>
      </w:r>
      <w:proofErr w:type="gramEnd"/>
      <w:r>
        <w:t xml:space="preserve"> uses of </w:t>
      </w:r>
      <w:proofErr w:type="spellStart"/>
      <w:r>
        <w:t>chlorpyrifos</w:t>
      </w:r>
      <w:proofErr w:type="spellEnd"/>
      <w:r>
        <w:t xml:space="preserve"> in child-accessible residential settings.</w:t>
      </w:r>
    </w:p>
    <w:p w14:paraId="781E8E0B" w14:textId="77777777" w:rsidR="006B4FEC" w:rsidRDefault="006B4FEC" w:rsidP="003C69F4">
      <w:pPr>
        <w:pStyle w:val="NumberLevel1"/>
        <w:ind w:left="709"/>
      </w:pPr>
      <w:r>
        <w:t>The results of the exposure assessments and risk characterisations, and the assumptions upon which the exposure assessments and risk characterisations proceeded, are stated in the Exposure assessment and risk characterisation report (2019)</w:t>
      </w:r>
      <w:r>
        <w:rPr>
          <w:i/>
        </w:rPr>
        <w:t xml:space="preserve">. </w:t>
      </w:r>
      <w:r>
        <w:t>I have reviewed those assumptions (set out below) and I consider them to be reasonable.</w:t>
      </w:r>
    </w:p>
    <w:p w14:paraId="473C4364" w14:textId="77777777" w:rsidR="006B4FEC" w:rsidRPr="006C62C5" w:rsidRDefault="006B4FEC" w:rsidP="003C69F4">
      <w:pPr>
        <w:pStyle w:val="NumberLevel1"/>
        <w:ind w:left="709"/>
      </w:pPr>
      <w:r>
        <w:t xml:space="preserve">I have also had regard to the particular models used in the risk assessments. I accept these as being the most relevant and robust models available for this purpose. </w:t>
      </w:r>
    </w:p>
    <w:p w14:paraId="6DF235DB" w14:textId="77777777" w:rsidR="006B4FEC" w:rsidRPr="003F1269" w:rsidRDefault="006B4FEC" w:rsidP="006B4FEC">
      <w:pPr>
        <w:pStyle w:val="Heading6"/>
        <w:keepNext/>
        <w:keepLines/>
        <w:numPr>
          <w:ilvl w:val="0"/>
          <w:numId w:val="41"/>
        </w:numPr>
        <w:spacing w:line="280" w:lineRule="atLeast"/>
        <w:rPr>
          <w:rFonts w:ascii="Arial" w:eastAsiaTheme="minorEastAsia" w:hAnsi="Arial" w:cstheme="minorBidi"/>
          <w:b w:val="0"/>
          <w:i/>
          <w:caps/>
          <w:lang w:eastAsia="en-AU"/>
        </w:rPr>
      </w:pPr>
      <w:r w:rsidRPr="003F1269">
        <w:rPr>
          <w:rFonts w:ascii="Arial" w:eastAsiaTheme="minorEastAsia" w:hAnsi="Arial" w:cstheme="minorBidi"/>
          <w:b w:val="0"/>
          <w:i/>
          <w:lang w:eastAsia="en-AU"/>
        </w:rPr>
        <w:t xml:space="preserve">Scenario 1: Professional applicators who mix, load and apply </w:t>
      </w:r>
      <w:proofErr w:type="spellStart"/>
      <w:r w:rsidRPr="003F1269">
        <w:rPr>
          <w:rFonts w:ascii="Arial" w:eastAsiaTheme="minorEastAsia" w:hAnsi="Arial" w:cstheme="minorBidi"/>
          <w:b w:val="0"/>
          <w:i/>
          <w:lang w:eastAsia="en-AU"/>
        </w:rPr>
        <w:t>chlorpyrifos</w:t>
      </w:r>
      <w:proofErr w:type="spellEnd"/>
      <w:r w:rsidRPr="003F1269">
        <w:rPr>
          <w:rFonts w:ascii="Arial" w:eastAsiaTheme="minorEastAsia" w:hAnsi="Arial" w:cstheme="minorBidi"/>
          <w:b w:val="0"/>
          <w:i/>
          <w:lang w:eastAsia="en-AU"/>
        </w:rPr>
        <w:t xml:space="preserve"> for use in child-accessible public spaces and domestic/residential areas</w:t>
      </w:r>
    </w:p>
    <w:p w14:paraId="00090D4C" w14:textId="77777777" w:rsidR="006B4FEC" w:rsidRDefault="006B4FEC" w:rsidP="003C69F4">
      <w:pPr>
        <w:pStyle w:val="NumberLevel1"/>
        <w:keepNext/>
        <w:keepLines/>
        <w:ind w:left="709"/>
      </w:pPr>
      <w:r>
        <w:t xml:space="preserve">The assumptions upon which the exposure assessments and risk characterisations conducted in respect of this scenario, stated in the </w:t>
      </w:r>
      <w:r w:rsidRPr="006B0F89">
        <w:t>Exposure assessment and risk characterisation report (2019)</w:t>
      </w:r>
      <w:r>
        <w:t>, were as follows:</w:t>
      </w:r>
      <w:r>
        <w:rPr>
          <w:rStyle w:val="FootnoteReference"/>
        </w:rPr>
        <w:footnoteReference w:id="28"/>
      </w:r>
    </w:p>
    <w:p w14:paraId="764FBE19" w14:textId="77777777" w:rsidR="006B4FEC" w:rsidRPr="005D049F" w:rsidRDefault="006B4FEC" w:rsidP="006B4FEC">
      <w:pPr>
        <w:pStyle w:val="NumberLevel1"/>
        <w:numPr>
          <w:ilvl w:val="0"/>
          <w:numId w:val="44"/>
        </w:numPr>
        <w:spacing w:line="240" w:lineRule="auto"/>
        <w:rPr>
          <w:sz w:val="16"/>
          <w:szCs w:val="16"/>
        </w:rPr>
      </w:pPr>
      <w:r w:rsidRPr="005D049F">
        <w:rPr>
          <w:sz w:val="16"/>
          <w:szCs w:val="16"/>
        </w:rPr>
        <w:t xml:space="preserve">professional trained applicators mixed, loaded and applied </w:t>
      </w:r>
      <w:proofErr w:type="spellStart"/>
      <w:r w:rsidRPr="005D049F">
        <w:rPr>
          <w:sz w:val="16"/>
          <w:szCs w:val="16"/>
        </w:rPr>
        <w:t>chlorpyrifos</w:t>
      </w:r>
      <w:proofErr w:type="spellEnd"/>
    </w:p>
    <w:p w14:paraId="6C3CCCB4" w14:textId="77777777" w:rsidR="006B4FEC" w:rsidRPr="005D049F" w:rsidRDefault="006B4FEC" w:rsidP="006B4FEC">
      <w:pPr>
        <w:pStyle w:val="NumberLevel1"/>
        <w:numPr>
          <w:ilvl w:val="0"/>
          <w:numId w:val="44"/>
        </w:numPr>
        <w:spacing w:line="240" w:lineRule="auto"/>
        <w:rPr>
          <w:sz w:val="16"/>
          <w:szCs w:val="16"/>
        </w:rPr>
      </w:pPr>
      <w:proofErr w:type="gramStart"/>
      <w:r w:rsidRPr="005D049F">
        <w:rPr>
          <w:sz w:val="16"/>
          <w:szCs w:val="16"/>
        </w:rPr>
        <w:t>professional</w:t>
      </w:r>
      <w:proofErr w:type="gramEnd"/>
      <w:r w:rsidRPr="005D049F">
        <w:rPr>
          <w:sz w:val="16"/>
          <w:szCs w:val="16"/>
        </w:rPr>
        <w:t xml:space="preserve"> use in child-accessible public spaces involves regular and repeated occupational exposure to </w:t>
      </w:r>
      <w:proofErr w:type="spellStart"/>
      <w:r w:rsidRPr="005D049F">
        <w:rPr>
          <w:sz w:val="16"/>
          <w:szCs w:val="16"/>
        </w:rPr>
        <w:t>chlorpyrifos</w:t>
      </w:r>
      <w:proofErr w:type="spellEnd"/>
      <w:r w:rsidRPr="005D049F">
        <w:rPr>
          <w:sz w:val="16"/>
          <w:szCs w:val="16"/>
        </w:rPr>
        <w:t xml:space="preserve"> over a long period of time. Accordingly the ADI was regarded as the most appropriate human health based guidance value for such uses. The relevant POD was 0.1 mg/kg </w:t>
      </w:r>
      <w:proofErr w:type="spellStart"/>
      <w:r w:rsidRPr="005D049F">
        <w:rPr>
          <w:sz w:val="16"/>
          <w:szCs w:val="16"/>
        </w:rPr>
        <w:t>bw</w:t>
      </w:r>
      <w:proofErr w:type="spellEnd"/>
      <w:r w:rsidRPr="005D049F">
        <w:rPr>
          <w:sz w:val="16"/>
          <w:szCs w:val="16"/>
        </w:rPr>
        <w:t xml:space="preserve">/day which is the no observed adverse effect level (NOAEL) for inhibition of blood </w:t>
      </w:r>
      <w:proofErr w:type="spellStart"/>
      <w:r w:rsidRPr="005D049F">
        <w:rPr>
          <w:sz w:val="16"/>
          <w:szCs w:val="16"/>
        </w:rPr>
        <w:t>cholinesterases</w:t>
      </w:r>
      <w:proofErr w:type="spellEnd"/>
      <w:r w:rsidRPr="005D049F">
        <w:rPr>
          <w:sz w:val="16"/>
          <w:szCs w:val="16"/>
        </w:rPr>
        <w:t xml:space="preserve"> in rats following repeated </w:t>
      </w:r>
      <w:proofErr w:type="spellStart"/>
      <w:r w:rsidRPr="005D049F">
        <w:rPr>
          <w:sz w:val="16"/>
          <w:szCs w:val="16"/>
        </w:rPr>
        <w:t>chlorpyrifos</w:t>
      </w:r>
      <w:proofErr w:type="spellEnd"/>
      <w:r w:rsidRPr="005D049F">
        <w:rPr>
          <w:sz w:val="16"/>
          <w:szCs w:val="16"/>
        </w:rPr>
        <w:t xml:space="preserve"> exposure (APVMA 2019). A margin of exposure (MOE) of 100 was applied to account for inter and intra-species uncertainties</w:t>
      </w:r>
    </w:p>
    <w:p w14:paraId="7385F42C" w14:textId="77777777" w:rsidR="006B4FEC" w:rsidRPr="005D049F" w:rsidRDefault="006B4FEC" w:rsidP="006B4FEC">
      <w:pPr>
        <w:pStyle w:val="NumberLevel1"/>
        <w:numPr>
          <w:ilvl w:val="0"/>
          <w:numId w:val="44"/>
        </w:numPr>
        <w:spacing w:line="240" w:lineRule="auto"/>
        <w:rPr>
          <w:sz w:val="16"/>
          <w:szCs w:val="16"/>
        </w:rPr>
      </w:pPr>
      <w:r w:rsidRPr="005D049F">
        <w:rPr>
          <w:sz w:val="16"/>
          <w:szCs w:val="16"/>
        </w:rPr>
        <w:t>professional applicators were assumed to be trained, competent, experienced and compliant users of personal protective equipment</w:t>
      </w:r>
    </w:p>
    <w:p w14:paraId="74F533A4" w14:textId="77777777" w:rsidR="006B4FEC" w:rsidRPr="005D049F" w:rsidRDefault="006B4FEC" w:rsidP="006B4FEC">
      <w:pPr>
        <w:pStyle w:val="NumberLevel1"/>
        <w:numPr>
          <w:ilvl w:val="0"/>
          <w:numId w:val="44"/>
        </w:numPr>
        <w:spacing w:line="240" w:lineRule="auto"/>
        <w:rPr>
          <w:sz w:val="16"/>
          <w:szCs w:val="16"/>
        </w:rPr>
      </w:pPr>
      <w:r w:rsidRPr="005D049F">
        <w:rPr>
          <w:sz w:val="16"/>
          <w:szCs w:val="16"/>
        </w:rPr>
        <w:t>professional operators were assumed to be trained in, and were competent, experienced and compliant users of relevant application techniques and equipment</w:t>
      </w:r>
    </w:p>
    <w:p w14:paraId="7DCB1DED" w14:textId="77777777" w:rsidR="006B4FEC" w:rsidRPr="005D049F" w:rsidRDefault="006B4FEC" w:rsidP="006B4FEC">
      <w:pPr>
        <w:pStyle w:val="NumberLevel1"/>
        <w:numPr>
          <w:ilvl w:val="0"/>
          <w:numId w:val="44"/>
        </w:numPr>
        <w:spacing w:line="240" w:lineRule="auto"/>
        <w:rPr>
          <w:sz w:val="16"/>
          <w:szCs w:val="16"/>
        </w:rPr>
      </w:pPr>
      <w:r w:rsidRPr="005D049F">
        <w:rPr>
          <w:sz w:val="16"/>
          <w:szCs w:val="16"/>
        </w:rPr>
        <w:t>professional applicators were assumed to have a high degree of competence regarding the interpretation of label requirements</w:t>
      </w:r>
    </w:p>
    <w:p w14:paraId="7447F6F8" w14:textId="77777777" w:rsidR="006B4FEC" w:rsidRPr="005D049F" w:rsidRDefault="006B4FEC" w:rsidP="006B4FEC">
      <w:pPr>
        <w:pStyle w:val="NumberLevel1"/>
        <w:numPr>
          <w:ilvl w:val="0"/>
          <w:numId w:val="44"/>
        </w:numPr>
        <w:spacing w:line="240" w:lineRule="auto"/>
        <w:rPr>
          <w:sz w:val="16"/>
          <w:szCs w:val="16"/>
        </w:rPr>
      </w:pPr>
      <w:proofErr w:type="gramStart"/>
      <w:r w:rsidRPr="005D049F">
        <w:rPr>
          <w:sz w:val="16"/>
          <w:szCs w:val="16"/>
        </w:rPr>
        <w:t>professional</w:t>
      </w:r>
      <w:proofErr w:type="gramEnd"/>
      <w:r w:rsidRPr="005D049F">
        <w:rPr>
          <w:sz w:val="16"/>
          <w:szCs w:val="16"/>
        </w:rPr>
        <w:t xml:space="preserve"> operators were assumed to be capable of accurately measuring work rates. A high level of compliance with label-specified mandatory maximum work rates was assumed</w:t>
      </w:r>
    </w:p>
    <w:p w14:paraId="07DA7B43" w14:textId="77777777" w:rsidR="006B4FEC" w:rsidRPr="005D049F" w:rsidRDefault="006B4FEC" w:rsidP="006B4FEC">
      <w:pPr>
        <w:pStyle w:val="NumberLevel1"/>
        <w:numPr>
          <w:ilvl w:val="0"/>
          <w:numId w:val="44"/>
        </w:numPr>
        <w:spacing w:line="240" w:lineRule="auto"/>
        <w:rPr>
          <w:sz w:val="16"/>
          <w:szCs w:val="16"/>
        </w:rPr>
      </w:pPr>
      <w:r w:rsidRPr="005D049F">
        <w:rPr>
          <w:sz w:val="16"/>
          <w:szCs w:val="16"/>
        </w:rPr>
        <w:t>the assessments assumed that amongst professional applicators there would be a high level of compliance with label directed mandatory minimum re-entry intervals</w:t>
      </w:r>
    </w:p>
    <w:p w14:paraId="63B773DB" w14:textId="77777777" w:rsidR="006B4FEC" w:rsidRPr="005D049F" w:rsidRDefault="006B4FEC" w:rsidP="006B4FEC">
      <w:pPr>
        <w:pStyle w:val="NumberLevel1"/>
        <w:numPr>
          <w:ilvl w:val="0"/>
          <w:numId w:val="44"/>
        </w:numPr>
        <w:spacing w:line="240" w:lineRule="auto"/>
        <w:rPr>
          <w:sz w:val="16"/>
          <w:szCs w:val="16"/>
        </w:rPr>
      </w:pPr>
      <w:r w:rsidRPr="005D049F">
        <w:rPr>
          <w:sz w:val="16"/>
          <w:szCs w:val="16"/>
        </w:rPr>
        <w:t xml:space="preserve">the exposure and risk characterisation assessments assumed, as a worst case, that a single operator would perform all steps in the use of </w:t>
      </w:r>
      <w:proofErr w:type="spellStart"/>
      <w:r w:rsidRPr="005D049F">
        <w:rPr>
          <w:sz w:val="16"/>
          <w:szCs w:val="16"/>
        </w:rPr>
        <w:t>chlorpyrifos</w:t>
      </w:r>
      <w:proofErr w:type="spellEnd"/>
      <w:r w:rsidRPr="005D049F">
        <w:rPr>
          <w:sz w:val="16"/>
          <w:szCs w:val="16"/>
        </w:rPr>
        <w:t xml:space="preserve"> products </w:t>
      </w:r>
      <w:proofErr w:type="spellStart"/>
      <w:r w:rsidRPr="005D049F">
        <w:rPr>
          <w:sz w:val="16"/>
          <w:szCs w:val="16"/>
        </w:rPr>
        <w:t>ie</w:t>
      </w:r>
      <w:proofErr w:type="spellEnd"/>
      <w:r w:rsidRPr="005D049F">
        <w:rPr>
          <w:sz w:val="16"/>
          <w:szCs w:val="16"/>
        </w:rPr>
        <w:t xml:space="preserve"> a single operator mixes, loads and applies the pesticide during product use</w:t>
      </w:r>
    </w:p>
    <w:p w14:paraId="0FE49372" w14:textId="77777777" w:rsidR="006B4FEC" w:rsidRPr="005D049F" w:rsidRDefault="006B4FEC" w:rsidP="006B4FEC">
      <w:pPr>
        <w:pStyle w:val="NumberLevel1"/>
        <w:numPr>
          <w:ilvl w:val="0"/>
          <w:numId w:val="44"/>
        </w:numPr>
        <w:spacing w:line="240" w:lineRule="auto"/>
        <w:rPr>
          <w:sz w:val="16"/>
          <w:szCs w:val="16"/>
        </w:rPr>
      </w:pPr>
      <w:r w:rsidRPr="005D049F">
        <w:rPr>
          <w:sz w:val="16"/>
          <w:szCs w:val="16"/>
        </w:rPr>
        <w:t>the minimum, base-level personal protective equipment was assumed to consist of a long sleeved shirt, long pants, boots and socks or equivalent single layer of clothing (</w:t>
      </w:r>
      <w:proofErr w:type="spellStart"/>
      <w:r w:rsidRPr="005D049F">
        <w:rPr>
          <w:sz w:val="16"/>
          <w:szCs w:val="16"/>
        </w:rPr>
        <w:t>eg</w:t>
      </w:r>
      <w:proofErr w:type="spellEnd"/>
      <w:r w:rsidRPr="005D049F">
        <w:rPr>
          <w:sz w:val="16"/>
          <w:szCs w:val="16"/>
        </w:rPr>
        <w:t xml:space="preserve"> coveralls fastened at the neck and wrist). This was assumed to be always used when mixing, loading and applying </w:t>
      </w:r>
      <w:proofErr w:type="spellStart"/>
      <w:r w:rsidRPr="005D049F">
        <w:rPr>
          <w:sz w:val="16"/>
          <w:szCs w:val="16"/>
        </w:rPr>
        <w:t>chlorpyrifos</w:t>
      </w:r>
      <w:proofErr w:type="spellEnd"/>
      <w:r w:rsidRPr="005D049F">
        <w:rPr>
          <w:sz w:val="16"/>
          <w:szCs w:val="16"/>
        </w:rPr>
        <w:t>. Personal protective equipment, if required for risk management, was applied in addition to this minimum base level of equipment</w:t>
      </w:r>
    </w:p>
    <w:p w14:paraId="4EF92BB1" w14:textId="77777777" w:rsidR="006B4FEC" w:rsidRPr="005D049F" w:rsidRDefault="006B4FEC" w:rsidP="006B4FEC">
      <w:pPr>
        <w:pStyle w:val="NumberLevel1"/>
        <w:numPr>
          <w:ilvl w:val="0"/>
          <w:numId w:val="44"/>
        </w:numPr>
        <w:spacing w:line="240" w:lineRule="auto"/>
        <w:rPr>
          <w:sz w:val="16"/>
          <w:szCs w:val="16"/>
        </w:rPr>
      </w:pPr>
      <w:r w:rsidRPr="005D049F">
        <w:rPr>
          <w:sz w:val="16"/>
          <w:szCs w:val="16"/>
        </w:rPr>
        <w:t xml:space="preserve">consistent with APVMA’s current data on </w:t>
      </w:r>
      <w:proofErr w:type="spellStart"/>
      <w:r w:rsidRPr="005D049F">
        <w:rPr>
          <w:sz w:val="16"/>
          <w:szCs w:val="16"/>
        </w:rPr>
        <w:t>chlorpyrifos</w:t>
      </w:r>
      <w:proofErr w:type="spellEnd"/>
      <w:r w:rsidRPr="005D049F">
        <w:rPr>
          <w:sz w:val="16"/>
          <w:szCs w:val="16"/>
        </w:rPr>
        <w:t xml:space="preserve"> use in Australia, the evaluations assumed that 100 per cent closed systems would not be used during mixing, loading and application</w:t>
      </w:r>
    </w:p>
    <w:p w14:paraId="480E16BE" w14:textId="77777777" w:rsidR="006B4FEC" w:rsidRPr="005D049F" w:rsidRDefault="006B4FEC" w:rsidP="006B4FEC">
      <w:pPr>
        <w:pStyle w:val="NumberLevel1"/>
        <w:numPr>
          <w:ilvl w:val="0"/>
          <w:numId w:val="44"/>
        </w:numPr>
        <w:spacing w:line="240" w:lineRule="auto"/>
        <w:rPr>
          <w:sz w:val="16"/>
          <w:szCs w:val="16"/>
        </w:rPr>
      </w:pPr>
      <w:r w:rsidRPr="005D049F">
        <w:rPr>
          <w:sz w:val="16"/>
          <w:szCs w:val="16"/>
        </w:rPr>
        <w:t xml:space="preserve">the assessments assumed that concurrent co-exposures to other anticholinesterase products (the effects of which are likely to be at least additive to those of </w:t>
      </w:r>
      <w:proofErr w:type="spellStart"/>
      <w:r w:rsidRPr="005D049F">
        <w:rPr>
          <w:sz w:val="16"/>
          <w:szCs w:val="16"/>
        </w:rPr>
        <w:t>chlorpyrifos</w:t>
      </w:r>
      <w:proofErr w:type="spellEnd"/>
      <w:r w:rsidRPr="005D049F">
        <w:rPr>
          <w:sz w:val="16"/>
          <w:szCs w:val="16"/>
        </w:rPr>
        <w:t xml:space="preserve"> due to their common mode of action) did not occur</w:t>
      </w:r>
    </w:p>
    <w:p w14:paraId="5F8B5103" w14:textId="77777777" w:rsidR="006B4FEC" w:rsidRPr="005D049F" w:rsidRDefault="006B4FEC" w:rsidP="006B4FEC">
      <w:pPr>
        <w:pStyle w:val="NumberLevel1"/>
        <w:numPr>
          <w:ilvl w:val="0"/>
          <w:numId w:val="44"/>
        </w:numPr>
        <w:spacing w:line="240" w:lineRule="auto"/>
        <w:rPr>
          <w:sz w:val="16"/>
          <w:szCs w:val="16"/>
        </w:rPr>
      </w:pPr>
      <w:r w:rsidRPr="005D049F">
        <w:rPr>
          <w:sz w:val="16"/>
          <w:szCs w:val="16"/>
        </w:rPr>
        <w:lastRenderedPageBreak/>
        <w:t xml:space="preserve">the assessments assumed that there was only one single type of use and/or activity per operator per day; for example the same operator would not undertake </w:t>
      </w:r>
      <w:proofErr w:type="spellStart"/>
      <w:r w:rsidRPr="005D049F">
        <w:rPr>
          <w:sz w:val="16"/>
          <w:szCs w:val="16"/>
        </w:rPr>
        <w:t>chlorpyrifos</w:t>
      </w:r>
      <w:proofErr w:type="spellEnd"/>
      <w:r w:rsidRPr="005D049F">
        <w:rPr>
          <w:sz w:val="16"/>
          <w:szCs w:val="16"/>
        </w:rPr>
        <w:t xml:space="preserve"> hand wand treatment of a hedge plus performing </w:t>
      </w:r>
      <w:proofErr w:type="spellStart"/>
      <w:r w:rsidRPr="005D049F">
        <w:rPr>
          <w:sz w:val="16"/>
          <w:szCs w:val="16"/>
        </w:rPr>
        <w:t>chlorpyrifos</w:t>
      </w:r>
      <w:proofErr w:type="spellEnd"/>
      <w:r w:rsidRPr="005D049F">
        <w:rPr>
          <w:sz w:val="16"/>
          <w:szCs w:val="16"/>
        </w:rPr>
        <w:t xml:space="preserve"> application to lawns using a mechanical spreader on the same work day.</w:t>
      </w:r>
    </w:p>
    <w:p w14:paraId="7EAFBFB2" w14:textId="77777777" w:rsidR="006B4FEC" w:rsidRPr="006B2052" w:rsidRDefault="006B4FEC" w:rsidP="006B4FEC">
      <w:pPr>
        <w:pStyle w:val="NumberLevel1"/>
        <w:numPr>
          <w:ilvl w:val="0"/>
          <w:numId w:val="44"/>
        </w:numPr>
        <w:spacing w:line="240" w:lineRule="auto"/>
        <w:rPr>
          <w:sz w:val="17"/>
          <w:szCs w:val="17"/>
        </w:rPr>
      </w:pPr>
      <w:r w:rsidRPr="005D049F">
        <w:rPr>
          <w:sz w:val="16"/>
          <w:szCs w:val="16"/>
        </w:rPr>
        <w:t xml:space="preserve">Work rates are based on label information and information contained in NOHSC 2001, Compendium of Farming Practices, National Occupational Health &amp; Safety Commission, </w:t>
      </w:r>
      <w:proofErr w:type="gramStart"/>
      <w:r w:rsidRPr="005D049F">
        <w:rPr>
          <w:sz w:val="16"/>
          <w:szCs w:val="16"/>
        </w:rPr>
        <w:t>Canberra</w:t>
      </w:r>
      <w:proofErr w:type="gramEnd"/>
      <w:r w:rsidRPr="005D049F">
        <w:rPr>
          <w:sz w:val="16"/>
          <w:szCs w:val="16"/>
        </w:rPr>
        <w:t>.</w:t>
      </w:r>
    </w:p>
    <w:p w14:paraId="375A072D" w14:textId="77777777" w:rsidR="006B4FEC" w:rsidRDefault="006B4FEC" w:rsidP="003C69F4">
      <w:pPr>
        <w:pStyle w:val="NumberLevel1"/>
        <w:ind w:firstLine="0"/>
      </w:pPr>
      <w:r>
        <w:t>As stated above, I consider these assumptions to be reasonable.</w:t>
      </w:r>
    </w:p>
    <w:p w14:paraId="13D21866" w14:textId="77777777" w:rsidR="006B4FEC" w:rsidRDefault="006B4FEC" w:rsidP="003C69F4">
      <w:pPr>
        <w:pStyle w:val="NumberLevel1"/>
        <w:ind w:left="709"/>
      </w:pPr>
      <w:r>
        <w:t xml:space="preserve">The results of the exposure assessments and risk characterisations conducted in respect of this scenario are set out in Appendix 1 of the </w:t>
      </w:r>
      <w:r w:rsidRPr="006B0F89">
        <w:t>Exposure assessment and risk characterisation report (2019)</w:t>
      </w:r>
      <w:r>
        <w:t>.</w:t>
      </w:r>
    </w:p>
    <w:p w14:paraId="7ADCE20E" w14:textId="77777777" w:rsidR="00A57DA0" w:rsidRDefault="006B4FEC" w:rsidP="003C69F4">
      <w:pPr>
        <w:pStyle w:val="NumberLevel1"/>
        <w:ind w:left="709"/>
      </w:pPr>
      <w:r>
        <w:t>On the basis of those results, the Principal Toxicologist recommended that al</w:t>
      </w:r>
      <w:r w:rsidR="00A57DA0">
        <w:t xml:space="preserve">- </w:t>
      </w:r>
    </w:p>
    <w:p w14:paraId="7DFECCBB" w14:textId="1558630F" w:rsidR="006B4FEC" w:rsidRDefault="006B4FEC" w:rsidP="003C69F4">
      <w:pPr>
        <w:pStyle w:val="NumberLevel1"/>
        <w:ind w:left="709"/>
      </w:pPr>
      <w:r>
        <w:t xml:space="preserve">l uses of </w:t>
      </w:r>
      <w:proofErr w:type="spellStart"/>
      <w:r>
        <w:t>chlorpyrifos</w:t>
      </w:r>
      <w:proofErr w:type="spellEnd"/>
      <w:r>
        <w:t xml:space="preserve"> by professional applicators who mix, load and apply </w:t>
      </w:r>
      <w:proofErr w:type="spellStart"/>
      <w:r>
        <w:t>chlorpyrifos</w:t>
      </w:r>
      <w:proofErr w:type="spellEnd"/>
      <w:r>
        <w:t xml:space="preserve"> for use in child-accessible public spaces and domestic/residential areas, other than those appearing in Table 2 of the</w:t>
      </w:r>
      <w:r>
        <w:rPr>
          <w:i/>
        </w:rPr>
        <w:t xml:space="preserve"> </w:t>
      </w:r>
      <w:r w:rsidRPr="006B0F89">
        <w:t>Exposure assessment and risk characterisation report (2019)</w:t>
      </w:r>
      <w:r>
        <w:t xml:space="preserve">, be found to give an unacceptable margin of exposure. Table 2 is set out an </w:t>
      </w:r>
      <w:r>
        <w:rPr>
          <w:b/>
        </w:rPr>
        <w:t xml:space="preserve">Annexure </w:t>
      </w:r>
      <w:r w:rsidR="001B5D53">
        <w:rPr>
          <w:b/>
        </w:rPr>
        <w:t>A</w:t>
      </w:r>
      <w:r>
        <w:rPr>
          <w:b/>
        </w:rPr>
        <w:t xml:space="preserve"> </w:t>
      </w:r>
      <w:r w:rsidRPr="00632847">
        <w:t>to this statement of reasons</w:t>
      </w:r>
      <w:r>
        <w:t>.</w:t>
      </w:r>
    </w:p>
    <w:p w14:paraId="33010D4F" w14:textId="77777777" w:rsidR="006B4FEC" w:rsidRDefault="006B4FEC" w:rsidP="003C69F4">
      <w:pPr>
        <w:pStyle w:val="NumberLevel1"/>
        <w:ind w:left="709"/>
      </w:pPr>
      <w:r>
        <w:t xml:space="preserve">I accept as correct the analysis and conclusion of the Principal Toxicologist in relation to this scenario as set out in the </w:t>
      </w:r>
      <w:r w:rsidRPr="006B0F89">
        <w:t>Exposure assessment and risk characterisation report (2019)</w:t>
      </w:r>
      <w:r>
        <w:t xml:space="preserve">. </w:t>
      </w:r>
    </w:p>
    <w:p w14:paraId="4A684E6A" w14:textId="59249D15" w:rsidR="006B4FEC" w:rsidRPr="006C62C5" w:rsidRDefault="006B4FEC" w:rsidP="003C69F4">
      <w:pPr>
        <w:pStyle w:val="NumberLevel1"/>
        <w:ind w:left="709"/>
      </w:pPr>
      <w:r>
        <w:t xml:space="preserve">I therefore find that the use of </w:t>
      </w:r>
      <w:proofErr w:type="spellStart"/>
      <w:r>
        <w:t>chlorpyrifos</w:t>
      </w:r>
      <w:proofErr w:type="spellEnd"/>
      <w:r>
        <w:t xml:space="preserve"> by professional applicators who mix, load and apply </w:t>
      </w:r>
      <w:proofErr w:type="spellStart"/>
      <w:r>
        <w:t>chlorpyrifos</w:t>
      </w:r>
      <w:proofErr w:type="spellEnd"/>
      <w:r>
        <w:t xml:space="preserve"> for use in child-accessible public spaces and domestic/residential areas is likely to be harmful to human beings, except insofar as the products are used by professional applicators in the circumstances appearing in Table 2 of the </w:t>
      </w:r>
      <w:r w:rsidRPr="006B0F89">
        <w:t>Exposure assessment and risk characterisation report (2019)</w:t>
      </w:r>
      <w:r>
        <w:t xml:space="preserve"> (see </w:t>
      </w:r>
      <w:r>
        <w:rPr>
          <w:b/>
        </w:rPr>
        <w:t xml:space="preserve">Annexure </w:t>
      </w:r>
      <w:r w:rsidR="001B5D53">
        <w:rPr>
          <w:b/>
        </w:rPr>
        <w:t>A</w:t>
      </w:r>
      <w:r>
        <w:t xml:space="preserve">). I find that the use of the product by professional applicators in the circumstances appearing in Table 2 of the </w:t>
      </w:r>
      <w:r w:rsidRPr="006B0F89">
        <w:t>Exposure assessment and risk characterisation report (2019)</w:t>
      </w:r>
      <w:r>
        <w:t xml:space="preserve"> are not likely to be harmful to human beings.</w:t>
      </w:r>
    </w:p>
    <w:p w14:paraId="1E95139F" w14:textId="77777777" w:rsidR="006B4FEC" w:rsidRPr="003F1269" w:rsidRDefault="006B4FEC" w:rsidP="003C69F4">
      <w:pPr>
        <w:pStyle w:val="Heading6"/>
        <w:numPr>
          <w:ilvl w:val="0"/>
          <w:numId w:val="40"/>
        </w:numPr>
        <w:spacing w:line="280" w:lineRule="atLeast"/>
        <w:ind w:firstLine="0"/>
        <w:rPr>
          <w:rFonts w:ascii="Arial" w:eastAsiaTheme="minorEastAsia" w:hAnsi="Arial" w:cstheme="minorBidi"/>
          <w:b w:val="0"/>
          <w:i/>
          <w:caps/>
          <w:lang w:eastAsia="en-AU"/>
        </w:rPr>
      </w:pPr>
      <w:r w:rsidRPr="003F1269">
        <w:rPr>
          <w:rFonts w:ascii="Arial" w:eastAsiaTheme="minorEastAsia" w:hAnsi="Arial" w:cstheme="minorBidi"/>
          <w:b w:val="0"/>
          <w:i/>
          <w:lang w:eastAsia="en-AU"/>
        </w:rPr>
        <w:t xml:space="preserve">Scenario 2: Professional applicators who re-enter into </w:t>
      </w:r>
      <w:proofErr w:type="spellStart"/>
      <w:r w:rsidRPr="003F1269">
        <w:rPr>
          <w:rFonts w:ascii="Arial" w:eastAsiaTheme="minorEastAsia" w:hAnsi="Arial" w:cstheme="minorBidi"/>
          <w:b w:val="0"/>
          <w:i/>
          <w:lang w:eastAsia="en-AU"/>
        </w:rPr>
        <w:t>chlorpyrifos</w:t>
      </w:r>
      <w:proofErr w:type="spellEnd"/>
      <w:r w:rsidRPr="003F1269">
        <w:rPr>
          <w:rFonts w:ascii="Arial" w:eastAsiaTheme="minorEastAsia" w:hAnsi="Arial" w:cstheme="minorBidi"/>
          <w:b w:val="0"/>
          <w:i/>
          <w:lang w:eastAsia="en-AU"/>
        </w:rPr>
        <w:t>-treated, child-accessible public spaces and domestic/residential areas</w:t>
      </w:r>
    </w:p>
    <w:p w14:paraId="581E8FCE" w14:textId="77777777" w:rsidR="006B4FEC" w:rsidRPr="00A7398C" w:rsidRDefault="006B4FEC" w:rsidP="003C69F4">
      <w:pPr>
        <w:pStyle w:val="NumberLevel1"/>
        <w:ind w:left="709"/>
        <w:rPr>
          <w:sz w:val="17"/>
          <w:szCs w:val="17"/>
        </w:rPr>
      </w:pPr>
      <w:r>
        <w:t xml:space="preserve">The assumptions upon which the re-entry exposure assessments and risk characterisations conducted in respect of this scenario, stated in the </w:t>
      </w:r>
      <w:r w:rsidRPr="006B0F89">
        <w:t>Exposure assessment and risk characterisation report (2019)</w:t>
      </w:r>
      <w:r>
        <w:t>, were as follows:</w:t>
      </w:r>
      <w:r>
        <w:rPr>
          <w:rStyle w:val="FootnoteReference"/>
        </w:rPr>
        <w:footnoteReference w:id="29"/>
      </w:r>
    </w:p>
    <w:p w14:paraId="277FB1E5" w14:textId="77777777" w:rsidR="006B4FEC" w:rsidRPr="005D049F" w:rsidRDefault="006B4FEC" w:rsidP="003C69F4">
      <w:pPr>
        <w:pStyle w:val="NumberLevel1"/>
        <w:numPr>
          <w:ilvl w:val="0"/>
          <w:numId w:val="44"/>
        </w:numPr>
        <w:spacing w:line="240" w:lineRule="auto"/>
        <w:ind w:firstLine="0"/>
        <w:rPr>
          <w:sz w:val="16"/>
          <w:szCs w:val="16"/>
        </w:rPr>
      </w:pPr>
      <w:r w:rsidRPr="005D049F">
        <w:rPr>
          <w:sz w:val="16"/>
          <w:szCs w:val="16"/>
        </w:rPr>
        <w:t>a maximum acceptable re-entry interval of one day was applied to ensure drying of the applied material</w:t>
      </w:r>
    </w:p>
    <w:p w14:paraId="68D872C9" w14:textId="77777777" w:rsidR="006B4FEC" w:rsidRPr="005D049F" w:rsidRDefault="006B4FEC" w:rsidP="003C69F4">
      <w:pPr>
        <w:pStyle w:val="NumberLevel1"/>
        <w:numPr>
          <w:ilvl w:val="0"/>
          <w:numId w:val="44"/>
        </w:numPr>
        <w:spacing w:line="240" w:lineRule="auto"/>
        <w:ind w:firstLine="0"/>
        <w:rPr>
          <w:sz w:val="16"/>
          <w:szCs w:val="16"/>
        </w:rPr>
      </w:pPr>
      <w:proofErr w:type="gramStart"/>
      <w:r w:rsidRPr="005D049F">
        <w:rPr>
          <w:sz w:val="16"/>
          <w:szCs w:val="16"/>
        </w:rPr>
        <w:t>people</w:t>
      </w:r>
      <w:proofErr w:type="gramEnd"/>
      <w:r w:rsidRPr="005D049F">
        <w:rPr>
          <w:sz w:val="16"/>
          <w:szCs w:val="16"/>
        </w:rPr>
        <w:t xml:space="preserve"> do not swim in water bodies that have been treated with </w:t>
      </w:r>
      <w:proofErr w:type="spellStart"/>
      <w:r w:rsidRPr="005D049F">
        <w:rPr>
          <w:sz w:val="16"/>
          <w:szCs w:val="16"/>
        </w:rPr>
        <w:t>chlorpyrifos</w:t>
      </w:r>
      <w:proofErr w:type="spellEnd"/>
      <w:r w:rsidRPr="005D049F">
        <w:rPr>
          <w:sz w:val="16"/>
          <w:szCs w:val="16"/>
        </w:rPr>
        <w:t xml:space="preserve"> for mosquito control. For this reason re-entry intervals for </w:t>
      </w:r>
      <w:proofErr w:type="spellStart"/>
      <w:r w:rsidRPr="005D049F">
        <w:rPr>
          <w:sz w:val="16"/>
          <w:szCs w:val="16"/>
        </w:rPr>
        <w:t>chlorpyrifos</w:t>
      </w:r>
      <w:proofErr w:type="spellEnd"/>
      <w:r w:rsidRPr="005D049F">
        <w:rPr>
          <w:sz w:val="16"/>
          <w:szCs w:val="16"/>
        </w:rPr>
        <w:t xml:space="preserve"> treated water and surface waters were not calculated</w:t>
      </w:r>
    </w:p>
    <w:p w14:paraId="52B865A1" w14:textId="77777777" w:rsidR="006B4FEC" w:rsidRPr="005D049F" w:rsidRDefault="006B4FEC" w:rsidP="003C69F4">
      <w:pPr>
        <w:pStyle w:val="NumberLevel1"/>
        <w:numPr>
          <w:ilvl w:val="0"/>
          <w:numId w:val="44"/>
        </w:numPr>
        <w:spacing w:line="240" w:lineRule="auto"/>
        <w:ind w:firstLine="0"/>
        <w:rPr>
          <w:sz w:val="16"/>
          <w:szCs w:val="16"/>
        </w:rPr>
      </w:pPr>
      <w:proofErr w:type="gramStart"/>
      <w:r w:rsidRPr="005D049F">
        <w:rPr>
          <w:sz w:val="16"/>
          <w:szCs w:val="16"/>
        </w:rPr>
        <w:t>re-entry</w:t>
      </w:r>
      <w:proofErr w:type="gramEnd"/>
      <w:r w:rsidRPr="005D049F">
        <w:rPr>
          <w:sz w:val="16"/>
          <w:szCs w:val="16"/>
        </w:rPr>
        <w:t xml:space="preserve"> exposure was assumed to be via dermal exposure. Inhalation exposures under these circumstances were regarded as toxicologically negligible</w:t>
      </w:r>
    </w:p>
    <w:p w14:paraId="071FBED0" w14:textId="77777777" w:rsidR="006B4FEC" w:rsidRPr="005D049F" w:rsidRDefault="006B4FEC" w:rsidP="003C69F4">
      <w:pPr>
        <w:pStyle w:val="NumberLevel1"/>
        <w:numPr>
          <w:ilvl w:val="0"/>
          <w:numId w:val="44"/>
        </w:numPr>
        <w:spacing w:line="240" w:lineRule="auto"/>
        <w:ind w:firstLine="0"/>
        <w:rPr>
          <w:sz w:val="16"/>
          <w:szCs w:val="16"/>
        </w:rPr>
      </w:pPr>
      <w:r w:rsidRPr="005D049F">
        <w:rPr>
          <w:sz w:val="16"/>
          <w:szCs w:val="16"/>
        </w:rPr>
        <w:t>only the most exposure-intensive activities for each situation were evaluated (worst case scenario)</w:t>
      </w:r>
    </w:p>
    <w:p w14:paraId="67E7E590" w14:textId="77777777" w:rsidR="006B4FEC" w:rsidRPr="005D049F" w:rsidRDefault="006B4FEC" w:rsidP="003C69F4">
      <w:pPr>
        <w:pStyle w:val="NumberLevel1"/>
        <w:numPr>
          <w:ilvl w:val="0"/>
          <w:numId w:val="44"/>
        </w:numPr>
        <w:spacing w:line="240" w:lineRule="auto"/>
        <w:ind w:firstLine="0"/>
        <w:rPr>
          <w:sz w:val="16"/>
          <w:szCs w:val="16"/>
        </w:rPr>
      </w:pPr>
      <w:r w:rsidRPr="005D049F">
        <w:rPr>
          <w:sz w:val="16"/>
          <w:szCs w:val="16"/>
        </w:rPr>
        <w:t>mandatory minimum re-entry intervals for child-accessible public spaces were not regarded as a reliable risk management approach</w:t>
      </w:r>
    </w:p>
    <w:p w14:paraId="465EA166" w14:textId="77777777" w:rsidR="006B4FEC" w:rsidRPr="005D049F" w:rsidRDefault="006B4FEC" w:rsidP="003C69F4">
      <w:pPr>
        <w:pStyle w:val="NumberLevel1"/>
        <w:numPr>
          <w:ilvl w:val="0"/>
          <w:numId w:val="44"/>
        </w:numPr>
        <w:spacing w:line="240" w:lineRule="auto"/>
        <w:ind w:firstLine="0"/>
        <w:rPr>
          <w:sz w:val="16"/>
          <w:szCs w:val="16"/>
        </w:rPr>
      </w:pPr>
      <w:proofErr w:type="gramStart"/>
      <w:r w:rsidRPr="005D049F">
        <w:rPr>
          <w:sz w:val="16"/>
          <w:szCs w:val="16"/>
        </w:rPr>
        <w:t>multiple</w:t>
      </w:r>
      <w:proofErr w:type="gramEnd"/>
      <w:r w:rsidRPr="005D049F">
        <w:rPr>
          <w:sz w:val="16"/>
          <w:szCs w:val="16"/>
        </w:rPr>
        <w:t xml:space="preserve"> re-entries into </w:t>
      </w:r>
      <w:proofErr w:type="spellStart"/>
      <w:r w:rsidRPr="005D049F">
        <w:rPr>
          <w:sz w:val="16"/>
          <w:szCs w:val="16"/>
        </w:rPr>
        <w:t>chlorpyrifos</w:t>
      </w:r>
      <w:proofErr w:type="spellEnd"/>
      <w:r w:rsidRPr="005D049F">
        <w:rPr>
          <w:sz w:val="16"/>
          <w:szCs w:val="16"/>
        </w:rPr>
        <w:t xml:space="preserve"> treated, child-accessible public spaces were assumed to occur. Accordingly the most appropriate human health based guidance value for these circumstances was the ADI. This approach is supported by the variable, and potentially long, half-life of </w:t>
      </w:r>
      <w:proofErr w:type="spellStart"/>
      <w:r w:rsidRPr="005D049F">
        <w:rPr>
          <w:sz w:val="16"/>
          <w:szCs w:val="16"/>
        </w:rPr>
        <w:t>chlorpyrifos</w:t>
      </w:r>
      <w:proofErr w:type="spellEnd"/>
      <w:r w:rsidRPr="005D049F">
        <w:rPr>
          <w:sz w:val="16"/>
          <w:szCs w:val="16"/>
        </w:rPr>
        <w:t xml:space="preserve"> in some soil types and on non-sun exposed surfaces (NRAAVC 2000)</w:t>
      </w:r>
    </w:p>
    <w:p w14:paraId="3762A8F6" w14:textId="77777777" w:rsidR="006B4FEC" w:rsidRPr="005D049F" w:rsidRDefault="006B4FEC" w:rsidP="003C69F4">
      <w:pPr>
        <w:pStyle w:val="NumberLevel1"/>
        <w:numPr>
          <w:ilvl w:val="0"/>
          <w:numId w:val="44"/>
        </w:numPr>
        <w:spacing w:line="240" w:lineRule="auto"/>
        <w:ind w:firstLine="0"/>
        <w:rPr>
          <w:sz w:val="16"/>
          <w:szCs w:val="16"/>
        </w:rPr>
      </w:pPr>
      <w:proofErr w:type="gramStart"/>
      <w:r w:rsidRPr="005D049F">
        <w:rPr>
          <w:sz w:val="16"/>
          <w:szCs w:val="16"/>
        </w:rPr>
        <w:t>all</w:t>
      </w:r>
      <w:proofErr w:type="gramEnd"/>
      <w:r w:rsidRPr="005D049F">
        <w:rPr>
          <w:sz w:val="16"/>
          <w:szCs w:val="16"/>
        </w:rPr>
        <w:t xml:space="preserve"> the assumptions made in the Objective 1 evaluations, where scientifically appropriate.</w:t>
      </w:r>
    </w:p>
    <w:p w14:paraId="5EF8B637" w14:textId="77777777" w:rsidR="006B4FEC" w:rsidRPr="005D049F" w:rsidRDefault="006B4FEC" w:rsidP="003C69F4">
      <w:pPr>
        <w:pStyle w:val="NumberLevel1"/>
        <w:numPr>
          <w:ilvl w:val="0"/>
          <w:numId w:val="44"/>
        </w:numPr>
        <w:spacing w:line="240" w:lineRule="auto"/>
        <w:ind w:firstLine="0"/>
        <w:rPr>
          <w:sz w:val="16"/>
          <w:szCs w:val="16"/>
        </w:rPr>
      </w:pPr>
      <w:r w:rsidRPr="005D049F">
        <w:rPr>
          <w:sz w:val="16"/>
          <w:szCs w:val="16"/>
        </w:rPr>
        <w:t>Based on the outcomes of Objective 1 no spray applications except mosquito control uses were considered acceptable for the child accessible domestic and public space uses with application by back pack, low pressure hand wand or high pressure hand wand.</w:t>
      </w:r>
    </w:p>
    <w:p w14:paraId="06733573" w14:textId="77777777" w:rsidR="006B4FEC" w:rsidRDefault="006B4FEC" w:rsidP="003C69F4">
      <w:pPr>
        <w:pStyle w:val="NumberLevel1"/>
        <w:ind w:firstLine="0"/>
      </w:pPr>
      <w:r>
        <w:t>As stated above, I consider these assumptions to be reasonable.</w:t>
      </w:r>
    </w:p>
    <w:p w14:paraId="0CD62B9C" w14:textId="77777777" w:rsidR="006B4FEC" w:rsidRDefault="006B4FEC" w:rsidP="003C69F4">
      <w:pPr>
        <w:pStyle w:val="NumberLevel1"/>
        <w:ind w:left="709"/>
      </w:pPr>
      <w:r>
        <w:lastRenderedPageBreak/>
        <w:t xml:space="preserve">The re-entry interval modelling was performed using </w:t>
      </w:r>
      <w:r w:rsidRPr="001D4399">
        <w:t xml:space="preserve">US </w:t>
      </w:r>
      <w:r>
        <w:t>Environment Protection Agency (</w:t>
      </w:r>
      <w:r>
        <w:rPr>
          <w:b/>
        </w:rPr>
        <w:t>EPA</w:t>
      </w:r>
      <w:r>
        <w:t>)</w:t>
      </w:r>
      <w:r w:rsidRPr="001D4399">
        <w:t xml:space="preserve"> Occupational Pesticide Re-entry Exposure Calculator</w:t>
      </w:r>
      <w:r>
        <w:t xml:space="preserve"> (</w:t>
      </w:r>
      <w:r w:rsidRPr="00632847">
        <w:rPr>
          <w:b/>
        </w:rPr>
        <w:t>OPREC</w:t>
      </w:r>
      <w:r>
        <w:t xml:space="preserve">), and did not include children (as that is covered by Scenario 3). </w:t>
      </w:r>
    </w:p>
    <w:p w14:paraId="0F53C74E" w14:textId="463BEB30" w:rsidR="006B4FEC" w:rsidRDefault="006B4FEC" w:rsidP="003C69F4">
      <w:pPr>
        <w:pStyle w:val="NumberLevel1"/>
        <w:ind w:left="709"/>
      </w:pPr>
      <w:r>
        <w:t xml:space="preserve">The results of the exposure assessments and risk characterisations conducted in respect of this scenario are set out in Table 3 of the </w:t>
      </w:r>
      <w:r w:rsidRPr="006B0F89">
        <w:t>Exposure assessment and risk characterisation report (2019)</w:t>
      </w:r>
      <w:r>
        <w:t xml:space="preserve">, which is set out at </w:t>
      </w:r>
      <w:r>
        <w:rPr>
          <w:b/>
        </w:rPr>
        <w:t>Annexure</w:t>
      </w:r>
      <w:r w:rsidRPr="0099752A">
        <w:rPr>
          <w:b/>
        </w:rPr>
        <w:t xml:space="preserve"> </w:t>
      </w:r>
      <w:r w:rsidR="001B5D53">
        <w:rPr>
          <w:b/>
        </w:rPr>
        <w:t>A</w:t>
      </w:r>
      <w:r w:rsidRPr="0099752A">
        <w:rPr>
          <w:b/>
        </w:rPr>
        <w:t xml:space="preserve"> </w:t>
      </w:r>
      <w:r>
        <w:t xml:space="preserve">to this statement of reasons. </w:t>
      </w:r>
    </w:p>
    <w:p w14:paraId="1C11C7B1" w14:textId="77777777" w:rsidR="006B4FEC" w:rsidRPr="003F49D7" w:rsidRDefault="006B4FEC" w:rsidP="003C69F4">
      <w:pPr>
        <w:pStyle w:val="NumberLevel1"/>
        <w:ind w:left="709"/>
      </w:pPr>
      <w:r w:rsidRPr="006306E3">
        <w:t>In each case, the Principal Toxicologist considered that the minimum re-entry intervals required for this purpose were impractical, unreliable and unenforceable given that these places were child-accessible public spaces and domestic/residential areas. As such, the use of minimum re-entry intervals were not regarded as a reliable risk management approach. I agree with these conclusions.</w:t>
      </w:r>
    </w:p>
    <w:p w14:paraId="7126884C" w14:textId="77777777" w:rsidR="006B4FEC" w:rsidRPr="006306E3" w:rsidRDefault="006B4FEC" w:rsidP="003C69F4">
      <w:pPr>
        <w:pStyle w:val="Heading6"/>
        <w:spacing w:line="280" w:lineRule="atLeast"/>
        <w:ind w:left="360"/>
        <w:rPr>
          <w:rFonts w:ascii="Arial" w:eastAsiaTheme="minorEastAsia" w:hAnsi="Arial" w:cstheme="minorBidi"/>
          <w:b w:val="0"/>
          <w:i/>
          <w:caps/>
          <w:lang w:eastAsia="en-AU"/>
        </w:rPr>
      </w:pPr>
      <w:r w:rsidRPr="006306E3">
        <w:rPr>
          <w:rFonts w:ascii="Arial" w:eastAsiaTheme="minorEastAsia" w:hAnsi="Arial" w:cstheme="minorBidi"/>
          <w:b w:val="0"/>
          <w:i/>
          <w:lang w:eastAsia="en-AU"/>
        </w:rPr>
        <w:t xml:space="preserve">Scenario 3: Non-professional uses of </w:t>
      </w:r>
      <w:proofErr w:type="spellStart"/>
      <w:r w:rsidRPr="006306E3">
        <w:rPr>
          <w:rFonts w:ascii="Arial" w:eastAsiaTheme="minorEastAsia" w:hAnsi="Arial" w:cstheme="minorBidi"/>
          <w:b w:val="0"/>
          <w:i/>
          <w:lang w:eastAsia="en-AU"/>
        </w:rPr>
        <w:t>chlorpyrifos</w:t>
      </w:r>
      <w:proofErr w:type="spellEnd"/>
      <w:r w:rsidRPr="006306E3">
        <w:rPr>
          <w:rFonts w:ascii="Arial" w:eastAsiaTheme="minorEastAsia" w:hAnsi="Arial" w:cstheme="minorBidi"/>
          <w:b w:val="0"/>
          <w:i/>
          <w:lang w:eastAsia="en-AU"/>
        </w:rPr>
        <w:t xml:space="preserve"> in child-accessible residential settings</w:t>
      </w:r>
    </w:p>
    <w:p w14:paraId="6E47B1E2" w14:textId="77777777" w:rsidR="006B4FEC" w:rsidRDefault="006B4FEC" w:rsidP="003C69F4">
      <w:pPr>
        <w:pStyle w:val="NumberLevel1"/>
        <w:ind w:left="709"/>
      </w:pPr>
      <w:r>
        <w:t xml:space="preserve">The assumptions upon which the exposure assessment and risk characterisation conducted in respect of this scenario, stated in the </w:t>
      </w:r>
      <w:r w:rsidRPr="006B0F89">
        <w:t>Exposure assessment and risk characterisation report (2019)</w:t>
      </w:r>
      <w:r>
        <w:t>, were as follows:</w:t>
      </w:r>
      <w:r>
        <w:rPr>
          <w:rStyle w:val="FootnoteReference"/>
        </w:rPr>
        <w:footnoteReference w:id="30"/>
      </w:r>
    </w:p>
    <w:p w14:paraId="4F80290E" w14:textId="77777777" w:rsidR="006B4FEC" w:rsidRPr="00B249A4" w:rsidRDefault="006B4FEC" w:rsidP="006B4FEC">
      <w:pPr>
        <w:pStyle w:val="Bullet1"/>
        <w:numPr>
          <w:ilvl w:val="0"/>
          <w:numId w:val="44"/>
        </w:numPr>
        <w:spacing w:line="240" w:lineRule="auto"/>
        <w:ind w:left="714" w:hanging="357"/>
        <w:rPr>
          <w:sz w:val="16"/>
          <w:szCs w:val="16"/>
        </w:rPr>
      </w:pPr>
      <w:r w:rsidRPr="00B249A4">
        <w:rPr>
          <w:sz w:val="16"/>
          <w:szCs w:val="16"/>
        </w:rPr>
        <w:t xml:space="preserve">non-professional user exposure(s) were assumed to occur occasionally (minimum two </w:t>
      </w:r>
      <w:proofErr w:type="spellStart"/>
      <w:r w:rsidRPr="00B249A4">
        <w:rPr>
          <w:sz w:val="16"/>
          <w:szCs w:val="16"/>
        </w:rPr>
        <w:t>chlorpyrifos</w:t>
      </w:r>
      <w:proofErr w:type="spellEnd"/>
      <w:r w:rsidRPr="00B249A4">
        <w:rPr>
          <w:sz w:val="16"/>
          <w:szCs w:val="16"/>
        </w:rPr>
        <w:t xml:space="preserve"> applications to a maximum of three </w:t>
      </w:r>
      <w:proofErr w:type="spellStart"/>
      <w:r w:rsidRPr="00B249A4">
        <w:rPr>
          <w:sz w:val="16"/>
          <w:szCs w:val="16"/>
        </w:rPr>
        <w:t>chlorpyrifos</w:t>
      </w:r>
      <w:proofErr w:type="spellEnd"/>
      <w:r w:rsidRPr="00B249A4">
        <w:rPr>
          <w:sz w:val="16"/>
          <w:szCs w:val="16"/>
        </w:rPr>
        <w:t xml:space="preserve"> applications per year, with each exposure incident being toxicologically equivalent to an acute exposure incident with no more than one application per month). Accordingly the </w:t>
      </w:r>
      <w:proofErr w:type="spellStart"/>
      <w:r w:rsidRPr="00B249A4">
        <w:rPr>
          <w:sz w:val="16"/>
          <w:szCs w:val="16"/>
        </w:rPr>
        <w:t>ARfD</w:t>
      </w:r>
      <w:proofErr w:type="spellEnd"/>
      <w:r w:rsidRPr="00B249A4">
        <w:rPr>
          <w:sz w:val="16"/>
          <w:szCs w:val="16"/>
        </w:rPr>
        <w:t xml:space="preserve"> was regarded as the most appropriate human health based guidance value for assessment of mixing, loading and application. The relevant POD was 0.1 mg/kg </w:t>
      </w:r>
      <w:proofErr w:type="spellStart"/>
      <w:r w:rsidRPr="00B249A4">
        <w:rPr>
          <w:sz w:val="16"/>
          <w:szCs w:val="16"/>
        </w:rPr>
        <w:t>bw</w:t>
      </w:r>
      <w:proofErr w:type="spellEnd"/>
      <w:r w:rsidRPr="00B249A4">
        <w:rPr>
          <w:sz w:val="16"/>
          <w:szCs w:val="16"/>
        </w:rPr>
        <w:t xml:space="preserve">/day which was the NOAEL for inhibition of erythrocyte cholinesterase in humans treated with a single oral dose of </w:t>
      </w:r>
      <w:proofErr w:type="spellStart"/>
      <w:r w:rsidRPr="00B249A4">
        <w:rPr>
          <w:sz w:val="16"/>
          <w:szCs w:val="16"/>
        </w:rPr>
        <w:t>chlorpyrifos</w:t>
      </w:r>
      <w:proofErr w:type="spellEnd"/>
      <w:r w:rsidRPr="00B249A4">
        <w:rPr>
          <w:sz w:val="16"/>
          <w:szCs w:val="16"/>
        </w:rPr>
        <w:t>. A MOE of 10 x 10</w:t>
      </w:r>
      <w:r w:rsidRPr="00B249A4">
        <w:rPr>
          <w:sz w:val="16"/>
          <w:szCs w:val="16"/>
          <w:vertAlign w:val="superscript"/>
        </w:rPr>
        <w:t xml:space="preserve">0.5 </w:t>
      </w:r>
      <w:r w:rsidRPr="00B249A4">
        <w:rPr>
          <w:sz w:val="16"/>
          <w:szCs w:val="16"/>
        </w:rPr>
        <w:t>(rounded to 32) was applied to account for intra-species and other uncertainties (APVMA 2019)</w:t>
      </w:r>
    </w:p>
    <w:p w14:paraId="02B3E4F7" w14:textId="77777777" w:rsidR="006B4FEC" w:rsidRPr="00B249A4" w:rsidRDefault="006B4FEC" w:rsidP="006B4FEC">
      <w:pPr>
        <w:pStyle w:val="Bullet1"/>
        <w:numPr>
          <w:ilvl w:val="0"/>
          <w:numId w:val="44"/>
        </w:numPr>
        <w:spacing w:line="240" w:lineRule="auto"/>
        <w:ind w:left="714" w:hanging="357"/>
        <w:rPr>
          <w:sz w:val="16"/>
          <w:szCs w:val="16"/>
        </w:rPr>
      </w:pPr>
      <w:proofErr w:type="gramStart"/>
      <w:r w:rsidRPr="00B249A4">
        <w:rPr>
          <w:sz w:val="16"/>
          <w:szCs w:val="16"/>
        </w:rPr>
        <w:t>multiple</w:t>
      </w:r>
      <w:proofErr w:type="gramEnd"/>
      <w:r w:rsidRPr="00B249A4">
        <w:rPr>
          <w:sz w:val="16"/>
          <w:szCs w:val="16"/>
        </w:rPr>
        <w:t xml:space="preserve"> re-entries into </w:t>
      </w:r>
      <w:proofErr w:type="spellStart"/>
      <w:r w:rsidRPr="00B249A4">
        <w:rPr>
          <w:sz w:val="16"/>
          <w:szCs w:val="16"/>
        </w:rPr>
        <w:t>chlorpyrifos</w:t>
      </w:r>
      <w:proofErr w:type="spellEnd"/>
      <w:r w:rsidRPr="00B249A4">
        <w:rPr>
          <w:sz w:val="16"/>
          <w:szCs w:val="16"/>
        </w:rPr>
        <w:t xml:space="preserve"> treated, child-accessible domestic/residential spaces were assumed to occur. As discussed above the most appropriate human health based guidance value for these circumstances was regarded as being the ADI</w:t>
      </w:r>
    </w:p>
    <w:p w14:paraId="4A639A44" w14:textId="77777777" w:rsidR="006B4FEC" w:rsidRPr="00B249A4" w:rsidRDefault="006B4FEC" w:rsidP="006B4FEC">
      <w:pPr>
        <w:pStyle w:val="Bullet1"/>
        <w:numPr>
          <w:ilvl w:val="0"/>
          <w:numId w:val="44"/>
        </w:numPr>
        <w:spacing w:line="240" w:lineRule="auto"/>
        <w:ind w:left="714" w:hanging="357"/>
        <w:rPr>
          <w:sz w:val="16"/>
          <w:szCs w:val="16"/>
        </w:rPr>
      </w:pPr>
      <w:r w:rsidRPr="00B249A4">
        <w:rPr>
          <w:sz w:val="16"/>
          <w:szCs w:val="16"/>
        </w:rPr>
        <w:t>where product labels only specified application to a small area (</w:t>
      </w:r>
      <w:proofErr w:type="spellStart"/>
      <w:r w:rsidRPr="00B249A4">
        <w:rPr>
          <w:sz w:val="16"/>
          <w:szCs w:val="16"/>
        </w:rPr>
        <w:t>ie</w:t>
      </w:r>
      <w:proofErr w:type="spellEnd"/>
      <w:r w:rsidRPr="00B249A4">
        <w:rPr>
          <w:sz w:val="16"/>
          <w:szCs w:val="16"/>
        </w:rPr>
        <w:t xml:space="preserve"> a garden, a rockery, or a potted plant) the evaluation assumed that the final application rate on a per unit area basis was ≥ 250 g </w:t>
      </w:r>
      <w:proofErr w:type="spellStart"/>
      <w:r w:rsidRPr="00B249A4">
        <w:rPr>
          <w:sz w:val="16"/>
          <w:szCs w:val="16"/>
        </w:rPr>
        <w:t>a.c</w:t>
      </w:r>
      <w:proofErr w:type="spellEnd"/>
      <w:r w:rsidRPr="00B249A4">
        <w:rPr>
          <w:sz w:val="16"/>
          <w:szCs w:val="16"/>
        </w:rPr>
        <w:t>./ha</w:t>
      </w:r>
    </w:p>
    <w:p w14:paraId="6A2207EE" w14:textId="77777777" w:rsidR="006B4FEC" w:rsidRPr="00B249A4" w:rsidRDefault="006B4FEC" w:rsidP="006B4FEC">
      <w:pPr>
        <w:pStyle w:val="Bullet1"/>
        <w:numPr>
          <w:ilvl w:val="0"/>
          <w:numId w:val="44"/>
        </w:numPr>
        <w:spacing w:line="240" w:lineRule="auto"/>
        <w:ind w:left="714" w:hanging="357"/>
        <w:rPr>
          <w:sz w:val="16"/>
          <w:szCs w:val="16"/>
        </w:rPr>
      </w:pPr>
      <w:proofErr w:type="gramStart"/>
      <w:r w:rsidRPr="00B249A4">
        <w:rPr>
          <w:sz w:val="16"/>
          <w:szCs w:val="16"/>
        </w:rPr>
        <w:t>apart</w:t>
      </w:r>
      <w:proofErr w:type="gramEnd"/>
      <w:r w:rsidRPr="00B249A4">
        <w:rPr>
          <w:sz w:val="16"/>
          <w:szCs w:val="16"/>
        </w:rPr>
        <w:t xml:space="preserve"> from gloves, personal protective equipment was not regarded as a reliable risk management approach for non-professional residential users. This was due to concerns regarding compliance</w:t>
      </w:r>
    </w:p>
    <w:p w14:paraId="36973584" w14:textId="77777777" w:rsidR="006B4FEC" w:rsidRPr="00B249A4" w:rsidRDefault="006B4FEC" w:rsidP="006B4FEC">
      <w:pPr>
        <w:pStyle w:val="Bullet1"/>
        <w:numPr>
          <w:ilvl w:val="0"/>
          <w:numId w:val="44"/>
        </w:numPr>
        <w:spacing w:line="240" w:lineRule="auto"/>
        <w:ind w:left="714" w:hanging="357"/>
        <w:rPr>
          <w:sz w:val="16"/>
          <w:szCs w:val="16"/>
        </w:rPr>
      </w:pPr>
      <w:proofErr w:type="gramStart"/>
      <w:r w:rsidRPr="00B249A4">
        <w:rPr>
          <w:sz w:val="16"/>
          <w:szCs w:val="16"/>
        </w:rPr>
        <w:t>post-application</w:t>
      </w:r>
      <w:proofErr w:type="gramEnd"/>
      <w:r w:rsidRPr="00B249A4">
        <w:rPr>
          <w:sz w:val="16"/>
          <w:szCs w:val="16"/>
        </w:rPr>
        <w:t xml:space="preserve"> re-entry intervals were not regarded as a reliable risk management approach for non-professional residential users due to concerns regarding compliance. Re-entry was assumed to occur on day 0 following application and drying of the applied material</w:t>
      </w:r>
    </w:p>
    <w:p w14:paraId="61ECCCB0" w14:textId="77777777" w:rsidR="006B4FEC" w:rsidRPr="00B249A4" w:rsidRDefault="006B4FEC" w:rsidP="006B4FEC">
      <w:pPr>
        <w:pStyle w:val="Bullet1"/>
        <w:numPr>
          <w:ilvl w:val="0"/>
          <w:numId w:val="44"/>
        </w:numPr>
        <w:spacing w:line="240" w:lineRule="auto"/>
        <w:ind w:left="714" w:hanging="357"/>
        <w:rPr>
          <w:sz w:val="16"/>
          <w:szCs w:val="16"/>
        </w:rPr>
      </w:pPr>
      <w:proofErr w:type="spellStart"/>
      <w:r w:rsidRPr="00B249A4">
        <w:rPr>
          <w:sz w:val="16"/>
          <w:szCs w:val="16"/>
        </w:rPr>
        <w:t>chlorpyrifos</w:t>
      </w:r>
      <w:proofErr w:type="spellEnd"/>
      <w:r w:rsidRPr="00B249A4">
        <w:rPr>
          <w:sz w:val="16"/>
          <w:szCs w:val="16"/>
        </w:rPr>
        <w:t xml:space="preserve"> was only applied by people aged 16 years or older (regarded as adults)</w:t>
      </w:r>
    </w:p>
    <w:p w14:paraId="54755D91" w14:textId="77777777" w:rsidR="006B4FEC" w:rsidRPr="00B249A4" w:rsidRDefault="006B4FEC" w:rsidP="006B4FEC">
      <w:pPr>
        <w:pStyle w:val="Bullet1"/>
        <w:numPr>
          <w:ilvl w:val="0"/>
          <w:numId w:val="44"/>
        </w:numPr>
        <w:spacing w:line="240" w:lineRule="auto"/>
        <w:ind w:left="714" w:hanging="357"/>
        <w:rPr>
          <w:sz w:val="16"/>
          <w:szCs w:val="16"/>
        </w:rPr>
      </w:pPr>
      <w:r w:rsidRPr="00B249A4">
        <w:rPr>
          <w:sz w:val="16"/>
          <w:szCs w:val="16"/>
        </w:rPr>
        <w:t xml:space="preserve">consistent with APVMA’s current data on </w:t>
      </w:r>
      <w:proofErr w:type="spellStart"/>
      <w:r w:rsidRPr="00B249A4">
        <w:rPr>
          <w:sz w:val="16"/>
          <w:szCs w:val="16"/>
        </w:rPr>
        <w:t>chlorpyrifos</w:t>
      </w:r>
      <w:proofErr w:type="spellEnd"/>
      <w:r w:rsidRPr="00B249A4">
        <w:rPr>
          <w:sz w:val="16"/>
          <w:szCs w:val="16"/>
        </w:rPr>
        <w:t xml:space="preserve"> use in Australia, the evaluations also assumed that 100 per cent closed systems were not used during the mixing and loading processes</w:t>
      </w:r>
    </w:p>
    <w:p w14:paraId="35937784" w14:textId="77777777" w:rsidR="006B4FEC" w:rsidRPr="00B249A4" w:rsidRDefault="006B4FEC" w:rsidP="006B4FEC">
      <w:pPr>
        <w:pStyle w:val="Bullet1"/>
        <w:numPr>
          <w:ilvl w:val="0"/>
          <w:numId w:val="44"/>
        </w:numPr>
        <w:spacing w:line="240" w:lineRule="auto"/>
        <w:ind w:left="714" w:hanging="357"/>
        <w:rPr>
          <w:sz w:val="16"/>
          <w:szCs w:val="16"/>
        </w:rPr>
      </w:pPr>
      <w:r w:rsidRPr="00B249A4">
        <w:rPr>
          <w:sz w:val="16"/>
          <w:szCs w:val="16"/>
        </w:rPr>
        <w:t xml:space="preserve">the exposure assessments and risk characterisations assumed that there were no concurrent co-exposures to other anticholinesterase products (the effects of which are likely to be at least additive to those of </w:t>
      </w:r>
      <w:proofErr w:type="spellStart"/>
      <w:r w:rsidRPr="00B249A4">
        <w:rPr>
          <w:sz w:val="16"/>
          <w:szCs w:val="16"/>
        </w:rPr>
        <w:t>chlorpyrifos</w:t>
      </w:r>
      <w:proofErr w:type="spellEnd"/>
      <w:r w:rsidRPr="00B249A4">
        <w:rPr>
          <w:sz w:val="16"/>
          <w:szCs w:val="16"/>
        </w:rPr>
        <w:t xml:space="preserve"> due to their common mode of action)</w:t>
      </w:r>
    </w:p>
    <w:p w14:paraId="755CD5BF" w14:textId="77777777" w:rsidR="006B4FEC" w:rsidRPr="00B249A4" w:rsidRDefault="006B4FEC" w:rsidP="006B4FEC">
      <w:pPr>
        <w:pStyle w:val="Bullet1"/>
        <w:numPr>
          <w:ilvl w:val="0"/>
          <w:numId w:val="44"/>
        </w:numPr>
        <w:spacing w:line="240" w:lineRule="auto"/>
        <w:ind w:left="714" w:hanging="357"/>
        <w:rPr>
          <w:sz w:val="16"/>
          <w:szCs w:val="16"/>
        </w:rPr>
      </w:pPr>
      <w:proofErr w:type="gramStart"/>
      <w:r w:rsidRPr="00B249A4">
        <w:rPr>
          <w:sz w:val="16"/>
          <w:szCs w:val="16"/>
        </w:rPr>
        <w:t>the</w:t>
      </w:r>
      <w:proofErr w:type="gramEnd"/>
      <w:r w:rsidRPr="00B249A4">
        <w:rPr>
          <w:sz w:val="16"/>
          <w:szCs w:val="16"/>
        </w:rPr>
        <w:t xml:space="preserve"> exposure assessments and risk characterisations assumed that there will only one single use type per operator per occasional application instance.</w:t>
      </w:r>
    </w:p>
    <w:p w14:paraId="0580F594" w14:textId="77777777" w:rsidR="006B4FEC" w:rsidRDefault="006B4FEC" w:rsidP="003C69F4">
      <w:pPr>
        <w:pStyle w:val="NumberLevel1"/>
        <w:ind w:firstLine="0"/>
      </w:pPr>
      <w:r>
        <w:t>As stated above, I consider these assumptions to be reasonable.</w:t>
      </w:r>
    </w:p>
    <w:p w14:paraId="3F59E58A" w14:textId="550319DA" w:rsidR="006B4FEC" w:rsidRDefault="006B4FEC" w:rsidP="003C69F4">
      <w:pPr>
        <w:pStyle w:val="NumberLevel1"/>
        <w:ind w:left="709"/>
      </w:pPr>
      <w:r>
        <w:t xml:space="preserve">In the </w:t>
      </w:r>
      <w:r w:rsidRPr="006B0F89">
        <w:t>Exposure assessment and risk characterisation report (2019)</w:t>
      </w:r>
      <w:r>
        <w:t xml:space="preserve">, the Principal Toxicologist stated that this scenario was modelled using the </w:t>
      </w:r>
      <w:r w:rsidRPr="00D43E66">
        <w:t>US EPA Occupational Pesticide Handler Exposure Calculator (</w:t>
      </w:r>
      <w:r w:rsidRPr="00D43E66">
        <w:rPr>
          <w:b/>
        </w:rPr>
        <w:t>OPHEC</w:t>
      </w:r>
      <w:r w:rsidRPr="00D43E66">
        <w:t>; version date: June 2018)</w:t>
      </w:r>
      <w:r>
        <w:t xml:space="preserve">, with re-entry exposure modelling conducted using the APVMA Toddler on Turf model. The APVMA Toddler on Turf model is set out at </w:t>
      </w:r>
      <w:r>
        <w:rPr>
          <w:b/>
        </w:rPr>
        <w:t xml:space="preserve">Annexure </w:t>
      </w:r>
      <w:r w:rsidR="001B5D53">
        <w:rPr>
          <w:b/>
        </w:rPr>
        <w:t>B</w:t>
      </w:r>
      <w:r>
        <w:rPr>
          <w:b/>
        </w:rPr>
        <w:t xml:space="preserve"> </w:t>
      </w:r>
      <w:r>
        <w:t>to this statement of reasons.</w:t>
      </w:r>
      <w:r>
        <w:rPr>
          <w:rStyle w:val="FootnoteReference"/>
        </w:rPr>
        <w:footnoteReference w:id="31"/>
      </w:r>
    </w:p>
    <w:p w14:paraId="76C7B080" w14:textId="4ED9C779" w:rsidR="006B4FEC" w:rsidRDefault="006B4FEC" w:rsidP="003C69F4">
      <w:pPr>
        <w:pStyle w:val="NumberLevel1"/>
        <w:ind w:left="709"/>
      </w:pPr>
      <w:r>
        <w:t xml:space="preserve">Based on the outcomes of the exposure assessments and risk characterisations, in the </w:t>
      </w:r>
      <w:r w:rsidRPr="006B0F89">
        <w:t>Exposure assessment and risk characterisation report (2019)</w:t>
      </w:r>
      <w:r>
        <w:t xml:space="preserve"> the Principal Toxicologist concluded that there are </w:t>
      </w:r>
      <w:r>
        <w:lastRenderedPageBreak/>
        <w:t>no acceptable residential (non</w:t>
      </w:r>
      <w:r>
        <w:noBreakHyphen/>
        <w:t xml:space="preserve">professional) </w:t>
      </w:r>
      <w:proofErr w:type="spellStart"/>
      <w:r>
        <w:t>chlorpyrifos</w:t>
      </w:r>
      <w:proofErr w:type="spellEnd"/>
      <w:r>
        <w:t xml:space="preserve"> uses, in most cases due to the risks associated with access to </w:t>
      </w:r>
      <w:proofErr w:type="spellStart"/>
      <w:r>
        <w:t>chlorpyrifos</w:t>
      </w:r>
      <w:proofErr w:type="spellEnd"/>
      <w:r>
        <w:t xml:space="preserve"> treated areas by children.</w:t>
      </w:r>
      <w:r>
        <w:rPr>
          <w:rStyle w:val="FootnoteReference"/>
        </w:rPr>
        <w:footnoteReference w:id="32"/>
      </w:r>
    </w:p>
    <w:p w14:paraId="65CB28BE" w14:textId="77777777" w:rsidR="006B4FEC" w:rsidRDefault="006B4FEC" w:rsidP="003C69F4">
      <w:pPr>
        <w:pStyle w:val="NumberLevel1"/>
        <w:ind w:left="709"/>
      </w:pPr>
      <w:r>
        <w:t xml:space="preserve">I accept the Principal Toxicologist’s analysis, and I find that the use of the products by non-professionals in child-accessible residential settings is likely to lead to exposure to </w:t>
      </w:r>
      <w:proofErr w:type="spellStart"/>
      <w:r>
        <w:t>chlorpyrifos</w:t>
      </w:r>
      <w:proofErr w:type="spellEnd"/>
      <w:r>
        <w:t xml:space="preserve"> at levels that exceed the acute reference dose. </w:t>
      </w:r>
    </w:p>
    <w:p w14:paraId="3DE6DFCF" w14:textId="77777777" w:rsidR="006B4FEC" w:rsidRPr="00FD15F5" w:rsidRDefault="006B4FEC" w:rsidP="006B4FEC">
      <w:pPr>
        <w:pStyle w:val="Heading6"/>
        <w:numPr>
          <w:ilvl w:val="0"/>
          <w:numId w:val="40"/>
        </w:numPr>
        <w:spacing w:line="280" w:lineRule="atLeast"/>
        <w:rPr>
          <w:rFonts w:ascii="Arial" w:eastAsiaTheme="minorEastAsia" w:hAnsi="Arial" w:cstheme="minorBidi"/>
          <w:b w:val="0"/>
          <w:i/>
          <w:caps/>
          <w:lang w:eastAsia="en-AU"/>
        </w:rPr>
      </w:pPr>
      <w:r w:rsidRPr="00FD15F5">
        <w:rPr>
          <w:rFonts w:ascii="Arial" w:eastAsiaTheme="minorEastAsia" w:hAnsi="Arial" w:cstheme="minorBidi"/>
          <w:b w:val="0"/>
          <w:i/>
          <w:lang w:eastAsia="en-AU"/>
        </w:rPr>
        <w:t>Overall conclusions of the Exposure assessments</w:t>
      </w:r>
    </w:p>
    <w:p w14:paraId="5D24D96C" w14:textId="77777777" w:rsidR="006B4FEC" w:rsidRDefault="006B4FEC" w:rsidP="003C69F4">
      <w:pPr>
        <w:pStyle w:val="NumberLevel1"/>
        <w:ind w:left="709"/>
      </w:pPr>
      <w:r>
        <w:t xml:space="preserve">The overall conclusions of the </w:t>
      </w:r>
      <w:r w:rsidRPr="00801836">
        <w:t>Exposure assessment and risk characterisation report (2019)</w:t>
      </w:r>
      <w:r>
        <w:t>, were as follows:</w:t>
      </w:r>
    </w:p>
    <w:p w14:paraId="69B5DA2D" w14:textId="77777777" w:rsidR="006B4FEC" w:rsidRPr="003D105D" w:rsidRDefault="006B4FEC" w:rsidP="006B4FEC">
      <w:pPr>
        <w:pStyle w:val="Bullet1"/>
        <w:numPr>
          <w:ilvl w:val="0"/>
          <w:numId w:val="0"/>
        </w:numPr>
        <w:spacing w:line="240" w:lineRule="auto"/>
        <w:rPr>
          <w:sz w:val="16"/>
          <w:szCs w:val="16"/>
        </w:rPr>
      </w:pPr>
      <w:r w:rsidRPr="003D105D">
        <w:rPr>
          <w:sz w:val="16"/>
          <w:szCs w:val="16"/>
        </w:rPr>
        <w:t xml:space="preserve">Based on the criteria stipulated in section 5A of the </w:t>
      </w:r>
      <w:r w:rsidRPr="003D105D">
        <w:rPr>
          <w:i/>
          <w:sz w:val="16"/>
          <w:szCs w:val="16"/>
        </w:rPr>
        <w:t>Agricultural and Veterinary Chemicals Code Act 1994</w:t>
      </w:r>
      <w:r w:rsidRPr="003D105D">
        <w:rPr>
          <w:sz w:val="16"/>
          <w:szCs w:val="16"/>
        </w:rPr>
        <w:t xml:space="preserve">, the key overall outcome of the exposure assessments and risk characterisations (based on the data currently available to APVMA) is that there were no acceptable child-accessible domestic, residential and public space </w:t>
      </w:r>
      <w:proofErr w:type="spellStart"/>
      <w:r w:rsidRPr="003D105D">
        <w:rPr>
          <w:sz w:val="16"/>
          <w:szCs w:val="16"/>
        </w:rPr>
        <w:t>chlorpyrifos</w:t>
      </w:r>
      <w:proofErr w:type="spellEnd"/>
      <w:r w:rsidRPr="003D105D">
        <w:rPr>
          <w:sz w:val="16"/>
          <w:szCs w:val="16"/>
        </w:rPr>
        <w:t xml:space="preserve"> uses. Accordingly the following domestic, residential and public spaces uses of </w:t>
      </w:r>
      <w:proofErr w:type="spellStart"/>
      <w:r w:rsidRPr="003D105D">
        <w:rPr>
          <w:sz w:val="16"/>
          <w:szCs w:val="16"/>
        </w:rPr>
        <w:t>chlorpyrifos</w:t>
      </w:r>
      <w:proofErr w:type="spellEnd"/>
      <w:r w:rsidRPr="003D105D">
        <w:rPr>
          <w:sz w:val="16"/>
          <w:szCs w:val="16"/>
        </w:rPr>
        <w:t xml:space="preserve"> should be discontinued:</w:t>
      </w:r>
    </w:p>
    <w:p w14:paraId="007FD74E" w14:textId="77777777" w:rsidR="006B4FEC" w:rsidRPr="003D105D" w:rsidRDefault="006B4FEC" w:rsidP="006B4FEC">
      <w:pPr>
        <w:pStyle w:val="Bullet1"/>
        <w:numPr>
          <w:ilvl w:val="0"/>
          <w:numId w:val="44"/>
        </w:numPr>
        <w:spacing w:line="240" w:lineRule="auto"/>
        <w:ind w:left="714" w:hanging="357"/>
        <w:rPr>
          <w:sz w:val="16"/>
          <w:szCs w:val="16"/>
        </w:rPr>
      </w:pPr>
      <w:r w:rsidRPr="003D105D">
        <w:rPr>
          <w:sz w:val="16"/>
          <w:szCs w:val="16"/>
        </w:rPr>
        <w:t>container plants</w:t>
      </w:r>
    </w:p>
    <w:p w14:paraId="43736E7A" w14:textId="77777777" w:rsidR="006B4FEC" w:rsidRPr="003D105D" w:rsidRDefault="006B4FEC" w:rsidP="006B4FEC">
      <w:pPr>
        <w:pStyle w:val="Bullet1"/>
        <w:numPr>
          <w:ilvl w:val="0"/>
          <w:numId w:val="44"/>
        </w:numPr>
        <w:spacing w:line="240" w:lineRule="auto"/>
        <w:ind w:left="714" w:hanging="357"/>
        <w:rPr>
          <w:sz w:val="16"/>
          <w:szCs w:val="16"/>
        </w:rPr>
      </w:pPr>
      <w:r w:rsidRPr="003D105D">
        <w:rPr>
          <w:sz w:val="16"/>
          <w:szCs w:val="16"/>
        </w:rPr>
        <w:t>domestic areas</w:t>
      </w:r>
    </w:p>
    <w:p w14:paraId="3E621F6E" w14:textId="77777777" w:rsidR="006B4FEC" w:rsidRPr="003D105D" w:rsidRDefault="006B4FEC" w:rsidP="006B4FEC">
      <w:pPr>
        <w:pStyle w:val="Bullet1"/>
        <w:numPr>
          <w:ilvl w:val="0"/>
          <w:numId w:val="44"/>
        </w:numPr>
        <w:spacing w:line="240" w:lineRule="auto"/>
        <w:ind w:left="714" w:hanging="357"/>
        <w:rPr>
          <w:sz w:val="16"/>
          <w:szCs w:val="16"/>
        </w:rPr>
      </w:pPr>
      <w:r w:rsidRPr="003D105D">
        <w:rPr>
          <w:sz w:val="16"/>
          <w:szCs w:val="16"/>
        </w:rPr>
        <w:t>domestic uses</w:t>
      </w:r>
    </w:p>
    <w:p w14:paraId="555C8D7C" w14:textId="77777777" w:rsidR="006B4FEC" w:rsidRPr="003D105D" w:rsidRDefault="006B4FEC" w:rsidP="006B4FEC">
      <w:pPr>
        <w:pStyle w:val="Bullet1"/>
        <w:numPr>
          <w:ilvl w:val="0"/>
          <w:numId w:val="44"/>
        </w:numPr>
        <w:spacing w:line="240" w:lineRule="auto"/>
        <w:ind w:left="714" w:hanging="357"/>
        <w:rPr>
          <w:sz w:val="16"/>
          <w:szCs w:val="16"/>
        </w:rPr>
      </w:pPr>
      <w:proofErr w:type="spellStart"/>
      <w:r w:rsidRPr="003D105D">
        <w:rPr>
          <w:sz w:val="16"/>
          <w:szCs w:val="16"/>
        </w:rPr>
        <w:t>duboisia</w:t>
      </w:r>
      <w:proofErr w:type="spellEnd"/>
      <w:r w:rsidRPr="003D105D">
        <w:rPr>
          <w:sz w:val="16"/>
          <w:szCs w:val="16"/>
        </w:rPr>
        <w:t xml:space="preserve"> (in domestic and public space uses)</w:t>
      </w:r>
    </w:p>
    <w:p w14:paraId="5AACB5AC" w14:textId="77777777" w:rsidR="006B4FEC" w:rsidRPr="003D105D" w:rsidRDefault="006B4FEC" w:rsidP="006B4FEC">
      <w:pPr>
        <w:pStyle w:val="Bullet1"/>
        <w:numPr>
          <w:ilvl w:val="0"/>
          <w:numId w:val="44"/>
        </w:numPr>
        <w:spacing w:line="240" w:lineRule="auto"/>
        <w:ind w:left="714" w:hanging="357"/>
        <w:rPr>
          <w:sz w:val="16"/>
          <w:szCs w:val="16"/>
        </w:rPr>
      </w:pPr>
      <w:r w:rsidRPr="003D105D">
        <w:rPr>
          <w:sz w:val="16"/>
          <w:szCs w:val="16"/>
        </w:rPr>
        <w:t>exterior or outdoor areas of domestic buildings</w:t>
      </w:r>
    </w:p>
    <w:p w14:paraId="2EC26958" w14:textId="77777777" w:rsidR="006B4FEC" w:rsidRPr="003D105D" w:rsidRDefault="006B4FEC" w:rsidP="006B4FEC">
      <w:pPr>
        <w:pStyle w:val="Bullet1"/>
        <w:numPr>
          <w:ilvl w:val="0"/>
          <w:numId w:val="44"/>
        </w:numPr>
        <w:spacing w:line="240" w:lineRule="auto"/>
        <w:ind w:left="714" w:hanging="357"/>
        <w:rPr>
          <w:sz w:val="16"/>
          <w:szCs w:val="16"/>
        </w:rPr>
      </w:pPr>
      <w:r w:rsidRPr="003D105D">
        <w:rPr>
          <w:sz w:val="16"/>
          <w:szCs w:val="16"/>
        </w:rPr>
        <w:t>fences</w:t>
      </w:r>
    </w:p>
    <w:p w14:paraId="735010FC" w14:textId="77777777" w:rsidR="006B4FEC" w:rsidRPr="003D105D" w:rsidRDefault="006B4FEC" w:rsidP="006B4FEC">
      <w:pPr>
        <w:pStyle w:val="Bullet1"/>
        <w:numPr>
          <w:ilvl w:val="0"/>
          <w:numId w:val="44"/>
        </w:numPr>
        <w:spacing w:line="240" w:lineRule="auto"/>
        <w:ind w:left="714" w:hanging="357"/>
        <w:rPr>
          <w:sz w:val="16"/>
          <w:szCs w:val="16"/>
        </w:rPr>
      </w:pPr>
      <w:r w:rsidRPr="003D105D">
        <w:rPr>
          <w:sz w:val="16"/>
          <w:szCs w:val="16"/>
        </w:rPr>
        <w:t>garden beds</w:t>
      </w:r>
    </w:p>
    <w:p w14:paraId="61A88057" w14:textId="77777777" w:rsidR="006B4FEC" w:rsidRPr="003D105D" w:rsidRDefault="006B4FEC" w:rsidP="006B4FEC">
      <w:pPr>
        <w:pStyle w:val="Bullet1"/>
        <w:numPr>
          <w:ilvl w:val="0"/>
          <w:numId w:val="44"/>
        </w:numPr>
        <w:spacing w:line="240" w:lineRule="auto"/>
        <w:ind w:left="714" w:hanging="357"/>
        <w:rPr>
          <w:sz w:val="16"/>
          <w:szCs w:val="16"/>
        </w:rPr>
      </w:pPr>
      <w:r w:rsidRPr="003D105D">
        <w:rPr>
          <w:sz w:val="16"/>
          <w:szCs w:val="16"/>
        </w:rPr>
        <w:t>garden paths</w:t>
      </w:r>
    </w:p>
    <w:p w14:paraId="18507FEC" w14:textId="77777777" w:rsidR="006B4FEC" w:rsidRPr="003D105D" w:rsidRDefault="006B4FEC" w:rsidP="006B4FEC">
      <w:pPr>
        <w:pStyle w:val="Bullet1"/>
        <w:numPr>
          <w:ilvl w:val="0"/>
          <w:numId w:val="44"/>
        </w:numPr>
        <w:spacing w:line="240" w:lineRule="auto"/>
        <w:ind w:left="714" w:hanging="357"/>
        <w:rPr>
          <w:sz w:val="16"/>
          <w:szCs w:val="16"/>
        </w:rPr>
      </w:pPr>
      <w:r w:rsidRPr="003D105D">
        <w:rPr>
          <w:sz w:val="16"/>
          <w:szCs w:val="16"/>
        </w:rPr>
        <w:t>gardens</w:t>
      </w:r>
    </w:p>
    <w:p w14:paraId="63482CF1" w14:textId="77777777" w:rsidR="006B4FEC" w:rsidRPr="003D105D" w:rsidRDefault="006B4FEC" w:rsidP="006B4FEC">
      <w:pPr>
        <w:pStyle w:val="Bullet1"/>
        <w:numPr>
          <w:ilvl w:val="0"/>
          <w:numId w:val="44"/>
        </w:numPr>
        <w:spacing w:line="240" w:lineRule="auto"/>
        <w:ind w:left="714" w:hanging="357"/>
        <w:rPr>
          <w:sz w:val="16"/>
          <w:szCs w:val="16"/>
        </w:rPr>
      </w:pPr>
      <w:r w:rsidRPr="003D105D">
        <w:rPr>
          <w:sz w:val="16"/>
          <w:szCs w:val="16"/>
        </w:rPr>
        <w:t>in and around houses and domestic buildings</w:t>
      </w:r>
    </w:p>
    <w:p w14:paraId="62F0F9D5" w14:textId="77777777" w:rsidR="006B4FEC" w:rsidRPr="003D105D" w:rsidRDefault="006B4FEC" w:rsidP="006B4FEC">
      <w:pPr>
        <w:pStyle w:val="Bullet1"/>
        <w:numPr>
          <w:ilvl w:val="0"/>
          <w:numId w:val="44"/>
        </w:numPr>
        <w:spacing w:line="240" w:lineRule="auto"/>
        <w:ind w:left="714" w:hanging="357"/>
        <w:rPr>
          <w:sz w:val="16"/>
          <w:szCs w:val="16"/>
        </w:rPr>
      </w:pPr>
      <w:r w:rsidRPr="003D105D">
        <w:rPr>
          <w:sz w:val="16"/>
          <w:szCs w:val="16"/>
        </w:rPr>
        <w:t>macrocarpa hedges (in domestic and public space uses)</w:t>
      </w:r>
    </w:p>
    <w:p w14:paraId="51AD49E1" w14:textId="77777777" w:rsidR="006B4FEC" w:rsidRPr="003D105D" w:rsidRDefault="006B4FEC" w:rsidP="006B4FEC">
      <w:pPr>
        <w:pStyle w:val="Bullet1"/>
        <w:numPr>
          <w:ilvl w:val="0"/>
          <w:numId w:val="44"/>
        </w:numPr>
        <w:spacing w:line="240" w:lineRule="auto"/>
        <w:ind w:left="714" w:hanging="357"/>
        <w:rPr>
          <w:sz w:val="16"/>
          <w:szCs w:val="16"/>
        </w:rPr>
      </w:pPr>
      <w:r w:rsidRPr="003D105D">
        <w:rPr>
          <w:sz w:val="16"/>
          <w:szCs w:val="16"/>
        </w:rPr>
        <w:t>potted ornamentals and other potted plants</w:t>
      </w:r>
    </w:p>
    <w:p w14:paraId="7FF80CFC" w14:textId="77777777" w:rsidR="006B4FEC" w:rsidRPr="003D105D" w:rsidRDefault="006B4FEC" w:rsidP="006B4FEC">
      <w:pPr>
        <w:pStyle w:val="Bullet1"/>
        <w:numPr>
          <w:ilvl w:val="0"/>
          <w:numId w:val="44"/>
        </w:numPr>
        <w:spacing w:line="240" w:lineRule="auto"/>
        <w:ind w:left="714" w:hanging="357"/>
        <w:rPr>
          <w:sz w:val="16"/>
          <w:szCs w:val="16"/>
        </w:rPr>
      </w:pPr>
      <w:r w:rsidRPr="003D105D">
        <w:rPr>
          <w:sz w:val="16"/>
          <w:szCs w:val="16"/>
        </w:rPr>
        <w:t>public places</w:t>
      </w:r>
    </w:p>
    <w:p w14:paraId="6A170DFD" w14:textId="77777777" w:rsidR="006B4FEC" w:rsidRPr="003D105D" w:rsidRDefault="006B4FEC" w:rsidP="006B4FEC">
      <w:pPr>
        <w:pStyle w:val="Bullet1"/>
        <w:numPr>
          <w:ilvl w:val="0"/>
          <w:numId w:val="44"/>
        </w:numPr>
        <w:spacing w:line="240" w:lineRule="auto"/>
        <w:ind w:left="714" w:hanging="357"/>
        <w:rPr>
          <w:sz w:val="16"/>
          <w:szCs w:val="16"/>
        </w:rPr>
      </w:pPr>
      <w:r w:rsidRPr="003D105D">
        <w:rPr>
          <w:sz w:val="16"/>
          <w:szCs w:val="16"/>
        </w:rPr>
        <w:t>public service areas</w:t>
      </w:r>
    </w:p>
    <w:p w14:paraId="1180993A" w14:textId="77777777" w:rsidR="006B4FEC" w:rsidRPr="003D105D" w:rsidRDefault="006B4FEC" w:rsidP="006B4FEC">
      <w:pPr>
        <w:pStyle w:val="Bullet1"/>
        <w:numPr>
          <w:ilvl w:val="0"/>
          <w:numId w:val="44"/>
        </w:numPr>
        <w:spacing w:line="240" w:lineRule="auto"/>
        <w:ind w:left="714" w:hanging="357"/>
        <w:rPr>
          <w:sz w:val="16"/>
          <w:szCs w:val="16"/>
        </w:rPr>
      </w:pPr>
      <w:r w:rsidRPr="003D105D">
        <w:rPr>
          <w:sz w:val="16"/>
          <w:szCs w:val="16"/>
        </w:rPr>
        <w:t>rockeries</w:t>
      </w:r>
    </w:p>
    <w:p w14:paraId="0D82F248" w14:textId="77777777" w:rsidR="006B4FEC" w:rsidRPr="003D105D" w:rsidRDefault="006B4FEC" w:rsidP="006B4FEC">
      <w:pPr>
        <w:pStyle w:val="Bullet1"/>
        <w:numPr>
          <w:ilvl w:val="0"/>
          <w:numId w:val="44"/>
        </w:numPr>
        <w:spacing w:line="240" w:lineRule="auto"/>
        <w:ind w:left="714" w:hanging="357"/>
        <w:rPr>
          <w:sz w:val="16"/>
          <w:szCs w:val="16"/>
        </w:rPr>
      </w:pPr>
      <w:r w:rsidRPr="003D105D">
        <w:rPr>
          <w:sz w:val="16"/>
          <w:szCs w:val="16"/>
        </w:rPr>
        <w:t>tennis courts</w:t>
      </w:r>
    </w:p>
    <w:p w14:paraId="73956E13" w14:textId="77777777" w:rsidR="006B4FEC" w:rsidRPr="003D105D" w:rsidRDefault="006B4FEC" w:rsidP="006B4FEC">
      <w:pPr>
        <w:pStyle w:val="Bullet1"/>
        <w:numPr>
          <w:ilvl w:val="0"/>
          <w:numId w:val="44"/>
        </w:numPr>
        <w:spacing w:line="240" w:lineRule="auto"/>
        <w:ind w:left="714" w:hanging="357"/>
        <w:rPr>
          <w:sz w:val="16"/>
          <w:szCs w:val="16"/>
        </w:rPr>
      </w:pPr>
      <w:r w:rsidRPr="003D105D">
        <w:rPr>
          <w:sz w:val="16"/>
          <w:szCs w:val="16"/>
        </w:rPr>
        <w:t>uses on turf and/or lawns to which children have access</w:t>
      </w:r>
    </w:p>
    <w:p w14:paraId="46ACB867" w14:textId="77777777" w:rsidR="006B4FEC" w:rsidRPr="003D105D" w:rsidRDefault="006B4FEC" w:rsidP="006B4FEC">
      <w:pPr>
        <w:pStyle w:val="Bullet1"/>
        <w:numPr>
          <w:ilvl w:val="0"/>
          <w:numId w:val="44"/>
        </w:numPr>
        <w:spacing w:line="240" w:lineRule="auto"/>
        <w:ind w:left="714" w:hanging="357"/>
        <w:rPr>
          <w:sz w:val="16"/>
          <w:szCs w:val="16"/>
        </w:rPr>
      </w:pPr>
      <w:proofErr w:type="gramStart"/>
      <w:r w:rsidRPr="003D105D">
        <w:rPr>
          <w:sz w:val="16"/>
          <w:szCs w:val="16"/>
        </w:rPr>
        <w:t>mosquito</w:t>
      </w:r>
      <w:proofErr w:type="gramEnd"/>
      <w:r w:rsidRPr="003D105D">
        <w:rPr>
          <w:sz w:val="16"/>
          <w:szCs w:val="16"/>
        </w:rPr>
        <w:t xml:space="preserve"> adult/larvae control in vegetation.</w:t>
      </w:r>
    </w:p>
    <w:p w14:paraId="6B2B17AA" w14:textId="77777777" w:rsidR="006B4FEC" w:rsidRPr="003D105D" w:rsidRDefault="006B4FEC" w:rsidP="006B4FEC">
      <w:pPr>
        <w:pStyle w:val="Bullet1"/>
        <w:numPr>
          <w:ilvl w:val="0"/>
          <w:numId w:val="0"/>
        </w:numPr>
        <w:spacing w:line="240" w:lineRule="auto"/>
        <w:rPr>
          <w:sz w:val="16"/>
          <w:szCs w:val="16"/>
        </w:rPr>
      </w:pPr>
      <w:r w:rsidRPr="003D105D">
        <w:rPr>
          <w:sz w:val="16"/>
          <w:szCs w:val="16"/>
        </w:rPr>
        <w:t xml:space="preserve">The practical application of the above conclusions means that all home garden and domestic pest-control products containing ≤ 50 g/kg or L </w:t>
      </w:r>
      <w:proofErr w:type="spellStart"/>
      <w:r w:rsidRPr="003D105D">
        <w:rPr>
          <w:sz w:val="16"/>
          <w:szCs w:val="16"/>
        </w:rPr>
        <w:t>chlorpyrifos</w:t>
      </w:r>
      <w:proofErr w:type="spellEnd"/>
      <w:r w:rsidRPr="003D105D">
        <w:rPr>
          <w:sz w:val="16"/>
          <w:szCs w:val="16"/>
        </w:rPr>
        <w:t xml:space="preserve">; and products with domestic and certain non-agricultural uses (that are mentioned above) containing &gt; 50 g/kg or L </w:t>
      </w:r>
      <w:proofErr w:type="spellStart"/>
      <w:r w:rsidRPr="003D105D">
        <w:rPr>
          <w:sz w:val="16"/>
          <w:szCs w:val="16"/>
        </w:rPr>
        <w:t>chlorpyrifos</w:t>
      </w:r>
      <w:proofErr w:type="spellEnd"/>
      <w:r w:rsidRPr="003D105D">
        <w:rPr>
          <w:sz w:val="16"/>
          <w:szCs w:val="16"/>
        </w:rPr>
        <w:t xml:space="preserve"> are not supported.</w:t>
      </w:r>
    </w:p>
    <w:p w14:paraId="6F37C333" w14:textId="77777777" w:rsidR="006B4FEC" w:rsidRPr="003D105D" w:rsidRDefault="006B4FEC" w:rsidP="006B4FEC">
      <w:pPr>
        <w:pStyle w:val="Bullet1"/>
        <w:numPr>
          <w:ilvl w:val="0"/>
          <w:numId w:val="0"/>
        </w:numPr>
        <w:spacing w:line="240" w:lineRule="auto"/>
        <w:rPr>
          <w:sz w:val="16"/>
          <w:szCs w:val="16"/>
        </w:rPr>
      </w:pPr>
      <w:r w:rsidRPr="003D105D">
        <w:rPr>
          <w:sz w:val="16"/>
          <w:szCs w:val="16"/>
        </w:rPr>
        <w:t xml:space="preserve">The continued use of </w:t>
      </w:r>
      <w:proofErr w:type="spellStart"/>
      <w:r w:rsidRPr="003D105D">
        <w:rPr>
          <w:sz w:val="16"/>
          <w:szCs w:val="16"/>
        </w:rPr>
        <w:t>chlorpyrifos</w:t>
      </w:r>
      <w:proofErr w:type="spellEnd"/>
      <w:r w:rsidRPr="003D105D">
        <w:rPr>
          <w:sz w:val="16"/>
          <w:szCs w:val="16"/>
        </w:rPr>
        <w:t xml:space="preserve"> as a mosquito control agent in non-child accessible domestic, residential and public space water bodies is possible provided that children do not play in or around the treated body of water or swim in the treated body of water. Further exposure assessments and risk characterisations of child-accessible, </w:t>
      </w:r>
      <w:proofErr w:type="spellStart"/>
      <w:r w:rsidRPr="003D105D">
        <w:rPr>
          <w:sz w:val="16"/>
          <w:szCs w:val="16"/>
        </w:rPr>
        <w:t>chlorpyrifos</w:t>
      </w:r>
      <w:proofErr w:type="spellEnd"/>
      <w:r w:rsidRPr="003D105D">
        <w:rPr>
          <w:sz w:val="16"/>
          <w:szCs w:val="16"/>
        </w:rPr>
        <w:t>-treated recreational water bodies are required to ensure adequate public health protection.</w:t>
      </w:r>
    </w:p>
    <w:p w14:paraId="494871D7" w14:textId="74563056" w:rsidR="006B4FEC" w:rsidRDefault="006B4FEC" w:rsidP="003C69F4">
      <w:pPr>
        <w:pStyle w:val="NumberLevel1"/>
        <w:ind w:left="709"/>
      </w:pPr>
      <w:r>
        <w:t xml:space="preserve">I accept with the Principal Toxicologist’s overall conclusions </w:t>
      </w:r>
      <w:r w:rsidRPr="003D105D">
        <w:t>in the Exposure assessment and risk characterisation report (2019)</w:t>
      </w:r>
      <w:r>
        <w:t xml:space="preserve">, and I agree that the following domestic, residential and public spaces uses of </w:t>
      </w:r>
      <w:proofErr w:type="spellStart"/>
      <w:r>
        <w:t>chlo</w:t>
      </w:r>
      <w:r w:rsidR="00A57DA0">
        <w:t>rpyrifos</w:t>
      </w:r>
      <w:proofErr w:type="spellEnd"/>
      <w:r w:rsidR="00A57DA0">
        <w:t xml:space="preserve"> should be discontinued—</w:t>
      </w:r>
      <w:r>
        <w:t xml:space="preserve">container plants, domestic areas, domestic uses, </w:t>
      </w:r>
      <w:proofErr w:type="spellStart"/>
      <w:r>
        <w:t>duboisia</w:t>
      </w:r>
      <w:proofErr w:type="spellEnd"/>
      <w:r>
        <w:t xml:space="preserve"> (in domestic and public space uses), exterior or outdoor areas of domestic buildings, fences, garden beds, garden paths, gardens, in and around houses and domestic buildings, macrocarpa hedges (in domestic and public space uses), potted ornamentals and other potted plants, public </w:t>
      </w:r>
      <w:r>
        <w:lastRenderedPageBreak/>
        <w:t>places, public service areas, rockeries, tennis courts, uses on turf and/or lawns to which children have access and mosquito adult/larvae control in vegetation.</w:t>
      </w:r>
    </w:p>
    <w:p w14:paraId="7B4417C0" w14:textId="77777777" w:rsidR="006B4FEC" w:rsidRPr="00AF4618" w:rsidRDefault="006B4FEC" w:rsidP="003C69F4">
      <w:pPr>
        <w:pStyle w:val="NumberLevel1"/>
        <w:ind w:left="709"/>
      </w:pPr>
      <w:r>
        <w:t>I also accept that t</w:t>
      </w:r>
      <w:r w:rsidRPr="00E453B8">
        <w:t xml:space="preserve">he practical application of the above </w:t>
      </w:r>
      <w:r>
        <w:t xml:space="preserve">findings of the Exposure </w:t>
      </w:r>
      <w:r w:rsidRPr="003D105D">
        <w:t>assessment and risk characterisation</w:t>
      </w:r>
      <w:r>
        <w:t xml:space="preserve"> report</w:t>
      </w:r>
      <w:r w:rsidRPr="00E453B8">
        <w:t xml:space="preserve"> </w:t>
      </w:r>
      <w:r>
        <w:t xml:space="preserve">(2019) </w:t>
      </w:r>
      <w:r w:rsidRPr="00E453B8">
        <w:t xml:space="preserve">means that </w:t>
      </w:r>
      <w:r>
        <w:t>t</w:t>
      </w:r>
      <w:r w:rsidRPr="00AF4618">
        <w:t xml:space="preserve">he continued use of </w:t>
      </w:r>
      <w:proofErr w:type="spellStart"/>
      <w:r w:rsidRPr="00AF4618">
        <w:t>chlorpyrifos</w:t>
      </w:r>
      <w:proofErr w:type="spellEnd"/>
      <w:r w:rsidRPr="00AF4618">
        <w:t xml:space="preserve"> as a mosquito control agent in non-child accessible domestic, residential and public space water bodies is possible provided that children do not play in or around the treated body of water or swim in the treated body of water.</w:t>
      </w:r>
    </w:p>
    <w:p w14:paraId="7E5007FF" w14:textId="77777777" w:rsidR="006B4FEC" w:rsidRPr="00FD15F5" w:rsidRDefault="006B4FEC" w:rsidP="006B4FEC">
      <w:pPr>
        <w:pStyle w:val="Heading6"/>
        <w:numPr>
          <w:ilvl w:val="0"/>
          <w:numId w:val="41"/>
        </w:numPr>
        <w:spacing w:before="360" w:after="0" w:line="280" w:lineRule="atLeast"/>
        <w:ind w:left="714" w:hanging="357"/>
        <w:rPr>
          <w:rFonts w:ascii="Arial" w:eastAsiaTheme="minorEastAsia" w:hAnsi="Arial" w:cstheme="minorBidi"/>
          <w:b w:val="0"/>
          <w:i/>
          <w:caps/>
          <w:lang w:eastAsia="en-AU"/>
        </w:rPr>
      </w:pPr>
      <w:r w:rsidRPr="00FD15F5">
        <w:rPr>
          <w:rFonts w:ascii="Arial" w:eastAsiaTheme="minorEastAsia" w:hAnsi="Arial" w:cstheme="minorBidi"/>
          <w:b w:val="0"/>
          <w:i/>
          <w:lang w:eastAsia="en-AU"/>
        </w:rPr>
        <w:t>Were the risks capable of being mitigated?</w:t>
      </w:r>
    </w:p>
    <w:p w14:paraId="5F4FCD87" w14:textId="77777777" w:rsidR="006B4FEC" w:rsidRDefault="006B4FEC" w:rsidP="003C69F4">
      <w:pPr>
        <w:pStyle w:val="NumberLevel1"/>
        <w:ind w:left="709"/>
      </w:pPr>
      <w:r>
        <w:t xml:space="preserve">In the </w:t>
      </w:r>
      <w:r w:rsidRPr="006B0F89">
        <w:t>Exposure assessment and risk characterisation report (2019)</w:t>
      </w:r>
      <w:r>
        <w:t>, the Principal Toxicologist’s risk assessment considered whether the risks could be alleviated by the use of risk mitigation strategies and concluded that they could not.</w:t>
      </w:r>
      <w:r>
        <w:rPr>
          <w:rStyle w:val="FootnoteReference"/>
        </w:rPr>
        <w:footnoteReference w:id="33"/>
      </w:r>
      <w:r>
        <w:t xml:space="preserve"> For the reasons set out in the following paragraphs, I agree with that conclusion as the strategies are not reliable, practical or enforceable given children have access to the relevant areas.</w:t>
      </w:r>
    </w:p>
    <w:p w14:paraId="138C92AE" w14:textId="77777777" w:rsidR="006B4FEC" w:rsidRDefault="006B4FEC" w:rsidP="003C69F4">
      <w:pPr>
        <w:pStyle w:val="NumberLevel1"/>
        <w:ind w:left="709"/>
      </w:pPr>
      <w:r>
        <w:t>For the sake of completeness, I wish to note why I consider the Principal Toxicologist’s assumptions in relation to the use of additional personal protective equipment (</w:t>
      </w:r>
      <w:r>
        <w:rPr>
          <w:b/>
        </w:rPr>
        <w:t>PPE</w:t>
      </w:r>
      <w:r>
        <w:t>), other than gloves, by non-professionals and re-entry intervals to be highly persuasive.</w:t>
      </w:r>
      <w:r w:rsidRPr="00A961A3">
        <w:t xml:space="preserve"> </w:t>
      </w:r>
      <w:r w:rsidRPr="00B90170">
        <w:t xml:space="preserve">At a theoretical level, mandating </w:t>
      </w:r>
      <w:r>
        <w:t xml:space="preserve">PPE (in addition to </w:t>
      </w:r>
      <w:r w:rsidRPr="00B90170">
        <w:t>gloves</w:t>
      </w:r>
      <w:r>
        <w:t>)</w:t>
      </w:r>
      <w:r w:rsidRPr="00B90170">
        <w:t xml:space="preserve"> might reduce the exposure level. However, </w:t>
      </w:r>
      <w:r>
        <w:t xml:space="preserve">in my view it is not reasonable, or realistic, to expect </w:t>
      </w:r>
      <w:r w:rsidRPr="00B90170">
        <w:t xml:space="preserve">a high degree of compliance with any such requirement in the case of non-professional users of chemical products. It is appropriate for the APVMA to take into account the realism of any particular risk mitigation approach. In the present case, the </w:t>
      </w:r>
      <w:r>
        <w:t>Principal Toxicologist</w:t>
      </w:r>
      <w:r w:rsidRPr="00B90170">
        <w:t xml:space="preserve"> did not consider this to be a </w:t>
      </w:r>
      <w:r>
        <w:t>reliable</w:t>
      </w:r>
      <w:r w:rsidRPr="00B90170">
        <w:t xml:space="preserve"> risk mitigation measure for products used by non-professionals in residential settings</w:t>
      </w:r>
      <w:r>
        <w:t>, because of concerns regarding compliance, and I agree with that view</w:t>
      </w:r>
      <w:r w:rsidRPr="00B90170">
        <w:t xml:space="preserve">. For similar reasons, </w:t>
      </w:r>
      <w:r>
        <w:t xml:space="preserve">I agree with the Principal Toxicologist’s assumptions regarding </w:t>
      </w:r>
      <w:r w:rsidRPr="00B90170">
        <w:t xml:space="preserve">re-entry intervals not </w:t>
      </w:r>
      <w:r>
        <w:t>being</w:t>
      </w:r>
      <w:r w:rsidRPr="00B90170">
        <w:t xml:space="preserve"> effective for risk mitigation purposes</w:t>
      </w:r>
      <w:r>
        <w:t>, particularly given that the relevant areas are accessible by children</w:t>
      </w:r>
      <w:r w:rsidRPr="00B90170">
        <w:t xml:space="preserve">. </w:t>
      </w:r>
    </w:p>
    <w:p w14:paraId="12E3E080" w14:textId="77777777" w:rsidR="006B4FEC" w:rsidRPr="00FD15F5" w:rsidRDefault="006B4FEC" w:rsidP="006B4FEC">
      <w:pPr>
        <w:pStyle w:val="Heading5"/>
        <w:numPr>
          <w:ilvl w:val="0"/>
          <w:numId w:val="37"/>
        </w:numPr>
        <w:spacing w:before="360" w:line="280" w:lineRule="atLeast"/>
        <w:ind w:left="357" w:hanging="357"/>
        <w:rPr>
          <w:rFonts w:ascii="Arial" w:eastAsia="Times New Roman" w:hAnsi="Arial" w:cs="Arial"/>
          <w:bCs/>
          <w:i/>
          <w:iCs/>
          <w:color w:val="auto"/>
          <w:sz w:val="20"/>
          <w:szCs w:val="26"/>
          <w:lang w:eastAsia="en-AU"/>
        </w:rPr>
      </w:pPr>
      <w:r w:rsidRPr="00FD15F5">
        <w:rPr>
          <w:rFonts w:ascii="Arial" w:eastAsia="Times New Roman" w:hAnsi="Arial" w:cs="Arial"/>
          <w:bCs/>
          <w:i/>
          <w:iCs/>
          <w:color w:val="auto"/>
          <w:sz w:val="20"/>
          <w:szCs w:val="26"/>
          <w:lang w:eastAsia="en-AU"/>
        </w:rPr>
        <w:t>Conclusion</w:t>
      </w:r>
    </w:p>
    <w:p w14:paraId="4B284652" w14:textId="77777777" w:rsidR="006B4FEC" w:rsidRDefault="006B4FEC" w:rsidP="003C69F4">
      <w:pPr>
        <w:pStyle w:val="NumberLevel1"/>
        <w:ind w:left="709"/>
      </w:pPr>
      <w:r>
        <w:t>For the reasons set out above, on the material currently before me, I am not satisfied that the products are not, or would not be:</w:t>
      </w:r>
    </w:p>
    <w:p w14:paraId="631E9DFD" w14:textId="77777777" w:rsidR="006B4FEC" w:rsidRDefault="006B4FEC" w:rsidP="006B4FEC">
      <w:pPr>
        <w:pStyle w:val="NumberLevel2"/>
      </w:pPr>
      <w:r>
        <w:t>an undue hazard to the safety of people exposed to it during its handling or people using anything containing its residue, for the purposes of paragraph 5A(1)(a) of the Code; and</w:t>
      </w:r>
    </w:p>
    <w:p w14:paraId="289FE9D3" w14:textId="77777777" w:rsidR="006B4FEC" w:rsidRDefault="006B4FEC" w:rsidP="006B4FEC">
      <w:pPr>
        <w:pStyle w:val="NumberLevel2"/>
      </w:pPr>
      <w:proofErr w:type="gramStart"/>
      <w:r>
        <w:t>likely</w:t>
      </w:r>
      <w:proofErr w:type="gramEnd"/>
      <w:r>
        <w:t xml:space="preserve"> to have an effect that is harmful to human beings, for the purposes of paragraph 5A(1)(b) of the Code. </w:t>
      </w:r>
    </w:p>
    <w:p w14:paraId="19DA013F" w14:textId="77777777" w:rsidR="006B4FEC" w:rsidRPr="00911B18" w:rsidRDefault="006B4FEC" w:rsidP="006B4FEC">
      <w:pPr>
        <w:pStyle w:val="NumberLevel1"/>
        <w:numPr>
          <w:ilvl w:val="0"/>
          <w:numId w:val="0"/>
        </w:numPr>
        <w:spacing w:before="360" w:after="0"/>
      </w:pPr>
      <w:r w:rsidRPr="00C374B1">
        <w:rPr>
          <w:i/>
          <w:u w:val="single"/>
        </w:rPr>
        <w:t>Paragraph </w:t>
      </w:r>
      <w:proofErr w:type="gramStart"/>
      <w:r w:rsidRPr="00C374B1">
        <w:rPr>
          <w:i/>
          <w:u w:val="single"/>
        </w:rPr>
        <w:t>5A(</w:t>
      </w:r>
      <w:proofErr w:type="gramEnd"/>
      <w:r w:rsidRPr="00C374B1">
        <w:rPr>
          <w:i/>
          <w:u w:val="single"/>
        </w:rPr>
        <w:t>1)(c)</w:t>
      </w:r>
    </w:p>
    <w:p w14:paraId="5B6E8D33" w14:textId="3303E15A" w:rsidR="006B4FEC" w:rsidRDefault="006B4FEC" w:rsidP="003C69F4">
      <w:pPr>
        <w:pStyle w:val="NumberLevel1"/>
        <w:ind w:left="709"/>
      </w:pPr>
      <w:r>
        <w:t xml:space="preserve">In relation to determining whether the products are not, or would not be, likely to have an unintended affect that is harmful to animals, plants or things or to the environment, I have had regard to expert advice commissioned from an external scientific reviewer by the APVMA’s Scientific Assessment and Chemical Review team. The advice is contained in The Reconsideration of </w:t>
      </w:r>
      <w:proofErr w:type="spellStart"/>
      <w:r>
        <w:t>chlorpyrifos</w:t>
      </w:r>
      <w:proofErr w:type="spellEnd"/>
      <w:r w:rsidR="00A57DA0">
        <w:t>—</w:t>
      </w:r>
      <w:r>
        <w:t>Supplementary environment assessment report Part 1 – Home garden, domestic and certain non-agricultural uses, June 2019.</w:t>
      </w:r>
    </w:p>
    <w:p w14:paraId="3B2BCA06" w14:textId="168A7D71" w:rsidR="006B4FEC" w:rsidRDefault="006B4FEC" w:rsidP="003C69F4">
      <w:pPr>
        <w:pStyle w:val="NumberLevel1"/>
        <w:ind w:left="709"/>
      </w:pPr>
      <w:r>
        <w:lastRenderedPageBreak/>
        <w:t>The purpose of The R</w:t>
      </w:r>
      <w:r w:rsidR="00AA3402">
        <w:t xml:space="preserve">econsideration of </w:t>
      </w:r>
      <w:proofErr w:type="spellStart"/>
      <w:r w:rsidR="00AA3402">
        <w:t>chlorpyrifos</w:t>
      </w:r>
      <w:proofErr w:type="spellEnd"/>
      <w:r w:rsidR="00AA3402">
        <w:t>—</w:t>
      </w:r>
      <w:r>
        <w:t>Supplementary environment assessment report Part 1 – Home garden, domestic and certain non-agricultural uses, June 2019 was to supplement the APVMA’s</w:t>
      </w:r>
      <w:r w:rsidRPr="004036C8">
        <w:t xml:space="preserve"> </w:t>
      </w:r>
      <w:r>
        <w:t>interim Environmental Assessment report published in September 2000, which identified potential unacceptable risks to birds and aquatic organisms, particularly fish.</w:t>
      </w:r>
      <w:r>
        <w:rPr>
          <w:rStyle w:val="FootnoteReference"/>
        </w:rPr>
        <w:footnoteReference w:id="34"/>
      </w:r>
      <w:r>
        <w:t xml:space="preserve"> The Reconsiderati</w:t>
      </w:r>
      <w:r w:rsidR="00A57DA0">
        <w:t xml:space="preserve">on of </w:t>
      </w:r>
      <w:proofErr w:type="spellStart"/>
      <w:r w:rsidR="00A57DA0">
        <w:t>chlorpyrifos</w:t>
      </w:r>
      <w:proofErr w:type="spellEnd"/>
      <w:r w:rsidR="00A57DA0">
        <w:t>—</w:t>
      </w:r>
      <w:r>
        <w:t>Supplementary environ</w:t>
      </w:r>
      <w:r w:rsidR="00AA3402">
        <w:t>ment assessment report Part 1–</w:t>
      </w:r>
      <w:r>
        <w:t xml:space="preserve">Home garden, domestic and certain non-agricultural uses, June 2019 therefore considered updated environmental data which have resulted in revised avian and aquatic toxicological end-points and revised risk assessment. </w:t>
      </w:r>
    </w:p>
    <w:p w14:paraId="19F2229F" w14:textId="35817053" w:rsidR="006B4FEC" w:rsidRDefault="006B4FEC" w:rsidP="003C69F4">
      <w:pPr>
        <w:pStyle w:val="NumberLevel1"/>
        <w:ind w:left="709"/>
      </w:pPr>
      <w:r>
        <w:t xml:space="preserve">The </w:t>
      </w:r>
      <w:r w:rsidR="00AA3402">
        <w:t xml:space="preserve">Reconsideration of </w:t>
      </w:r>
      <w:proofErr w:type="spellStart"/>
      <w:r w:rsidR="00AA3402">
        <w:t>chlorpyrifos</w:t>
      </w:r>
      <w:proofErr w:type="spellEnd"/>
      <w:r w:rsidR="00AA3402">
        <w:t>—</w:t>
      </w:r>
      <w:r>
        <w:t>Supplementary envir</w:t>
      </w:r>
      <w:r w:rsidR="00AA3402">
        <w:t>onment assessment report Part 1</w:t>
      </w:r>
      <w:r>
        <w:t xml:space="preserve">–Home garden, domestic and certain non-agricultural uses, June 2019 sets out an assessment of the updated environmental data relevant to its consideration of the risks of the products to birds and aquatic organisms. That assessment demonstrates that birds are at the greatest risk. As a result of that assessment of the updated data, The Reconsideration of </w:t>
      </w:r>
      <w:proofErr w:type="spellStart"/>
      <w:r>
        <w:t>chlorpyrifos</w:t>
      </w:r>
      <w:proofErr w:type="spellEnd"/>
      <w:r w:rsidR="00A57DA0">
        <w:t>—</w:t>
      </w:r>
      <w:r>
        <w:t>Supplementary environment assessment report Part 1 – Home garden, domestic and certain non-agricultural uses, June 2019 states the following key revisions to avian toxicological end-points.</w:t>
      </w:r>
    </w:p>
    <w:p w14:paraId="7926EA73" w14:textId="77777777" w:rsidR="006B4FEC" w:rsidRPr="00FD15F5" w:rsidRDefault="006B4FEC" w:rsidP="006B4FEC">
      <w:pPr>
        <w:pStyle w:val="Heading5"/>
        <w:numPr>
          <w:ilvl w:val="0"/>
          <w:numId w:val="45"/>
        </w:numPr>
        <w:spacing w:before="360" w:line="280" w:lineRule="atLeast"/>
        <w:ind w:left="425" w:hanging="425"/>
        <w:rPr>
          <w:rFonts w:ascii="Arial" w:eastAsia="Times New Roman" w:hAnsi="Arial" w:cs="Arial"/>
          <w:bCs/>
          <w:i/>
          <w:iCs/>
          <w:color w:val="auto"/>
          <w:sz w:val="20"/>
          <w:szCs w:val="26"/>
          <w:lang w:eastAsia="en-AU"/>
        </w:rPr>
      </w:pPr>
      <w:r w:rsidRPr="00FD15F5">
        <w:rPr>
          <w:rFonts w:ascii="Arial" w:eastAsia="Times New Roman" w:hAnsi="Arial" w:cs="Arial"/>
          <w:bCs/>
          <w:i/>
          <w:iCs/>
          <w:color w:val="auto"/>
          <w:sz w:val="20"/>
          <w:szCs w:val="26"/>
          <w:lang w:eastAsia="en-AU"/>
        </w:rPr>
        <w:t>Avian acute dose</w:t>
      </w:r>
    </w:p>
    <w:p w14:paraId="64FD42EC" w14:textId="77777777" w:rsidR="006B4FEC" w:rsidRDefault="006B4FEC" w:rsidP="003C69F4">
      <w:pPr>
        <w:pStyle w:val="NumberLevel1"/>
        <w:ind w:firstLine="0"/>
      </w:pPr>
      <w:r>
        <w:t>The interim Environmental Assessment set the acute avian oral lethal dose (LD</w:t>
      </w:r>
      <w:r w:rsidRPr="00B92369">
        <w:rPr>
          <w:vertAlign w:val="subscript"/>
        </w:rPr>
        <w:t>50</w:t>
      </w:r>
      <w:r>
        <w:t xml:space="preserve">) at 20 mg/kg </w:t>
      </w:r>
      <w:proofErr w:type="spellStart"/>
      <w:proofErr w:type="gramStart"/>
      <w:r>
        <w:t>bw</w:t>
      </w:r>
      <w:proofErr w:type="spellEnd"/>
      <w:proofErr w:type="gramEnd"/>
      <w:r>
        <w:t>.</w:t>
      </w:r>
    </w:p>
    <w:p w14:paraId="62FD4F65" w14:textId="4D4E81CA" w:rsidR="006B4FEC" w:rsidRDefault="006B4FEC" w:rsidP="003C69F4">
      <w:pPr>
        <w:pStyle w:val="NumberLevel1"/>
        <w:ind w:left="709"/>
      </w:pPr>
      <w:r>
        <w:t xml:space="preserve">The Reconsideration of </w:t>
      </w:r>
      <w:proofErr w:type="spellStart"/>
      <w:r>
        <w:t>chlorpyrifos</w:t>
      </w:r>
      <w:proofErr w:type="spellEnd"/>
      <w:r w:rsidR="00A57DA0">
        <w:t>—</w:t>
      </w:r>
      <w:r>
        <w:t xml:space="preserve">Supplementary environment assessment report Part 1 – Home garden, domestic and certain non-agricultural uses, June 2019 report reviewed the US EPA report for </w:t>
      </w:r>
      <w:proofErr w:type="spellStart"/>
      <w:r>
        <w:t>chlorpyrifos</w:t>
      </w:r>
      <w:proofErr w:type="spellEnd"/>
      <w:r>
        <w:t xml:space="preserve"> (</w:t>
      </w:r>
      <w:r w:rsidRPr="00C374B1">
        <w:rPr>
          <w:b/>
        </w:rPr>
        <w:t>US EPA 1999</w:t>
      </w:r>
      <w:r>
        <w:t>) and Solomon</w:t>
      </w:r>
      <w:r w:rsidRPr="007560E5">
        <w:rPr>
          <w:i/>
        </w:rPr>
        <w:t xml:space="preserve"> et al.</w:t>
      </w:r>
      <w:r>
        <w:t xml:space="preserve"> (2001), and the acute oral avian toxicity results reported in those reports.</w:t>
      </w:r>
      <w:r>
        <w:rPr>
          <w:rStyle w:val="FootnoteReference"/>
        </w:rPr>
        <w:footnoteReference w:id="35"/>
      </w:r>
      <w:r>
        <w:t xml:space="preserve"> Those results demonstrate that the most sensitive end-point was 8.5 mg/kg (</w:t>
      </w:r>
      <w:r w:rsidRPr="00AA3AAA">
        <w:t>geometric mea</w:t>
      </w:r>
      <w:r w:rsidRPr="008E782A">
        <w:t>n)</w:t>
      </w:r>
      <w:r>
        <w:t xml:space="preserve"> for the common grackle, and the Reconsideration of </w:t>
      </w:r>
      <w:proofErr w:type="spellStart"/>
      <w:r>
        <w:t>chlorpyrifos</w:t>
      </w:r>
      <w:proofErr w:type="spellEnd"/>
      <w:r w:rsidR="00A57DA0">
        <w:t>—</w:t>
      </w:r>
      <w:r>
        <w:t>Supplementary environment assessment report Part 1 – Home garden, domestic and certain non-agricultural uses, June 2019 found that the geometric mean avian LD</w:t>
      </w:r>
      <w:r w:rsidRPr="00B92369">
        <w:rPr>
          <w:vertAlign w:val="subscript"/>
        </w:rPr>
        <w:t>50</w:t>
      </w:r>
      <w:r>
        <w:rPr>
          <w:vertAlign w:val="subscript"/>
        </w:rPr>
        <w:t xml:space="preserve"> </w:t>
      </w:r>
      <w:r>
        <w:t>was</w:t>
      </w:r>
      <w:r w:rsidRPr="00C374B1">
        <w:t xml:space="preserve"> 28.9</w:t>
      </w:r>
      <w:r>
        <w:t> </w:t>
      </w:r>
      <w:r w:rsidRPr="00C374B1">
        <w:t>mg/</w:t>
      </w:r>
      <w:r>
        <w:t>k</w:t>
      </w:r>
      <w:r w:rsidRPr="00C374B1">
        <w:t xml:space="preserve">g </w:t>
      </w:r>
      <w:proofErr w:type="spellStart"/>
      <w:r w:rsidRPr="00C374B1">
        <w:t>bw</w:t>
      </w:r>
      <w:proofErr w:type="spellEnd"/>
      <w:r>
        <w:t xml:space="preserve">. The Reconsideration of </w:t>
      </w:r>
      <w:proofErr w:type="spellStart"/>
      <w:r>
        <w:t>chlorpyrifos</w:t>
      </w:r>
      <w:proofErr w:type="spellEnd"/>
      <w:r w:rsidR="00A57DA0">
        <w:t>—</w:t>
      </w:r>
      <w:r>
        <w:t>Supplementary environment assessment report Part 1 – Home garden, domestic and certain non-agricultural uses, June 2019 advised that the geometric mean approach in assessing risks is the most appropriate approach to adopt, and was considered scientifically valid, based on an assessment by the European Union Joint Working Group for the European Food Safety Authority.</w:t>
      </w:r>
      <w:r>
        <w:rPr>
          <w:rStyle w:val="FootnoteReference"/>
        </w:rPr>
        <w:footnoteReference w:id="36"/>
      </w:r>
      <w:r>
        <w:t xml:space="preserve"> The Reconsideration of </w:t>
      </w:r>
      <w:proofErr w:type="spellStart"/>
      <w:r>
        <w:t>chlorpyrifos</w:t>
      </w:r>
      <w:proofErr w:type="spellEnd"/>
      <w:r w:rsidR="00A57DA0">
        <w:t>—</w:t>
      </w:r>
      <w:r>
        <w:t>Supplementary environment assessment report Part 1 – Home garden, domestic and certain non-agricultural uses, June 2019 therefore applied the geometric mean avian LD</w:t>
      </w:r>
      <w:r w:rsidRPr="00B92369">
        <w:rPr>
          <w:vertAlign w:val="subscript"/>
        </w:rPr>
        <w:t>50</w:t>
      </w:r>
      <w:r>
        <w:rPr>
          <w:vertAlign w:val="subscript"/>
        </w:rPr>
        <w:t xml:space="preserve"> </w:t>
      </w:r>
      <w:r>
        <w:t>of</w:t>
      </w:r>
      <w:r w:rsidRPr="00437FDF">
        <w:t xml:space="preserve"> 28.9</w:t>
      </w:r>
      <w:r>
        <w:t xml:space="preserve"> mg/kg </w:t>
      </w:r>
      <w:proofErr w:type="spellStart"/>
      <w:r>
        <w:t>bw</w:t>
      </w:r>
      <w:proofErr w:type="spellEnd"/>
      <w:r>
        <w:t xml:space="preserve"> and applied that as the acute avian end-point in the risk assessment.</w:t>
      </w:r>
      <w:r>
        <w:rPr>
          <w:rStyle w:val="FootnoteReference"/>
        </w:rPr>
        <w:footnoteReference w:id="37"/>
      </w:r>
      <w:r>
        <w:t xml:space="preserve"> Having reviewed the Reconsideration of </w:t>
      </w:r>
      <w:proofErr w:type="spellStart"/>
      <w:r>
        <w:t>chlorpyrifos</w:t>
      </w:r>
      <w:proofErr w:type="spellEnd"/>
      <w:r w:rsidR="00A57DA0">
        <w:t>—</w:t>
      </w:r>
      <w:r>
        <w:t xml:space="preserve">Supplementary environment assessment report Part 1 – Home garden, domestic and certain non-agricultural uses, June 2019, I agree with this analysis and find that the acute avian end-point should be amended from 20 mg/kg </w:t>
      </w:r>
      <w:proofErr w:type="spellStart"/>
      <w:r>
        <w:t>bw</w:t>
      </w:r>
      <w:proofErr w:type="spellEnd"/>
      <w:r>
        <w:t xml:space="preserve"> to 28.9 mg/kg </w:t>
      </w:r>
      <w:proofErr w:type="spellStart"/>
      <w:r>
        <w:t>bw</w:t>
      </w:r>
      <w:proofErr w:type="spellEnd"/>
      <w:r>
        <w:t>.</w:t>
      </w:r>
    </w:p>
    <w:p w14:paraId="2ADBB29B" w14:textId="77777777" w:rsidR="006B4FEC" w:rsidRPr="00FD15F5" w:rsidRDefault="006B4FEC" w:rsidP="006B4FEC">
      <w:pPr>
        <w:pStyle w:val="Heading5"/>
        <w:numPr>
          <w:ilvl w:val="0"/>
          <w:numId w:val="45"/>
        </w:numPr>
        <w:spacing w:before="360" w:line="280" w:lineRule="atLeast"/>
        <w:ind w:left="425" w:hanging="425"/>
        <w:rPr>
          <w:rFonts w:ascii="Arial" w:eastAsia="Times New Roman" w:hAnsi="Arial" w:cs="Arial"/>
          <w:bCs/>
          <w:i/>
          <w:iCs/>
          <w:color w:val="auto"/>
          <w:sz w:val="20"/>
          <w:szCs w:val="26"/>
          <w:lang w:eastAsia="en-AU"/>
        </w:rPr>
      </w:pPr>
      <w:r w:rsidRPr="00FD15F5">
        <w:rPr>
          <w:rFonts w:ascii="Arial" w:eastAsia="Times New Roman" w:hAnsi="Arial" w:cs="Arial"/>
          <w:bCs/>
          <w:i/>
          <w:iCs/>
          <w:color w:val="auto"/>
          <w:sz w:val="20"/>
          <w:szCs w:val="26"/>
          <w:lang w:eastAsia="en-AU"/>
        </w:rPr>
        <w:lastRenderedPageBreak/>
        <w:t>Avian chronic dose</w:t>
      </w:r>
    </w:p>
    <w:p w14:paraId="495FA0C7" w14:textId="77777777" w:rsidR="006B4FEC" w:rsidRDefault="006B4FEC" w:rsidP="003C69F4">
      <w:pPr>
        <w:pStyle w:val="NumberLevel1"/>
        <w:ind w:left="709"/>
      </w:pPr>
      <w:r>
        <w:t>The interim Environmental Assessment did not identify a no observed effect concentration (</w:t>
      </w:r>
      <w:r>
        <w:rPr>
          <w:b/>
        </w:rPr>
        <w:t>NOEC</w:t>
      </w:r>
      <w:r>
        <w:t>) or perform a chronic avian risk assessment.</w:t>
      </w:r>
    </w:p>
    <w:p w14:paraId="74A7BC2B" w14:textId="6A0D8075" w:rsidR="006B4FEC" w:rsidRDefault="006B4FEC" w:rsidP="003C69F4">
      <w:pPr>
        <w:pStyle w:val="NumberLevel1"/>
        <w:ind w:left="709"/>
      </w:pPr>
      <w:r>
        <w:t xml:space="preserve">The Reconsideration of </w:t>
      </w:r>
      <w:proofErr w:type="spellStart"/>
      <w:r>
        <w:t>chlorpyrifos</w:t>
      </w:r>
      <w:proofErr w:type="spellEnd"/>
      <w:r w:rsidR="00A57DA0">
        <w:t>—</w:t>
      </w:r>
      <w:r>
        <w:t xml:space="preserve">Supplementary environment assessment report Part 1 – Home garden, domestic and certain non-agricultural uses, June 2019 reviewed the US EPA 1999 report, with the toxicity results set out on page 18 of The Reconsideration of </w:t>
      </w:r>
      <w:proofErr w:type="spellStart"/>
      <w:r>
        <w:t>chlorpyrifos</w:t>
      </w:r>
      <w:proofErr w:type="spellEnd"/>
      <w:r w:rsidR="00A57DA0">
        <w:t>—</w:t>
      </w:r>
      <w:r>
        <w:t>Supplementary environment assessment report Part 1 – Home garden, domestic and certain non-agricultural uses, June 2019. It is noted that both the European Union (2005) and the US EPA 1999 used a NOEC of 25 mg/kg diet as their chronic avian end-point, and that this is consistent with other studies.</w:t>
      </w:r>
      <w:r>
        <w:rPr>
          <w:rStyle w:val="FootnoteReference"/>
        </w:rPr>
        <w:footnoteReference w:id="38"/>
      </w:r>
    </w:p>
    <w:p w14:paraId="61EAC191" w14:textId="1C94EE19" w:rsidR="006B4FEC" w:rsidRDefault="006B4FEC" w:rsidP="003C69F4">
      <w:pPr>
        <w:pStyle w:val="NumberLevel1"/>
        <w:ind w:left="709"/>
      </w:pPr>
      <w:r>
        <w:t xml:space="preserve">The Reconsideration of </w:t>
      </w:r>
      <w:proofErr w:type="spellStart"/>
      <w:r>
        <w:t>chlorpyrifos</w:t>
      </w:r>
      <w:proofErr w:type="spellEnd"/>
      <w:r w:rsidR="00A57DA0">
        <w:t>—</w:t>
      </w:r>
      <w:r>
        <w:t>Supplementary environment assessment report Part 1 – Home garden, domestic and certain non-agricultural uses, June 2019 noted that Australia does not have standard indicator species for different cropping situations, but that the native pacific black duck is closely related and may interbreed with the mallard, and therefore the use of the mallard duck results are relevant.</w:t>
      </w:r>
      <w:r>
        <w:rPr>
          <w:rStyle w:val="FootnoteReference"/>
        </w:rPr>
        <w:footnoteReference w:id="39"/>
      </w:r>
      <w:r>
        <w:t xml:space="preserve">  The Reconsideration of </w:t>
      </w:r>
      <w:proofErr w:type="spellStart"/>
      <w:r>
        <w:t>chlorpyrifos</w:t>
      </w:r>
      <w:proofErr w:type="spellEnd"/>
      <w:r w:rsidR="00A57DA0">
        <w:t>—</w:t>
      </w:r>
      <w:r>
        <w:t xml:space="preserve">Supplementary environment assessment report Part 1 – Home garden, domestic and certain non-agricultural uses, June 2019 therefore affirmed the chronic avian dietary NOEC 25 mg/kg diet as the most appropriate end-point and found that this relates to a daily dose of 2.88 mg/kg </w:t>
      </w:r>
      <w:proofErr w:type="spellStart"/>
      <w:r>
        <w:t>bw</w:t>
      </w:r>
      <w:proofErr w:type="spellEnd"/>
      <w:r>
        <w:t>/d, which was applied in the risk assessment.</w:t>
      </w:r>
      <w:r>
        <w:rPr>
          <w:rStyle w:val="FootnoteReference"/>
        </w:rPr>
        <w:footnoteReference w:id="40"/>
      </w:r>
      <w:r>
        <w:t xml:space="preserve"> This was consistent with the NOEC reported by </w:t>
      </w:r>
      <w:proofErr w:type="spellStart"/>
      <w:r>
        <w:t>Hakin</w:t>
      </w:r>
      <w:proofErr w:type="spellEnd"/>
      <w:r>
        <w:t xml:space="preserve"> (1990a) and Fink </w:t>
      </w:r>
      <w:r w:rsidRPr="00655335">
        <w:rPr>
          <w:i/>
        </w:rPr>
        <w:t>et al.</w:t>
      </w:r>
      <w:r>
        <w:t>, (1978a).</w:t>
      </w:r>
      <w:r>
        <w:rPr>
          <w:rStyle w:val="FootnoteReference"/>
        </w:rPr>
        <w:footnoteReference w:id="41"/>
      </w:r>
      <w:r>
        <w:t xml:space="preserve"> Having reviewed the Reconsideration of </w:t>
      </w:r>
      <w:proofErr w:type="spellStart"/>
      <w:r>
        <w:t>chlorpyrifos</w:t>
      </w:r>
      <w:proofErr w:type="spellEnd"/>
      <w:r w:rsidR="00A57DA0">
        <w:t>—</w:t>
      </w:r>
      <w:r>
        <w:t xml:space="preserve">Supplementary environment assessment report Part 1 – Home garden, domestic and certain non-agricultural uses, June 2019, I agree with this analysis and find that the chronic avian dietary end-point be set at 25 mg/kg, with a daily dietary dose of 2.88 mg/kg </w:t>
      </w:r>
      <w:proofErr w:type="spellStart"/>
      <w:r>
        <w:t>bw</w:t>
      </w:r>
      <w:proofErr w:type="spellEnd"/>
      <w:r>
        <w:t>/d.</w:t>
      </w:r>
    </w:p>
    <w:p w14:paraId="0610D2F0" w14:textId="77777777" w:rsidR="006B4FEC" w:rsidRPr="00FD15F5" w:rsidRDefault="006B4FEC" w:rsidP="006B4FEC">
      <w:pPr>
        <w:pStyle w:val="Heading5"/>
        <w:numPr>
          <w:ilvl w:val="0"/>
          <w:numId w:val="45"/>
        </w:numPr>
        <w:spacing w:before="360" w:line="280" w:lineRule="atLeast"/>
        <w:ind w:left="425" w:hanging="425"/>
        <w:rPr>
          <w:rFonts w:ascii="Arial" w:eastAsia="Times New Roman" w:hAnsi="Arial" w:cs="Arial"/>
          <w:bCs/>
          <w:i/>
          <w:iCs/>
          <w:color w:val="auto"/>
          <w:sz w:val="20"/>
          <w:szCs w:val="26"/>
          <w:lang w:eastAsia="en-AU"/>
        </w:rPr>
      </w:pPr>
      <w:r w:rsidRPr="00FD15F5">
        <w:rPr>
          <w:rFonts w:ascii="Arial" w:eastAsia="Times New Roman" w:hAnsi="Arial" w:cs="Arial"/>
          <w:bCs/>
          <w:i/>
          <w:iCs/>
          <w:color w:val="auto"/>
          <w:sz w:val="20"/>
          <w:szCs w:val="26"/>
          <w:lang w:eastAsia="en-AU"/>
        </w:rPr>
        <w:t>Environmental risk assessments</w:t>
      </w:r>
    </w:p>
    <w:p w14:paraId="4E78ECF2" w14:textId="0AC7A640" w:rsidR="006B4FEC" w:rsidRDefault="006B4FEC" w:rsidP="003C69F4">
      <w:pPr>
        <w:pStyle w:val="NumberLevel1"/>
        <w:ind w:left="709"/>
      </w:pPr>
      <w:r>
        <w:t xml:space="preserve">Applying the revised toxicological end-points, the Reconsideration of </w:t>
      </w:r>
      <w:proofErr w:type="spellStart"/>
      <w:r>
        <w:t>chlorpyrifos</w:t>
      </w:r>
      <w:proofErr w:type="spellEnd"/>
      <w:r w:rsidR="00A57DA0">
        <w:t>—</w:t>
      </w:r>
      <w:r>
        <w:t xml:space="preserve">Supplementary environment assessment report Part 1 – Home garden, domestic and certain non-agricultural uses, June 2019 sets out the findings of the risk assessments conducted for </w:t>
      </w:r>
      <w:r w:rsidRPr="00C374B1">
        <w:t>relevant organisms, including avian, mammalian and aquatic species.</w:t>
      </w:r>
      <w:r>
        <w:t xml:space="preserve"> Those assessments demonstrated that the highest risk was through acute exposure to birds.</w:t>
      </w:r>
    </w:p>
    <w:p w14:paraId="1026DCC1" w14:textId="1DCA2360" w:rsidR="006B4FEC" w:rsidRDefault="006B4FEC" w:rsidP="003C69F4">
      <w:pPr>
        <w:pStyle w:val="NumberLevel1"/>
        <w:ind w:left="709"/>
      </w:pPr>
      <w:r>
        <w:t xml:space="preserve">In relation to the avian risk assessment, the Reconsideration of </w:t>
      </w:r>
      <w:proofErr w:type="spellStart"/>
      <w:r>
        <w:t>chlorpyrifos</w:t>
      </w:r>
      <w:proofErr w:type="spellEnd"/>
      <w:r w:rsidR="00A57DA0">
        <w:t>—</w:t>
      </w:r>
      <w:r>
        <w:t>Supplementary environment assessment report Part 1 – Home garden, domestic and certain non-agricultural uses, June 2019 contains the following findings:</w:t>
      </w:r>
    </w:p>
    <w:p w14:paraId="3DEF8D9D" w14:textId="77777777" w:rsidR="006B4FEC" w:rsidRDefault="006B4FEC" w:rsidP="006B4FEC">
      <w:pPr>
        <w:pStyle w:val="NumberLevel2"/>
      </w:pPr>
      <w:r w:rsidRPr="00CA3212">
        <w:t xml:space="preserve">Birds have been reported to consume </w:t>
      </w:r>
      <w:proofErr w:type="spellStart"/>
      <w:r w:rsidRPr="00CA3212">
        <w:t>chlorpyrifos</w:t>
      </w:r>
      <w:proofErr w:type="spellEnd"/>
      <w:r w:rsidRPr="00CA3212">
        <w:t xml:space="preserve"> granules directly in the home garden</w:t>
      </w:r>
      <w:r>
        <w:t>s</w:t>
      </w:r>
      <w:r w:rsidRPr="00CA3212">
        <w:t xml:space="preserve"> </w:t>
      </w:r>
      <w:r>
        <w:t xml:space="preserve">as well as ingest </w:t>
      </w:r>
      <w:r w:rsidRPr="00CA3212">
        <w:t xml:space="preserve">insects poisoned by </w:t>
      </w:r>
      <w:proofErr w:type="spellStart"/>
      <w:r w:rsidRPr="00CA3212">
        <w:t>chlorpyrifos</w:t>
      </w:r>
      <w:proofErr w:type="spellEnd"/>
      <w:r w:rsidRPr="00CA3212">
        <w:t xml:space="preserve"> uses in urban situations resulting in adverse effects.</w:t>
      </w:r>
      <w:r>
        <w:rPr>
          <w:rStyle w:val="FootnoteReference"/>
        </w:rPr>
        <w:footnoteReference w:id="42"/>
      </w:r>
    </w:p>
    <w:p w14:paraId="2A188E0A" w14:textId="77777777" w:rsidR="006B4FEC" w:rsidRDefault="006B4FEC" w:rsidP="006B4FEC">
      <w:pPr>
        <w:pStyle w:val="NumberLevel2"/>
      </w:pPr>
      <w:r>
        <w:lastRenderedPageBreak/>
        <w:t>Analysis of toxicity data, higher tier avian assessment, and a range of field data, demonstrated that single application rates below 850 g ac/ha are within acceptable limits and the possibility of avian field mortality is unlikely.</w:t>
      </w:r>
      <w:r>
        <w:rPr>
          <w:rStyle w:val="FootnoteReference"/>
        </w:rPr>
        <w:footnoteReference w:id="43"/>
      </w:r>
      <w:r>
        <w:t xml:space="preserve"> </w:t>
      </w:r>
    </w:p>
    <w:p w14:paraId="0B0DCC7C" w14:textId="77777777" w:rsidR="006B4FEC" w:rsidRDefault="006B4FEC" w:rsidP="006B4FEC">
      <w:pPr>
        <w:pStyle w:val="NumberLevel2"/>
      </w:pPr>
      <w:r>
        <w:t>Many granular ant control products do not provide an actual rate in terms of quantity per area (g/m</w:t>
      </w:r>
      <w:r w:rsidRPr="00437FDF">
        <w:rPr>
          <w:rFonts w:eastAsia="Yu Mincho"/>
          <w:szCs w:val="20"/>
          <w:vertAlign w:val="superscript"/>
        </w:rPr>
        <w:t>2</w:t>
      </w:r>
      <w:r>
        <w:t>), so there is potential for concentrated amounts of granules to be applied in home garden situations.</w:t>
      </w:r>
      <w:r>
        <w:rPr>
          <w:rStyle w:val="FootnoteReference"/>
        </w:rPr>
        <w:footnoteReference w:id="44"/>
      </w:r>
      <w:r>
        <w:t xml:space="preserve"> When rates are provided, the standard application rate for </w:t>
      </w:r>
      <w:proofErr w:type="spellStart"/>
      <w:r>
        <w:t>chlorpyrifos</w:t>
      </w:r>
      <w:proofErr w:type="spellEnd"/>
      <w:r>
        <w:t xml:space="preserve"> granular products are high (20 g ac/100 m</w:t>
      </w:r>
      <w:r w:rsidRPr="00C374B1">
        <w:rPr>
          <w:rFonts w:eastAsia="Yu Mincho"/>
          <w:szCs w:val="20"/>
          <w:vertAlign w:val="superscript"/>
        </w:rPr>
        <w:t>2</w:t>
      </w:r>
      <w:r>
        <w:t xml:space="preserve"> equivalent to 2000 g ac/ha) and these products are mostly not incorporated into the soil.</w:t>
      </w:r>
      <w:r>
        <w:rPr>
          <w:rStyle w:val="FootnoteReference"/>
        </w:rPr>
        <w:footnoteReference w:id="45"/>
      </w:r>
      <w:r>
        <w:t xml:space="preserve"> Assuming granules are spread evenly at a rate of 20 g ac/100 m</w:t>
      </w:r>
      <w:r w:rsidRPr="00437FDF">
        <w:rPr>
          <w:rFonts w:eastAsia="Yu Mincho"/>
          <w:szCs w:val="20"/>
          <w:vertAlign w:val="superscript"/>
        </w:rPr>
        <w:t>2</w:t>
      </w:r>
      <w:r>
        <w:t>, this equates to approximately 7 LD</w:t>
      </w:r>
      <w:r w:rsidRPr="00B92369">
        <w:rPr>
          <w:vertAlign w:val="subscript"/>
        </w:rPr>
        <w:t>50</w:t>
      </w:r>
      <w:r>
        <w:t xml:space="preserve"> s/m</w:t>
      </w:r>
      <w:r w:rsidRPr="00437FDF">
        <w:rPr>
          <w:rFonts w:eastAsia="Yu Mincho"/>
          <w:szCs w:val="20"/>
          <w:vertAlign w:val="superscript"/>
        </w:rPr>
        <w:t>2</w:t>
      </w:r>
      <w:r>
        <w:t>.</w:t>
      </w:r>
      <w:r>
        <w:rPr>
          <w:rStyle w:val="FootnoteReference"/>
        </w:rPr>
        <w:footnoteReference w:id="46"/>
      </w:r>
      <w:r>
        <w:t xml:space="preserve"> For the acute assessment, potential risk is identified where &gt; 1 LD</w:t>
      </w:r>
      <w:r w:rsidRPr="00B92369">
        <w:rPr>
          <w:vertAlign w:val="subscript"/>
        </w:rPr>
        <w:t>50</w:t>
      </w:r>
      <w:r>
        <w:t xml:space="preserve"> s/m</w:t>
      </w:r>
      <w:r w:rsidRPr="00437FDF">
        <w:rPr>
          <w:rFonts w:eastAsia="Yu Mincho"/>
          <w:szCs w:val="20"/>
          <w:vertAlign w:val="superscript"/>
        </w:rPr>
        <w:t>2</w:t>
      </w:r>
      <w:r>
        <w:t xml:space="preserve"> is calculated (10 LD</w:t>
      </w:r>
      <w:r w:rsidRPr="00B92369">
        <w:rPr>
          <w:vertAlign w:val="subscript"/>
        </w:rPr>
        <w:t>50</w:t>
      </w:r>
      <w:r>
        <w:t xml:space="preserve"> s/m</w:t>
      </w:r>
      <w:r w:rsidRPr="00437FDF">
        <w:rPr>
          <w:rFonts w:eastAsia="Yu Mincho"/>
          <w:szCs w:val="20"/>
          <w:vertAlign w:val="superscript"/>
        </w:rPr>
        <w:t>2</w:t>
      </w:r>
      <w:r>
        <w:t xml:space="preserve"> with a level of concern = 0.1).</w:t>
      </w:r>
      <w:r>
        <w:rPr>
          <w:rStyle w:val="FootnoteReference"/>
        </w:rPr>
        <w:footnoteReference w:id="47"/>
      </w:r>
      <w:r>
        <w:t xml:space="preserve"> The standard application rate for </w:t>
      </w:r>
      <w:proofErr w:type="spellStart"/>
      <w:r>
        <w:t>chlorpyrifos</w:t>
      </w:r>
      <w:proofErr w:type="spellEnd"/>
      <w:r>
        <w:t xml:space="preserve"> granular products are high (20 g ac/100 m</w:t>
      </w:r>
      <w:r w:rsidRPr="00437FDF">
        <w:rPr>
          <w:rFonts w:eastAsia="Yu Mincho"/>
          <w:szCs w:val="20"/>
          <w:vertAlign w:val="superscript"/>
        </w:rPr>
        <w:t>2</w:t>
      </w:r>
      <w:r>
        <w:rPr>
          <w:rFonts w:eastAsia="Yu Mincho"/>
          <w:szCs w:val="20"/>
        </w:rPr>
        <w:t>,</w:t>
      </w:r>
      <w:r>
        <w:t xml:space="preserve"> equivalent to 2000 g ac/ha) therefore exceeds the upper rate identified for an acceptable risk to birds (850 g ac/ha).</w:t>
      </w:r>
      <w:r>
        <w:rPr>
          <w:rStyle w:val="FootnoteReference"/>
        </w:rPr>
        <w:footnoteReference w:id="48"/>
      </w:r>
    </w:p>
    <w:p w14:paraId="2B6A6307" w14:textId="77777777" w:rsidR="006B4FEC" w:rsidRDefault="006B4FEC" w:rsidP="006B4FEC">
      <w:pPr>
        <w:pStyle w:val="NumberLevel2"/>
      </w:pPr>
      <w:r>
        <w:t xml:space="preserve">Home garden spray products tend to contain </w:t>
      </w:r>
      <w:proofErr w:type="spellStart"/>
      <w:r>
        <w:t>chlorpyrifos</w:t>
      </w:r>
      <w:proofErr w:type="spellEnd"/>
      <w:r>
        <w:t xml:space="preserve"> in low concentrations (50 g/L or less) with use on lawns, garden beds and in and around the home at rates essentially the same as those for the home garden granular products.</w:t>
      </w:r>
      <w:r>
        <w:rPr>
          <w:rStyle w:val="FootnoteReference"/>
        </w:rPr>
        <w:footnoteReference w:id="49"/>
      </w:r>
      <w:r>
        <w:t xml:space="preserve"> Small pack size is a limiting factor to the coverage that the products can achieve.</w:t>
      </w:r>
      <w:r>
        <w:rPr>
          <w:rStyle w:val="FootnoteReference"/>
        </w:rPr>
        <w:footnoteReference w:id="50"/>
      </w:r>
      <w:r>
        <w:t xml:space="preserve"> For those products with stated application rates, based on pack sizes, coverage could range from 50 m</w:t>
      </w:r>
      <w:r w:rsidRPr="00437FDF">
        <w:rPr>
          <w:rFonts w:eastAsia="Yu Mincho"/>
          <w:szCs w:val="20"/>
          <w:vertAlign w:val="superscript"/>
        </w:rPr>
        <w:t>2</w:t>
      </w:r>
      <w:r>
        <w:t xml:space="preserve"> to 750 m</w:t>
      </w:r>
      <w:r w:rsidRPr="00437FDF">
        <w:rPr>
          <w:rFonts w:eastAsia="Yu Mincho"/>
          <w:szCs w:val="20"/>
          <w:vertAlign w:val="superscript"/>
        </w:rPr>
        <w:t>2</w:t>
      </w:r>
      <w:r>
        <w:t xml:space="preserve"> and half of the products would only have sufficient formulation for approximately 170 m</w:t>
      </w:r>
      <w:r w:rsidRPr="00437FDF">
        <w:rPr>
          <w:rFonts w:eastAsia="Yu Mincho"/>
          <w:szCs w:val="20"/>
          <w:vertAlign w:val="superscript"/>
        </w:rPr>
        <w:t>2</w:t>
      </w:r>
      <w:r>
        <w:t xml:space="preserve"> or less.</w:t>
      </w:r>
      <w:r>
        <w:rPr>
          <w:rStyle w:val="FootnoteReference"/>
        </w:rPr>
        <w:footnoteReference w:id="51"/>
      </w:r>
      <w:r>
        <w:t xml:space="preserve"> Nonetheless, there are several products that do not prescribe application rates, and some have larger pack sizes (2L).</w:t>
      </w:r>
      <w:r>
        <w:rPr>
          <w:rStyle w:val="FootnoteReference"/>
        </w:rPr>
        <w:footnoteReference w:id="52"/>
      </w:r>
      <w:r>
        <w:t xml:space="preserve"> Further, the treatment rates when these products are applied is up to 20 g ac/50 m</w:t>
      </w:r>
      <w:r w:rsidRPr="00437FDF">
        <w:rPr>
          <w:rFonts w:eastAsia="Yu Mincho"/>
          <w:szCs w:val="20"/>
          <w:vertAlign w:val="superscript"/>
        </w:rPr>
        <w:t>2</w:t>
      </w:r>
      <w:r>
        <w:t xml:space="preserve"> (4000 g ac/ha).</w:t>
      </w:r>
      <w:r>
        <w:rPr>
          <w:rStyle w:val="FootnoteReference"/>
        </w:rPr>
        <w:footnoteReference w:id="53"/>
      </w:r>
      <w:r>
        <w:t xml:space="preserve"> Accordingly, this use also exceeds the upper rate identified for an acceptable risk to birds (850 g ac/ha).</w:t>
      </w:r>
      <w:r>
        <w:rPr>
          <w:rStyle w:val="FootnoteReference"/>
        </w:rPr>
        <w:footnoteReference w:id="54"/>
      </w:r>
    </w:p>
    <w:p w14:paraId="2B65BCF1" w14:textId="6B146411" w:rsidR="006B4FEC" w:rsidRDefault="006B4FEC" w:rsidP="003C69F4">
      <w:pPr>
        <w:pStyle w:val="NumberLevel1"/>
        <w:ind w:left="709"/>
      </w:pPr>
      <w:r>
        <w:t xml:space="preserve">Having reviewed the Reconsideration of </w:t>
      </w:r>
      <w:proofErr w:type="spellStart"/>
      <w:r>
        <w:t>chlorpyrifos</w:t>
      </w:r>
      <w:proofErr w:type="spellEnd"/>
      <w:r w:rsidR="00A57DA0">
        <w:t>—</w:t>
      </w:r>
      <w:r>
        <w:t xml:space="preserve">Supplementary environment assessment report Part 1 – Home garden, domestic and certain non-agricultural uses, June 2019, I accept the analysis contained in the report. On the basis of the Reconsideration of </w:t>
      </w:r>
      <w:proofErr w:type="spellStart"/>
      <w:r>
        <w:t>chlorpyrifos</w:t>
      </w:r>
      <w:proofErr w:type="spellEnd"/>
      <w:r w:rsidR="00A57DA0">
        <w:t>—</w:t>
      </w:r>
      <w:r>
        <w:t>Supplementary environment assessment report Part 1 – Home garden, domestic and certain non-agricultural uses, June 2019, I accept the recommendations made regarding the avian toxicological end-points and revised risk assessment. In particular, I find that:</w:t>
      </w:r>
    </w:p>
    <w:p w14:paraId="790E2245" w14:textId="77777777" w:rsidR="006B4FEC" w:rsidRDefault="006B4FEC" w:rsidP="003C69F4">
      <w:pPr>
        <w:pStyle w:val="NumberLevel2"/>
        <w:ind w:firstLine="0"/>
      </w:pPr>
      <w:r>
        <w:t>single application rates that exceed 850 g ac/ha pose an unacceptable risk to birds;</w:t>
      </w:r>
    </w:p>
    <w:p w14:paraId="2E459E2A" w14:textId="77777777" w:rsidR="006B4FEC" w:rsidRDefault="006B4FEC" w:rsidP="003C69F4">
      <w:pPr>
        <w:pStyle w:val="NumberLevel2"/>
        <w:ind w:firstLine="0"/>
      </w:pPr>
      <w:r>
        <w:lastRenderedPageBreak/>
        <w:t>the home garden/urban use granular product class poses an unacceptable risk to birds, as the standard application rate exceeds 850 g ac/ha; and</w:t>
      </w:r>
    </w:p>
    <w:p w14:paraId="3FD176B7" w14:textId="77777777" w:rsidR="006B4FEC" w:rsidRDefault="006B4FEC" w:rsidP="003C69F4">
      <w:pPr>
        <w:pStyle w:val="NumberLevel2"/>
        <w:ind w:firstLine="0"/>
      </w:pPr>
      <w:proofErr w:type="gramStart"/>
      <w:r>
        <w:t>the</w:t>
      </w:r>
      <w:proofErr w:type="gramEnd"/>
      <w:r>
        <w:t xml:space="preserve"> home garden/urban use spray product class with usage rates &gt; 850 g ac/ha poses an unacceptable risk to birds.</w:t>
      </w:r>
    </w:p>
    <w:p w14:paraId="61C432EE" w14:textId="77777777" w:rsidR="006B4FEC" w:rsidRDefault="006B4FEC" w:rsidP="003C69F4">
      <w:pPr>
        <w:pStyle w:val="NumberLevel1"/>
        <w:ind w:left="709"/>
      </w:pPr>
      <w:r>
        <w:t>For these reasons, on the material currently before me I am not satisfied that the products are not, or would not be, likely to have an unintended effect that is harmful to animals, plants or things or to the environment for the purposes of paragraph </w:t>
      </w:r>
      <w:proofErr w:type="gramStart"/>
      <w:r>
        <w:t>5A(</w:t>
      </w:r>
      <w:proofErr w:type="gramEnd"/>
      <w:r>
        <w:t>1)(c) of the Code.</w:t>
      </w:r>
    </w:p>
    <w:p w14:paraId="3EE2B63E" w14:textId="77777777" w:rsidR="006B4FEC" w:rsidRPr="00C374B1" w:rsidRDefault="006B4FEC" w:rsidP="006B4FEC">
      <w:pPr>
        <w:pStyle w:val="NumberLevel1"/>
        <w:numPr>
          <w:ilvl w:val="0"/>
          <w:numId w:val="0"/>
        </w:numPr>
        <w:spacing w:before="360" w:after="0"/>
        <w:rPr>
          <w:i/>
          <w:u w:val="single"/>
        </w:rPr>
      </w:pPr>
      <w:r w:rsidRPr="00C374B1">
        <w:rPr>
          <w:i/>
          <w:u w:val="single"/>
        </w:rPr>
        <w:t>Conclusion on the safety criteria</w:t>
      </w:r>
    </w:p>
    <w:p w14:paraId="1A7643F0" w14:textId="77777777" w:rsidR="006B4FEC" w:rsidRDefault="006B4FEC" w:rsidP="003C69F4">
      <w:pPr>
        <w:pStyle w:val="NumberLevel1"/>
        <w:ind w:left="709"/>
      </w:pPr>
      <w:r>
        <w:t xml:space="preserve">For the reasons set out above, I find that none of paragraphs </w:t>
      </w:r>
      <w:proofErr w:type="gramStart"/>
      <w:r>
        <w:t>5A(</w:t>
      </w:r>
      <w:proofErr w:type="gramEnd"/>
      <w:r>
        <w:t xml:space="preserve">1)(a), (b) or (c) are satisfied in respect of the products. Accordingly, I find that the products listed in </w:t>
      </w:r>
      <w:r>
        <w:rPr>
          <w:b/>
        </w:rPr>
        <w:t>Table 1</w:t>
      </w:r>
      <w:r>
        <w:t xml:space="preserve"> do not meet any of the safety criteria set out in subsection </w:t>
      </w:r>
      <w:proofErr w:type="gramStart"/>
      <w:r>
        <w:t>5A(</w:t>
      </w:r>
      <w:proofErr w:type="gramEnd"/>
      <w:r>
        <w:t>1) of the Code.</w:t>
      </w:r>
    </w:p>
    <w:p w14:paraId="461918BE" w14:textId="77777777" w:rsidR="006B4FEC" w:rsidRPr="00C374B1" w:rsidRDefault="006B4FEC" w:rsidP="006B4FEC">
      <w:pPr>
        <w:pStyle w:val="NumberLevel1"/>
        <w:keepNext/>
        <w:keepLines/>
        <w:numPr>
          <w:ilvl w:val="0"/>
          <w:numId w:val="0"/>
        </w:numPr>
        <w:spacing w:before="360" w:after="0"/>
        <w:rPr>
          <w:b/>
          <w:i/>
        </w:rPr>
      </w:pPr>
      <w:r w:rsidRPr="00C374B1">
        <w:rPr>
          <w:b/>
          <w:i/>
        </w:rPr>
        <w:t>Conclusion on whether the products meets the safety criteria</w:t>
      </w:r>
    </w:p>
    <w:p w14:paraId="4BD70099" w14:textId="77777777" w:rsidR="006B4FEC" w:rsidRDefault="006B4FEC" w:rsidP="003C69F4">
      <w:pPr>
        <w:pStyle w:val="NumberLevel1"/>
        <w:ind w:left="709"/>
      </w:pPr>
      <w:r>
        <w:t xml:space="preserve">For the reasons set out above, on the material </w:t>
      </w:r>
      <w:r w:rsidRPr="009C66A4">
        <w:t>currently before me, I find that the products do not satisfy the requirements of paragraph 34(1</w:t>
      </w:r>
      <w:proofErr w:type="gramStart"/>
      <w:r w:rsidRPr="009C66A4">
        <w:t>)(</w:t>
      </w:r>
      <w:proofErr w:type="gramEnd"/>
      <w:r w:rsidRPr="009C66A4">
        <w:t>b) of the Code in order to affirm the registration of the products. As all of the safety, trade and efficacy criteria must be satisfied in order to meet the requirements of paragraph 34(1</w:t>
      </w:r>
      <w:proofErr w:type="gramStart"/>
      <w:r w:rsidRPr="009C66A4">
        <w:t>)(</w:t>
      </w:r>
      <w:proofErr w:type="gramEnd"/>
      <w:r w:rsidRPr="009C66A4">
        <w:t>b), that is, the criteria are cumulative, and I find</w:t>
      </w:r>
      <w:r>
        <w:t xml:space="preserve"> </w:t>
      </w:r>
      <w:r w:rsidRPr="009C66A4">
        <w:t>that the products do not meet the safety criteria, it is not necessary for me to make any findings in relation to the other criteria.</w:t>
      </w:r>
      <w:r>
        <w:t xml:space="preserve"> </w:t>
      </w:r>
    </w:p>
    <w:p w14:paraId="123EC3AE" w14:textId="77777777" w:rsidR="006B4FEC" w:rsidRPr="009C66A4" w:rsidRDefault="006B4FEC" w:rsidP="003C69F4">
      <w:pPr>
        <w:pStyle w:val="NumberLevel1"/>
        <w:keepNext/>
        <w:keepLines/>
        <w:numPr>
          <w:ilvl w:val="0"/>
          <w:numId w:val="0"/>
        </w:numPr>
        <w:spacing w:before="360" w:after="0"/>
      </w:pPr>
      <w:r w:rsidRPr="009C66A4">
        <w:rPr>
          <w:b/>
        </w:rPr>
        <w:t>Issue 2 – can the relevant particulars or conditions of the registration be varied in such a way to allow registration to be affirmed? [</w:t>
      </w:r>
      <w:proofErr w:type="gramStart"/>
      <w:r w:rsidRPr="009C66A4">
        <w:rPr>
          <w:b/>
        </w:rPr>
        <w:t>paragraph</w:t>
      </w:r>
      <w:proofErr w:type="gramEnd"/>
      <w:r w:rsidRPr="009C66A4">
        <w:rPr>
          <w:b/>
        </w:rPr>
        <w:t> 34A(1)(b)]</w:t>
      </w:r>
    </w:p>
    <w:p w14:paraId="0CE59260" w14:textId="77777777" w:rsidR="006B4FEC" w:rsidRDefault="006B4FEC" w:rsidP="003C69F4">
      <w:pPr>
        <w:pStyle w:val="NumberLevel1"/>
        <w:ind w:left="709"/>
      </w:pPr>
      <w:r>
        <w:t>As I find that the requirements of subsection 34(1) of the Code are not met in relation to the products, the APVMA must vary the relevant particulars or conditions of the registration if they can be varied in such a way as to allow registration to be affirmed. However, varying relevant particulars and/or conditions of registration could not make the products meet the required safety criteria.</w:t>
      </w:r>
    </w:p>
    <w:p w14:paraId="5E2D2E23" w14:textId="77777777" w:rsidR="006B4FEC" w:rsidRDefault="006B4FEC" w:rsidP="003C69F4">
      <w:pPr>
        <w:pStyle w:val="NumberLevel1"/>
        <w:ind w:left="709"/>
      </w:pPr>
      <w:r>
        <w:t xml:space="preserve">On the material currently before me, I am not satisfied that the relevant particulars or conditions of the registration can be varied in such a way as to allow the registration to be affirmed. Accordingly, I will not vary the relevant particulars or conditions of the registration under subsection </w:t>
      </w:r>
      <w:proofErr w:type="gramStart"/>
      <w:r>
        <w:t>34A(</w:t>
      </w:r>
      <w:proofErr w:type="gramEnd"/>
      <w:r>
        <w:t>1) of the Code.</w:t>
      </w:r>
    </w:p>
    <w:p w14:paraId="064FD693" w14:textId="77777777" w:rsidR="006B4FEC" w:rsidRDefault="006B4FEC" w:rsidP="003C69F4">
      <w:pPr>
        <w:pStyle w:val="NumberLevel1"/>
        <w:keepNext/>
        <w:keepLines/>
        <w:numPr>
          <w:ilvl w:val="0"/>
          <w:numId w:val="0"/>
        </w:numPr>
        <w:spacing w:before="360" w:after="0"/>
        <w:rPr>
          <w:b/>
        </w:rPr>
      </w:pPr>
      <w:r>
        <w:rPr>
          <w:b/>
        </w:rPr>
        <w:t>Issue 3 – cancellation of the products [</w:t>
      </w:r>
      <w:r w:rsidRPr="009C66A4">
        <w:rPr>
          <w:b/>
        </w:rPr>
        <w:t xml:space="preserve">subsection </w:t>
      </w:r>
      <w:proofErr w:type="gramStart"/>
      <w:r w:rsidRPr="009C66A4">
        <w:rPr>
          <w:b/>
        </w:rPr>
        <w:t>34AA(</w:t>
      </w:r>
      <w:proofErr w:type="gramEnd"/>
      <w:r w:rsidRPr="009C66A4">
        <w:rPr>
          <w:b/>
        </w:rPr>
        <w:t>1)</w:t>
      </w:r>
      <w:r>
        <w:rPr>
          <w:b/>
        </w:rPr>
        <w:t>]</w:t>
      </w:r>
    </w:p>
    <w:p w14:paraId="3FE7816C" w14:textId="77777777" w:rsidR="006B4FEC" w:rsidRDefault="006B4FEC" w:rsidP="003C69F4">
      <w:pPr>
        <w:pStyle w:val="NumberLevel1"/>
        <w:ind w:left="709"/>
      </w:pPr>
      <w:r>
        <w:t>As I am not satisfied, on the material currently before me, that the products meet the requirements of paragraph 34(1</w:t>
      </w:r>
      <w:proofErr w:type="gramStart"/>
      <w:r>
        <w:t>)(</w:t>
      </w:r>
      <w:proofErr w:type="gramEnd"/>
      <w:r>
        <w:t xml:space="preserve">b) of the Code or that the relevant particulars or conditions of the registration can be varied in such a way as to allow the registration to be affirmed under subsection 34A(1) of the Code, I do not affirm the registration of the products. In those circumstances, subsection </w:t>
      </w:r>
      <w:proofErr w:type="gramStart"/>
      <w:r>
        <w:t>34AA(</w:t>
      </w:r>
      <w:proofErr w:type="gramEnd"/>
      <w:r>
        <w:t xml:space="preserve">1) of the Code will require the registration of the products to be cancelled. </w:t>
      </w:r>
    </w:p>
    <w:p w14:paraId="2F5CD2AB" w14:textId="77777777" w:rsidR="006B4FEC" w:rsidRDefault="006B4FEC" w:rsidP="003C69F4">
      <w:pPr>
        <w:pStyle w:val="NumberLevel1"/>
        <w:ind w:firstLine="0"/>
      </w:pPr>
      <w:r>
        <w:t>In the circumstances, I have cancelled the registration of the products in Table 1.</w:t>
      </w:r>
    </w:p>
    <w:p w14:paraId="1191171D" w14:textId="77777777" w:rsidR="006B4FEC" w:rsidRPr="008B5A4E" w:rsidRDefault="006B4FEC" w:rsidP="006B4FEC">
      <w:pPr>
        <w:pStyle w:val="NumberLevel2"/>
        <w:numPr>
          <w:ilvl w:val="0"/>
          <w:numId w:val="0"/>
        </w:numPr>
        <w:ind w:left="709" w:hanging="709"/>
        <w:rPr>
          <w:b/>
          <w:sz w:val="22"/>
        </w:rPr>
      </w:pPr>
      <w:r w:rsidRPr="008B5A4E">
        <w:rPr>
          <w:b/>
          <w:sz w:val="22"/>
        </w:rPr>
        <w:t>Signed by</w:t>
      </w:r>
    </w:p>
    <w:p w14:paraId="0AE3E4A5" w14:textId="77777777" w:rsidR="006B4FEC" w:rsidRPr="008B5A4E" w:rsidRDefault="006B4FEC" w:rsidP="006B4FEC">
      <w:pPr>
        <w:autoSpaceDE w:val="0"/>
        <w:autoSpaceDN w:val="0"/>
        <w:adjustRightInd w:val="0"/>
        <w:rPr>
          <w:rFonts w:ascii="*Calibri-3551-Identity-H" w:eastAsiaTheme="minorHAnsi" w:hAnsi="*Calibri-3551-Identity-H" w:cs="*Calibri-3551-Identity-H"/>
          <w:color w:val="202020"/>
        </w:rPr>
      </w:pPr>
    </w:p>
    <w:p w14:paraId="63C737D3" w14:textId="77777777" w:rsidR="006B4FEC" w:rsidRPr="008B5A4E" w:rsidRDefault="006B4FEC" w:rsidP="006B4FEC">
      <w:pPr>
        <w:pStyle w:val="NumberLevel2"/>
        <w:numPr>
          <w:ilvl w:val="0"/>
          <w:numId w:val="0"/>
        </w:numPr>
        <w:spacing w:before="0" w:after="0" w:line="240" w:lineRule="auto"/>
        <w:ind w:left="709" w:hanging="709"/>
        <w:rPr>
          <w:b/>
          <w:sz w:val="22"/>
        </w:rPr>
      </w:pPr>
      <w:r w:rsidRPr="008B5A4E">
        <w:rPr>
          <w:b/>
          <w:sz w:val="22"/>
        </w:rPr>
        <w:t>Dr Maggie Hardy</w:t>
      </w:r>
    </w:p>
    <w:p w14:paraId="6CB58818" w14:textId="77777777" w:rsidR="006B4FEC" w:rsidRPr="008B5A4E" w:rsidRDefault="006B4FEC" w:rsidP="006B4FEC">
      <w:pPr>
        <w:pStyle w:val="NumberLevel2"/>
        <w:numPr>
          <w:ilvl w:val="0"/>
          <w:numId w:val="0"/>
        </w:numPr>
        <w:spacing w:before="0" w:after="0" w:line="240" w:lineRule="auto"/>
        <w:ind w:left="709" w:hanging="709"/>
        <w:rPr>
          <w:sz w:val="22"/>
        </w:rPr>
      </w:pPr>
      <w:r w:rsidRPr="008B5A4E">
        <w:rPr>
          <w:sz w:val="22"/>
        </w:rPr>
        <w:t>Chief Regulatory Scientist</w:t>
      </w:r>
      <w:r w:rsidRPr="008B5A4E" w:rsidDel="007E433E">
        <w:rPr>
          <w:sz w:val="22"/>
        </w:rPr>
        <w:t xml:space="preserve"> </w:t>
      </w:r>
    </w:p>
    <w:p w14:paraId="0B32F6E2" w14:textId="77777777" w:rsidR="006B4FEC" w:rsidRPr="008B5A4E" w:rsidRDefault="006B4FEC" w:rsidP="006B4FEC">
      <w:pPr>
        <w:pStyle w:val="NumberLevel2"/>
        <w:numPr>
          <w:ilvl w:val="0"/>
          <w:numId w:val="0"/>
        </w:numPr>
        <w:spacing w:before="0" w:after="0" w:line="240" w:lineRule="auto"/>
        <w:ind w:left="709" w:hanging="709"/>
        <w:rPr>
          <w:sz w:val="22"/>
        </w:rPr>
      </w:pPr>
      <w:r>
        <w:rPr>
          <w:sz w:val="22"/>
        </w:rPr>
        <w:t>Australian Pesticides and Veterinary Medicines Authority</w:t>
      </w:r>
    </w:p>
    <w:p w14:paraId="3D3600D0" w14:textId="77777777" w:rsidR="006B4FEC" w:rsidRDefault="006B4FEC">
      <w:r>
        <w:br w:type="page"/>
      </w:r>
    </w:p>
    <w:p w14:paraId="5BC9F4B1" w14:textId="77777777" w:rsidR="006B4FEC" w:rsidRDefault="006B4FEC" w:rsidP="006B4FEC">
      <w:pPr>
        <w:pStyle w:val="Heading1"/>
      </w:pPr>
      <w:bookmarkStart w:id="8" w:name="_Toc5872892"/>
      <w:r>
        <w:lastRenderedPageBreak/>
        <w:t xml:space="preserve">Annexure A – EXPOSURE MODELLING USING US EPA </w:t>
      </w:r>
      <w:r w:rsidRPr="00554853">
        <w:t>OPHEC</w:t>
      </w:r>
    </w:p>
    <w:p w14:paraId="6DBD0EED" w14:textId="77777777" w:rsidR="006B4FEC" w:rsidRDefault="006B4FEC" w:rsidP="006B4FEC"/>
    <w:p w14:paraId="08F29821" w14:textId="77777777" w:rsidR="006B4FEC" w:rsidRDefault="006B4FEC" w:rsidP="006B4FEC">
      <w:r>
        <w:t xml:space="preserve">Table A-1. Acceptable professional public space uses of </w:t>
      </w:r>
      <w:proofErr w:type="spellStart"/>
      <w:r>
        <w:t>chlorpyrifos</w:t>
      </w:r>
      <w:proofErr w:type="spellEnd"/>
      <w:r>
        <w:t xml:space="preserve"> based on mixing, loading and application exposure modelling.</w:t>
      </w:r>
    </w:p>
    <w:tbl>
      <w:tblPr>
        <w:tblStyle w:val="TableGrid"/>
        <w:tblW w:w="5000" w:type="pct"/>
        <w:tblLook w:val="04A0" w:firstRow="1" w:lastRow="0" w:firstColumn="1" w:lastColumn="0" w:noHBand="0" w:noVBand="1"/>
        <w:tblDescription w:val="ANNEXURE B – ACCEPTABLE PROFESSIONAL PUBLIC SPACE USES OF CLORPYRIFOS BASED ON MIXING, LOADING AND APPLICATION EXPOSURE MODELLING USING US EPA OPHEC"/>
      </w:tblPr>
      <w:tblGrid>
        <w:gridCol w:w="2127"/>
        <w:gridCol w:w="1559"/>
        <w:gridCol w:w="1418"/>
        <w:gridCol w:w="1277"/>
        <w:gridCol w:w="1418"/>
        <w:gridCol w:w="1981"/>
      </w:tblGrid>
      <w:tr w:rsidR="006B4FEC" w14:paraId="645A6221" w14:textId="77777777" w:rsidTr="00BE73E5">
        <w:trPr>
          <w:tblHeader/>
        </w:trPr>
        <w:tc>
          <w:tcPr>
            <w:tcW w:w="1087" w:type="pct"/>
            <w:tcBorders>
              <w:bottom w:val="single" w:sz="4" w:space="0" w:color="auto"/>
            </w:tcBorders>
            <w:shd w:val="clear" w:color="auto" w:fill="D9D9D9" w:themeFill="background1" w:themeFillShade="D9"/>
            <w:vAlign w:val="bottom"/>
          </w:tcPr>
          <w:p w14:paraId="5DC2F18B" w14:textId="77777777" w:rsidR="006B4FEC" w:rsidRDefault="006B4FEC" w:rsidP="00BE73E5">
            <w:pPr>
              <w:pStyle w:val="GazetteTableHeading"/>
            </w:pPr>
            <w:r>
              <w:t>Crop/use</w:t>
            </w:r>
          </w:p>
        </w:tc>
        <w:tc>
          <w:tcPr>
            <w:tcW w:w="797" w:type="pct"/>
            <w:tcBorders>
              <w:bottom w:val="single" w:sz="4" w:space="0" w:color="auto"/>
            </w:tcBorders>
            <w:shd w:val="clear" w:color="auto" w:fill="D9D9D9" w:themeFill="background1" w:themeFillShade="D9"/>
            <w:vAlign w:val="bottom"/>
          </w:tcPr>
          <w:p w14:paraId="1AB94D3F" w14:textId="77777777" w:rsidR="006B4FEC" w:rsidRDefault="006B4FEC" w:rsidP="00BE73E5">
            <w:pPr>
              <w:pStyle w:val="GazetteTableHeading"/>
            </w:pPr>
            <w:r>
              <w:t>Application method</w:t>
            </w:r>
          </w:p>
        </w:tc>
        <w:tc>
          <w:tcPr>
            <w:tcW w:w="725" w:type="pct"/>
            <w:tcBorders>
              <w:bottom w:val="single" w:sz="4" w:space="0" w:color="auto"/>
            </w:tcBorders>
            <w:shd w:val="clear" w:color="auto" w:fill="D9D9D9" w:themeFill="background1" w:themeFillShade="D9"/>
            <w:vAlign w:val="bottom"/>
          </w:tcPr>
          <w:p w14:paraId="51D52501" w14:textId="77777777" w:rsidR="006B4FEC" w:rsidRDefault="006B4FEC" w:rsidP="00BE73E5">
            <w:pPr>
              <w:pStyle w:val="GazetteTableHeading"/>
            </w:pPr>
            <w:r>
              <w:t>Application rate</w:t>
            </w:r>
          </w:p>
        </w:tc>
        <w:tc>
          <w:tcPr>
            <w:tcW w:w="653" w:type="pct"/>
            <w:tcBorders>
              <w:bottom w:val="single" w:sz="4" w:space="0" w:color="auto"/>
            </w:tcBorders>
            <w:shd w:val="clear" w:color="auto" w:fill="D9D9D9" w:themeFill="background1" w:themeFillShade="D9"/>
            <w:vAlign w:val="bottom"/>
          </w:tcPr>
          <w:p w14:paraId="78F97D43" w14:textId="77777777" w:rsidR="006B4FEC" w:rsidRDefault="006B4FEC" w:rsidP="00BE73E5">
            <w:pPr>
              <w:pStyle w:val="GazetteTableHeading"/>
            </w:pPr>
            <w:r>
              <w:t>Work rate</w:t>
            </w:r>
          </w:p>
        </w:tc>
        <w:tc>
          <w:tcPr>
            <w:tcW w:w="725" w:type="pct"/>
            <w:tcBorders>
              <w:bottom w:val="single" w:sz="4" w:space="0" w:color="auto"/>
            </w:tcBorders>
            <w:shd w:val="clear" w:color="auto" w:fill="D9D9D9" w:themeFill="background1" w:themeFillShade="D9"/>
            <w:vAlign w:val="bottom"/>
          </w:tcPr>
          <w:p w14:paraId="164774BE" w14:textId="77777777" w:rsidR="006B4FEC" w:rsidRDefault="006B4FEC" w:rsidP="00BE73E5">
            <w:pPr>
              <w:pStyle w:val="GazetteTableHeading"/>
            </w:pPr>
            <w:r>
              <w:t>MOE</w:t>
            </w:r>
            <w:r w:rsidRPr="00D13A3E">
              <w:rPr>
                <w:vertAlign w:val="superscript"/>
              </w:rPr>
              <w:t>† ֍</w:t>
            </w:r>
          </w:p>
        </w:tc>
        <w:tc>
          <w:tcPr>
            <w:tcW w:w="1013" w:type="pct"/>
            <w:tcBorders>
              <w:bottom w:val="single" w:sz="4" w:space="0" w:color="auto"/>
            </w:tcBorders>
            <w:shd w:val="clear" w:color="auto" w:fill="D9D9D9" w:themeFill="background1" w:themeFillShade="D9"/>
            <w:vAlign w:val="bottom"/>
          </w:tcPr>
          <w:p w14:paraId="4E566B2C" w14:textId="77777777" w:rsidR="006B4FEC" w:rsidRDefault="006B4FEC" w:rsidP="00BE73E5">
            <w:pPr>
              <w:pStyle w:val="GazetteTableHeading"/>
            </w:pPr>
            <w:r>
              <w:t>Comments</w:t>
            </w:r>
          </w:p>
        </w:tc>
      </w:tr>
      <w:tr w:rsidR="006B4FEC" w14:paraId="4DAD512B" w14:textId="77777777" w:rsidTr="00BE73E5">
        <w:tc>
          <w:tcPr>
            <w:tcW w:w="1087" w:type="pct"/>
            <w:vMerge w:val="restart"/>
            <w:tcBorders>
              <w:top w:val="single" w:sz="4" w:space="0" w:color="auto"/>
            </w:tcBorders>
          </w:tcPr>
          <w:p w14:paraId="7A738272" w14:textId="77777777" w:rsidR="006B4FEC" w:rsidRPr="001F4022" w:rsidRDefault="006B4FEC" w:rsidP="00BE73E5">
            <w:pPr>
              <w:pStyle w:val="GazetteTableText"/>
              <w:rPr>
                <w:b/>
              </w:rPr>
            </w:pPr>
            <w:r w:rsidRPr="001F4022">
              <w:rPr>
                <w:b/>
              </w:rPr>
              <w:t>Child-accessible domestic and child-accessible public space uses (professional use)</w:t>
            </w:r>
          </w:p>
          <w:p w14:paraId="3C605649" w14:textId="77777777" w:rsidR="006B4FEC" w:rsidRPr="00762C1A" w:rsidRDefault="006B4FEC" w:rsidP="00BE73E5">
            <w:pPr>
              <w:pStyle w:val="GazetteTableText"/>
            </w:pPr>
            <w:r>
              <w:t>Container plants</w:t>
            </w:r>
          </w:p>
          <w:p w14:paraId="56DB068F" w14:textId="77777777" w:rsidR="006B4FEC" w:rsidRPr="00762C1A" w:rsidRDefault="006B4FEC" w:rsidP="00BE73E5">
            <w:pPr>
              <w:pStyle w:val="GazetteTableText"/>
            </w:pPr>
            <w:r w:rsidRPr="00762C1A">
              <w:t>Domestic areas</w:t>
            </w:r>
          </w:p>
          <w:p w14:paraId="2B978633" w14:textId="77777777" w:rsidR="006B4FEC" w:rsidRPr="00762C1A" w:rsidRDefault="006B4FEC" w:rsidP="00BE73E5">
            <w:pPr>
              <w:pStyle w:val="GazetteTableText"/>
            </w:pPr>
            <w:r w:rsidRPr="00762C1A">
              <w:t>Domestic uses</w:t>
            </w:r>
          </w:p>
          <w:p w14:paraId="6F041BBB" w14:textId="77777777" w:rsidR="006B4FEC" w:rsidRPr="00762C1A" w:rsidRDefault="006B4FEC" w:rsidP="00BE73E5">
            <w:pPr>
              <w:pStyle w:val="GazetteTableText"/>
            </w:pPr>
            <w:proofErr w:type="spellStart"/>
            <w:r w:rsidRPr="00762C1A">
              <w:t>Duboisia</w:t>
            </w:r>
            <w:proofErr w:type="spellEnd"/>
            <w:r w:rsidRPr="00762C1A">
              <w:t xml:space="preserve"> (in domestic and public space uses)</w:t>
            </w:r>
          </w:p>
          <w:p w14:paraId="0BA8C089" w14:textId="77777777" w:rsidR="006B4FEC" w:rsidRPr="00762C1A" w:rsidRDefault="006B4FEC" w:rsidP="00BE73E5">
            <w:pPr>
              <w:pStyle w:val="GazetteTableText"/>
            </w:pPr>
            <w:r w:rsidRPr="00762C1A">
              <w:t>Exterior or outdoor areas of domestic buildings</w:t>
            </w:r>
          </w:p>
          <w:p w14:paraId="63EEF4F3" w14:textId="77777777" w:rsidR="006B4FEC" w:rsidRPr="00762C1A" w:rsidRDefault="006B4FEC" w:rsidP="00BE73E5">
            <w:pPr>
              <w:pStyle w:val="GazetteTableText"/>
            </w:pPr>
            <w:r w:rsidRPr="00762C1A">
              <w:t>Fences</w:t>
            </w:r>
          </w:p>
          <w:p w14:paraId="6137FC6C" w14:textId="77777777" w:rsidR="006B4FEC" w:rsidRPr="00762C1A" w:rsidRDefault="006B4FEC" w:rsidP="00BE73E5">
            <w:pPr>
              <w:pStyle w:val="GazetteTableText"/>
            </w:pPr>
            <w:r w:rsidRPr="00762C1A">
              <w:t>Garden beds</w:t>
            </w:r>
          </w:p>
          <w:p w14:paraId="3BDB9586" w14:textId="77777777" w:rsidR="006B4FEC" w:rsidRPr="00762C1A" w:rsidRDefault="006B4FEC" w:rsidP="00BE73E5">
            <w:pPr>
              <w:pStyle w:val="GazetteTableText"/>
            </w:pPr>
            <w:r w:rsidRPr="00762C1A">
              <w:t>Garden paths</w:t>
            </w:r>
          </w:p>
          <w:p w14:paraId="72040ACC" w14:textId="77777777" w:rsidR="006B4FEC" w:rsidRPr="00762C1A" w:rsidRDefault="006B4FEC" w:rsidP="00BE73E5">
            <w:pPr>
              <w:pStyle w:val="GazetteTableText"/>
            </w:pPr>
            <w:r w:rsidRPr="00762C1A">
              <w:t>Gardens</w:t>
            </w:r>
          </w:p>
          <w:p w14:paraId="201F1B23" w14:textId="77777777" w:rsidR="006B4FEC" w:rsidRPr="00762C1A" w:rsidRDefault="006B4FEC" w:rsidP="00BE73E5">
            <w:pPr>
              <w:pStyle w:val="GazetteTableText"/>
            </w:pPr>
            <w:r w:rsidRPr="00762C1A">
              <w:t>In and around houses and domestic buildings</w:t>
            </w:r>
          </w:p>
          <w:p w14:paraId="6460DE43" w14:textId="77777777" w:rsidR="006B4FEC" w:rsidRPr="00762C1A" w:rsidRDefault="006B4FEC" w:rsidP="00BE73E5">
            <w:pPr>
              <w:pStyle w:val="GazetteTableText"/>
            </w:pPr>
            <w:r w:rsidRPr="00762C1A">
              <w:t>Macrocarpa hedges (in domestic and public space uses)</w:t>
            </w:r>
          </w:p>
          <w:p w14:paraId="733B944B" w14:textId="77777777" w:rsidR="006B4FEC" w:rsidRPr="00762C1A" w:rsidRDefault="006B4FEC" w:rsidP="00BE73E5">
            <w:pPr>
              <w:pStyle w:val="GazetteTableText"/>
            </w:pPr>
            <w:r w:rsidRPr="00762C1A">
              <w:t>Potted ornamentals and other potted plants</w:t>
            </w:r>
          </w:p>
          <w:p w14:paraId="4FB4E6EC" w14:textId="77777777" w:rsidR="006B4FEC" w:rsidRPr="00762C1A" w:rsidRDefault="006B4FEC" w:rsidP="00BE73E5">
            <w:pPr>
              <w:pStyle w:val="GazetteTableText"/>
            </w:pPr>
            <w:r w:rsidRPr="00762C1A">
              <w:t>Public places</w:t>
            </w:r>
          </w:p>
          <w:p w14:paraId="6A0BD84E" w14:textId="77777777" w:rsidR="006B4FEC" w:rsidRPr="00762C1A" w:rsidRDefault="006B4FEC" w:rsidP="00BE73E5">
            <w:pPr>
              <w:pStyle w:val="GazetteTableText"/>
            </w:pPr>
            <w:r w:rsidRPr="00762C1A">
              <w:t>Public service areas</w:t>
            </w:r>
          </w:p>
          <w:p w14:paraId="637609BE" w14:textId="77777777" w:rsidR="006B4FEC" w:rsidRPr="00762C1A" w:rsidRDefault="006B4FEC" w:rsidP="00BE73E5">
            <w:pPr>
              <w:pStyle w:val="GazetteTableText"/>
            </w:pPr>
            <w:r w:rsidRPr="00762C1A">
              <w:t>Rockeries</w:t>
            </w:r>
          </w:p>
          <w:p w14:paraId="42609CF5" w14:textId="77777777" w:rsidR="006B4FEC" w:rsidRPr="00762C1A" w:rsidRDefault="006B4FEC" w:rsidP="00BE73E5">
            <w:pPr>
              <w:pStyle w:val="GazetteTableText"/>
            </w:pPr>
            <w:r w:rsidRPr="00762C1A">
              <w:t>Tennis courts</w:t>
            </w:r>
          </w:p>
          <w:p w14:paraId="0F72422B" w14:textId="77777777" w:rsidR="006B4FEC" w:rsidRDefault="006B4FEC" w:rsidP="00BE73E5">
            <w:pPr>
              <w:pStyle w:val="GazetteTableText"/>
            </w:pPr>
            <w:r w:rsidRPr="00762C1A">
              <w:t>Uses on turf and/or lawns to which children have access</w:t>
            </w:r>
          </w:p>
        </w:tc>
        <w:tc>
          <w:tcPr>
            <w:tcW w:w="797" w:type="pct"/>
            <w:tcBorders>
              <w:top w:val="single" w:sz="4" w:space="0" w:color="auto"/>
              <w:bottom w:val="single" w:sz="4" w:space="0" w:color="auto"/>
            </w:tcBorders>
          </w:tcPr>
          <w:p w14:paraId="2D6112F6" w14:textId="77777777" w:rsidR="006B4FEC" w:rsidRPr="00762C1A" w:rsidRDefault="006B4FEC" w:rsidP="00BE73E5">
            <w:pPr>
              <w:pStyle w:val="GazetteTableText"/>
            </w:pPr>
            <w:r w:rsidRPr="00762C1A">
              <w:t>Push type spreader (granules)</w:t>
            </w:r>
          </w:p>
        </w:tc>
        <w:tc>
          <w:tcPr>
            <w:tcW w:w="725" w:type="pct"/>
            <w:tcBorders>
              <w:top w:val="single" w:sz="4" w:space="0" w:color="auto"/>
              <w:bottom w:val="single" w:sz="4" w:space="0" w:color="auto"/>
            </w:tcBorders>
          </w:tcPr>
          <w:p w14:paraId="002128B5" w14:textId="77777777" w:rsidR="006B4FEC" w:rsidRPr="00762C1A" w:rsidRDefault="006B4FEC" w:rsidP="00BE73E5">
            <w:pPr>
              <w:pStyle w:val="GazetteTableText"/>
            </w:pPr>
            <w:r w:rsidRPr="00762C1A">
              <w:t>0.</w:t>
            </w:r>
            <w:r>
              <w:t>1</w:t>
            </w:r>
            <w:r w:rsidRPr="00762C1A">
              <w:t xml:space="preserve"> g</w:t>
            </w:r>
            <w:r>
              <w:t xml:space="preserve"> </w:t>
            </w:r>
            <w:proofErr w:type="spellStart"/>
            <w:r>
              <w:t>a.c</w:t>
            </w:r>
            <w:proofErr w:type="spellEnd"/>
            <w:r>
              <w:t>.</w:t>
            </w:r>
            <w:r w:rsidRPr="00762C1A">
              <w:t>/m</w:t>
            </w:r>
            <w:r w:rsidRPr="00762C1A">
              <w:rPr>
                <w:vertAlign w:val="superscript"/>
              </w:rPr>
              <w:t>2</w:t>
            </w:r>
          </w:p>
        </w:tc>
        <w:tc>
          <w:tcPr>
            <w:tcW w:w="653" w:type="pct"/>
            <w:tcBorders>
              <w:top w:val="single" w:sz="4" w:space="0" w:color="auto"/>
              <w:bottom w:val="single" w:sz="4" w:space="0" w:color="auto"/>
            </w:tcBorders>
          </w:tcPr>
          <w:p w14:paraId="13236A38" w14:textId="77777777" w:rsidR="006B4FEC" w:rsidRPr="00762C1A" w:rsidRDefault="006B4FEC" w:rsidP="00BE73E5">
            <w:pPr>
              <w:pStyle w:val="GazetteTableText"/>
            </w:pPr>
            <w:r w:rsidRPr="00762C1A">
              <w:t>200</w:t>
            </w:r>
            <w:r>
              <w:t>0</w:t>
            </w:r>
            <w:r w:rsidRPr="00762C1A">
              <w:t xml:space="preserve"> m</w:t>
            </w:r>
            <w:r w:rsidRPr="00762C1A">
              <w:rPr>
                <w:vertAlign w:val="superscript"/>
              </w:rPr>
              <w:t>2</w:t>
            </w:r>
            <w:r w:rsidRPr="00762C1A">
              <w:t>/d</w:t>
            </w:r>
          </w:p>
        </w:tc>
        <w:tc>
          <w:tcPr>
            <w:tcW w:w="725" w:type="pct"/>
            <w:tcBorders>
              <w:top w:val="single" w:sz="4" w:space="0" w:color="auto"/>
              <w:bottom w:val="single" w:sz="4" w:space="0" w:color="auto"/>
            </w:tcBorders>
          </w:tcPr>
          <w:p w14:paraId="50AE9E3E" w14:textId="77777777" w:rsidR="006B4FEC" w:rsidRDefault="006B4FEC" w:rsidP="00BE73E5">
            <w:pPr>
              <w:pStyle w:val="GazetteTableText"/>
            </w:pPr>
            <w:r>
              <w:t>526</w:t>
            </w:r>
          </w:p>
        </w:tc>
        <w:tc>
          <w:tcPr>
            <w:tcW w:w="1013" w:type="pct"/>
            <w:tcBorders>
              <w:top w:val="single" w:sz="4" w:space="0" w:color="auto"/>
              <w:bottom w:val="single" w:sz="4" w:space="0" w:color="auto"/>
            </w:tcBorders>
          </w:tcPr>
          <w:p w14:paraId="55F985B2" w14:textId="77777777" w:rsidR="006B4FEC" w:rsidRPr="00762C1A" w:rsidRDefault="006B4FEC" w:rsidP="00BE73E5">
            <w:pPr>
              <w:pStyle w:val="GazetteTableText"/>
              <w:rPr>
                <w:b/>
              </w:rPr>
            </w:pPr>
            <w:r w:rsidRPr="00762C1A">
              <w:rPr>
                <w:b/>
              </w:rPr>
              <w:t>Required personal protective equipment:</w:t>
            </w:r>
          </w:p>
          <w:p w14:paraId="608AF386" w14:textId="77777777" w:rsidR="006B4FEC" w:rsidRPr="00762C1A" w:rsidRDefault="006B4FEC" w:rsidP="00BE73E5">
            <w:pPr>
              <w:pStyle w:val="GazetteTableText"/>
              <w:rPr>
                <w:b/>
              </w:rPr>
            </w:pPr>
            <w:r>
              <w:t>Long sleeved shirt buttoned at the neck and wrist, long pants, socks and boots (or coveralls buttoned at the wrist and neck, socks and boots)</w:t>
            </w:r>
          </w:p>
        </w:tc>
      </w:tr>
      <w:tr w:rsidR="006B4FEC" w14:paraId="414BA036" w14:textId="77777777" w:rsidTr="00BE73E5">
        <w:tc>
          <w:tcPr>
            <w:tcW w:w="1087" w:type="pct"/>
            <w:vMerge/>
          </w:tcPr>
          <w:p w14:paraId="0D0FB145" w14:textId="77777777" w:rsidR="006B4FEC" w:rsidRDefault="006B4FEC" w:rsidP="00BE73E5">
            <w:pPr>
              <w:pStyle w:val="GazetteList-Numbered"/>
              <w:numPr>
                <w:ilvl w:val="0"/>
                <w:numId w:val="0"/>
              </w:numPr>
              <w:rPr>
                <w:b/>
              </w:rPr>
            </w:pPr>
          </w:p>
        </w:tc>
        <w:tc>
          <w:tcPr>
            <w:tcW w:w="797" w:type="pct"/>
            <w:tcBorders>
              <w:top w:val="single" w:sz="4" w:space="0" w:color="auto"/>
              <w:bottom w:val="single" w:sz="4" w:space="0" w:color="auto"/>
            </w:tcBorders>
          </w:tcPr>
          <w:p w14:paraId="2E1064F5" w14:textId="77777777" w:rsidR="006B4FEC" w:rsidRPr="00762C1A" w:rsidRDefault="006B4FEC" w:rsidP="00BE73E5">
            <w:pPr>
              <w:pStyle w:val="GazetteTableText"/>
            </w:pPr>
            <w:r w:rsidRPr="00762C1A">
              <w:t>Push type spreader (granules)</w:t>
            </w:r>
          </w:p>
        </w:tc>
        <w:tc>
          <w:tcPr>
            <w:tcW w:w="725" w:type="pct"/>
            <w:tcBorders>
              <w:top w:val="single" w:sz="4" w:space="0" w:color="auto"/>
              <w:bottom w:val="single" w:sz="4" w:space="0" w:color="auto"/>
            </w:tcBorders>
          </w:tcPr>
          <w:p w14:paraId="45FDCA05" w14:textId="77777777" w:rsidR="006B4FEC" w:rsidRPr="00762C1A" w:rsidRDefault="006B4FEC" w:rsidP="00BE73E5">
            <w:pPr>
              <w:pStyle w:val="GazetteTableText"/>
            </w:pPr>
            <w:r w:rsidRPr="00762C1A">
              <w:t>0.2 g</w:t>
            </w:r>
            <w:r>
              <w:t xml:space="preserve"> </w:t>
            </w:r>
            <w:proofErr w:type="spellStart"/>
            <w:r>
              <w:t>a.c</w:t>
            </w:r>
            <w:proofErr w:type="spellEnd"/>
            <w:r>
              <w:t>.</w:t>
            </w:r>
            <w:r w:rsidRPr="00762C1A">
              <w:t>/m</w:t>
            </w:r>
            <w:r w:rsidRPr="00762C1A">
              <w:rPr>
                <w:vertAlign w:val="superscript"/>
              </w:rPr>
              <w:t>2</w:t>
            </w:r>
          </w:p>
        </w:tc>
        <w:tc>
          <w:tcPr>
            <w:tcW w:w="653" w:type="pct"/>
            <w:tcBorders>
              <w:top w:val="single" w:sz="4" w:space="0" w:color="auto"/>
              <w:bottom w:val="single" w:sz="4" w:space="0" w:color="auto"/>
            </w:tcBorders>
          </w:tcPr>
          <w:p w14:paraId="343BF271" w14:textId="77777777" w:rsidR="006B4FEC" w:rsidRPr="00762C1A" w:rsidRDefault="006B4FEC" w:rsidP="00BE73E5">
            <w:pPr>
              <w:pStyle w:val="GazetteTableText"/>
            </w:pPr>
            <w:r w:rsidRPr="00762C1A">
              <w:t>200</w:t>
            </w:r>
            <w:r>
              <w:t>0</w:t>
            </w:r>
            <w:r w:rsidRPr="00762C1A">
              <w:t xml:space="preserve"> m</w:t>
            </w:r>
            <w:r w:rsidRPr="00762C1A">
              <w:rPr>
                <w:vertAlign w:val="superscript"/>
              </w:rPr>
              <w:t>2</w:t>
            </w:r>
            <w:r w:rsidRPr="00762C1A">
              <w:t>/d</w:t>
            </w:r>
          </w:p>
        </w:tc>
        <w:tc>
          <w:tcPr>
            <w:tcW w:w="725" w:type="pct"/>
            <w:tcBorders>
              <w:top w:val="single" w:sz="4" w:space="0" w:color="auto"/>
              <w:bottom w:val="single" w:sz="4" w:space="0" w:color="auto"/>
            </w:tcBorders>
          </w:tcPr>
          <w:p w14:paraId="7AD09D9B" w14:textId="77777777" w:rsidR="006B4FEC" w:rsidRPr="00762C1A" w:rsidRDefault="006B4FEC" w:rsidP="00BE73E5">
            <w:pPr>
              <w:pStyle w:val="GazetteTableText"/>
            </w:pPr>
            <w:r>
              <w:t>263</w:t>
            </w:r>
          </w:p>
        </w:tc>
        <w:tc>
          <w:tcPr>
            <w:tcW w:w="1013" w:type="pct"/>
            <w:tcBorders>
              <w:top w:val="single" w:sz="4" w:space="0" w:color="auto"/>
              <w:bottom w:val="single" w:sz="4" w:space="0" w:color="auto"/>
            </w:tcBorders>
          </w:tcPr>
          <w:p w14:paraId="303B4B3B" w14:textId="77777777" w:rsidR="006B4FEC" w:rsidRPr="00762C1A" w:rsidRDefault="006B4FEC" w:rsidP="00BE73E5">
            <w:pPr>
              <w:pStyle w:val="GazetteTableText"/>
              <w:rPr>
                <w:b/>
              </w:rPr>
            </w:pPr>
            <w:r w:rsidRPr="00762C1A">
              <w:rPr>
                <w:b/>
              </w:rPr>
              <w:t>Required personal protective equipment:</w:t>
            </w:r>
          </w:p>
          <w:p w14:paraId="6DC1DD17" w14:textId="77777777" w:rsidR="006B4FEC" w:rsidRPr="00762C1A" w:rsidRDefault="006B4FEC" w:rsidP="00BE73E5">
            <w:pPr>
              <w:pStyle w:val="GazetteTableText"/>
            </w:pPr>
            <w:r>
              <w:t>Long sleeved shirt buttoned at the neck and wrist, long pants, socks and boots (or coveralls buttoned at the wrist and neck, socks and boots)</w:t>
            </w:r>
          </w:p>
        </w:tc>
      </w:tr>
      <w:tr w:rsidR="006B4FEC" w14:paraId="444F16FF" w14:textId="77777777" w:rsidTr="00BE73E5">
        <w:tc>
          <w:tcPr>
            <w:tcW w:w="1087" w:type="pct"/>
            <w:vMerge/>
          </w:tcPr>
          <w:p w14:paraId="0D4DFDFA" w14:textId="77777777" w:rsidR="006B4FEC" w:rsidRDefault="006B4FEC" w:rsidP="00BE73E5">
            <w:pPr>
              <w:pStyle w:val="GazetteList-Numbered"/>
              <w:numPr>
                <w:ilvl w:val="0"/>
                <w:numId w:val="0"/>
              </w:numPr>
              <w:rPr>
                <w:b/>
              </w:rPr>
            </w:pPr>
          </w:p>
        </w:tc>
        <w:tc>
          <w:tcPr>
            <w:tcW w:w="797" w:type="pct"/>
            <w:tcBorders>
              <w:top w:val="single" w:sz="4" w:space="0" w:color="auto"/>
              <w:bottom w:val="single" w:sz="4" w:space="0" w:color="auto"/>
            </w:tcBorders>
          </w:tcPr>
          <w:p w14:paraId="041528CE" w14:textId="77777777" w:rsidR="006B4FEC" w:rsidRPr="00762C1A" w:rsidRDefault="006B4FEC" w:rsidP="00BE73E5">
            <w:pPr>
              <w:pStyle w:val="GazetteTableText"/>
            </w:pPr>
            <w:r w:rsidRPr="00762C1A">
              <w:t>Push type spreader (granules)</w:t>
            </w:r>
          </w:p>
        </w:tc>
        <w:tc>
          <w:tcPr>
            <w:tcW w:w="725" w:type="pct"/>
            <w:tcBorders>
              <w:top w:val="single" w:sz="4" w:space="0" w:color="auto"/>
              <w:bottom w:val="single" w:sz="4" w:space="0" w:color="auto"/>
            </w:tcBorders>
          </w:tcPr>
          <w:p w14:paraId="3ACB172A" w14:textId="77777777" w:rsidR="006B4FEC" w:rsidRPr="00762C1A" w:rsidRDefault="006B4FEC" w:rsidP="00BE73E5">
            <w:pPr>
              <w:pStyle w:val="GazetteTableText"/>
            </w:pPr>
            <w:r w:rsidRPr="00762C1A">
              <w:t>0.4 g</w:t>
            </w:r>
            <w:r>
              <w:t xml:space="preserve"> </w:t>
            </w:r>
            <w:proofErr w:type="spellStart"/>
            <w:r>
              <w:t>a.c</w:t>
            </w:r>
            <w:proofErr w:type="spellEnd"/>
            <w:r>
              <w:t>.</w:t>
            </w:r>
            <w:r w:rsidRPr="00762C1A">
              <w:t>/m</w:t>
            </w:r>
            <w:r w:rsidRPr="00762C1A">
              <w:rPr>
                <w:vertAlign w:val="superscript"/>
              </w:rPr>
              <w:t>2</w:t>
            </w:r>
          </w:p>
        </w:tc>
        <w:tc>
          <w:tcPr>
            <w:tcW w:w="653" w:type="pct"/>
            <w:tcBorders>
              <w:top w:val="single" w:sz="4" w:space="0" w:color="auto"/>
              <w:bottom w:val="single" w:sz="4" w:space="0" w:color="auto"/>
            </w:tcBorders>
          </w:tcPr>
          <w:p w14:paraId="1C44862B" w14:textId="77777777" w:rsidR="006B4FEC" w:rsidRPr="00762C1A" w:rsidRDefault="006B4FEC" w:rsidP="00BE73E5">
            <w:pPr>
              <w:pStyle w:val="GazetteTableText"/>
            </w:pPr>
            <w:r w:rsidRPr="00762C1A">
              <w:t>2000 m</w:t>
            </w:r>
            <w:r w:rsidRPr="00762C1A">
              <w:rPr>
                <w:vertAlign w:val="superscript"/>
              </w:rPr>
              <w:t>2</w:t>
            </w:r>
            <w:r w:rsidRPr="00762C1A">
              <w:t>/d</w:t>
            </w:r>
          </w:p>
        </w:tc>
        <w:tc>
          <w:tcPr>
            <w:tcW w:w="725" w:type="pct"/>
            <w:tcBorders>
              <w:top w:val="single" w:sz="4" w:space="0" w:color="auto"/>
              <w:bottom w:val="single" w:sz="4" w:space="0" w:color="auto"/>
            </w:tcBorders>
          </w:tcPr>
          <w:p w14:paraId="0BDBE648" w14:textId="77777777" w:rsidR="006B4FEC" w:rsidRPr="00762C1A" w:rsidRDefault="006B4FEC" w:rsidP="00BE73E5">
            <w:pPr>
              <w:pStyle w:val="GazetteTableText"/>
            </w:pPr>
            <w:r>
              <w:t>132</w:t>
            </w:r>
          </w:p>
        </w:tc>
        <w:tc>
          <w:tcPr>
            <w:tcW w:w="1013" w:type="pct"/>
            <w:tcBorders>
              <w:top w:val="single" w:sz="4" w:space="0" w:color="auto"/>
              <w:bottom w:val="single" w:sz="4" w:space="0" w:color="auto"/>
            </w:tcBorders>
          </w:tcPr>
          <w:p w14:paraId="0E1E16A6" w14:textId="77777777" w:rsidR="006B4FEC" w:rsidRPr="00CE6566" w:rsidRDefault="006B4FEC" w:rsidP="00BE73E5">
            <w:pPr>
              <w:pStyle w:val="GazetteTableText"/>
              <w:rPr>
                <w:b/>
              </w:rPr>
            </w:pPr>
            <w:r w:rsidRPr="00CE6566">
              <w:rPr>
                <w:b/>
              </w:rPr>
              <w:t>Required personal protective equipment:</w:t>
            </w:r>
          </w:p>
          <w:p w14:paraId="3357A483" w14:textId="77777777" w:rsidR="006B4FEC" w:rsidRPr="00762C1A" w:rsidRDefault="006B4FEC" w:rsidP="00BE73E5">
            <w:pPr>
              <w:pStyle w:val="GazetteTableText"/>
            </w:pPr>
            <w:r w:rsidRPr="008B7793">
              <w:t>Long sleeved shirt buttoned at the neck and wrist, long pants, socks and boots (or coveralls buttoned at the wrist and neck, socks and boots)</w:t>
            </w:r>
          </w:p>
        </w:tc>
      </w:tr>
      <w:tr w:rsidR="006B4FEC" w14:paraId="56123E41" w14:textId="77777777" w:rsidTr="00BE73E5">
        <w:tc>
          <w:tcPr>
            <w:tcW w:w="1087" w:type="pct"/>
            <w:vMerge/>
          </w:tcPr>
          <w:p w14:paraId="29321393" w14:textId="77777777" w:rsidR="006B4FEC" w:rsidRDefault="006B4FEC" w:rsidP="00BE73E5">
            <w:pPr>
              <w:pStyle w:val="GazetteList-Numbered"/>
              <w:numPr>
                <w:ilvl w:val="0"/>
                <w:numId w:val="0"/>
              </w:numPr>
              <w:rPr>
                <w:b/>
              </w:rPr>
            </w:pPr>
          </w:p>
        </w:tc>
        <w:tc>
          <w:tcPr>
            <w:tcW w:w="797" w:type="pct"/>
            <w:tcBorders>
              <w:top w:val="single" w:sz="4" w:space="0" w:color="auto"/>
              <w:bottom w:val="single" w:sz="4" w:space="0" w:color="auto"/>
            </w:tcBorders>
          </w:tcPr>
          <w:p w14:paraId="0125A734" w14:textId="77777777" w:rsidR="006B4FEC" w:rsidRPr="00762C1A" w:rsidRDefault="006B4FEC" w:rsidP="00BE73E5">
            <w:pPr>
              <w:pStyle w:val="GazetteTableText"/>
            </w:pPr>
            <w:r w:rsidRPr="00762C1A">
              <w:t>Mechanical</w:t>
            </w:r>
            <w:r>
              <w:t xml:space="preserve"> (open cab, tractor drawn)</w:t>
            </w:r>
            <w:r w:rsidRPr="00762C1A">
              <w:t xml:space="preserve"> spreader (granules)</w:t>
            </w:r>
          </w:p>
        </w:tc>
        <w:tc>
          <w:tcPr>
            <w:tcW w:w="725" w:type="pct"/>
            <w:tcBorders>
              <w:top w:val="single" w:sz="4" w:space="0" w:color="auto"/>
              <w:bottom w:val="single" w:sz="4" w:space="0" w:color="auto"/>
            </w:tcBorders>
          </w:tcPr>
          <w:p w14:paraId="1C8C1D3B" w14:textId="77777777" w:rsidR="006B4FEC" w:rsidRPr="00762C1A" w:rsidRDefault="006B4FEC" w:rsidP="00BE73E5">
            <w:pPr>
              <w:pStyle w:val="GazetteTableText"/>
            </w:pPr>
            <w:r w:rsidRPr="00762C1A">
              <w:t>0.</w:t>
            </w:r>
            <w:r>
              <w:t>1</w:t>
            </w:r>
            <w:r w:rsidRPr="00762C1A">
              <w:t xml:space="preserve"> g</w:t>
            </w:r>
            <w:r>
              <w:t xml:space="preserve"> </w:t>
            </w:r>
            <w:proofErr w:type="spellStart"/>
            <w:r>
              <w:t>a.c</w:t>
            </w:r>
            <w:proofErr w:type="spellEnd"/>
            <w:r>
              <w:t>.</w:t>
            </w:r>
            <w:r w:rsidRPr="00762C1A">
              <w:t>/m</w:t>
            </w:r>
            <w:r w:rsidRPr="00CE6566">
              <w:rPr>
                <w:vertAlign w:val="superscript"/>
              </w:rPr>
              <w:t>2</w:t>
            </w:r>
          </w:p>
        </w:tc>
        <w:tc>
          <w:tcPr>
            <w:tcW w:w="653" w:type="pct"/>
            <w:tcBorders>
              <w:top w:val="single" w:sz="4" w:space="0" w:color="auto"/>
              <w:bottom w:val="single" w:sz="4" w:space="0" w:color="auto"/>
            </w:tcBorders>
          </w:tcPr>
          <w:p w14:paraId="464A21C6" w14:textId="77777777" w:rsidR="006B4FEC" w:rsidRPr="00762C1A" w:rsidRDefault="006B4FEC" w:rsidP="00BE73E5">
            <w:pPr>
              <w:pStyle w:val="GazetteTableText"/>
            </w:pPr>
            <w:r w:rsidRPr="00762C1A">
              <w:t>5 ha/d</w:t>
            </w:r>
          </w:p>
        </w:tc>
        <w:tc>
          <w:tcPr>
            <w:tcW w:w="725" w:type="pct"/>
            <w:tcBorders>
              <w:top w:val="single" w:sz="4" w:space="0" w:color="auto"/>
              <w:bottom w:val="single" w:sz="4" w:space="0" w:color="auto"/>
            </w:tcBorders>
          </w:tcPr>
          <w:p w14:paraId="24FE76E5" w14:textId="77777777" w:rsidR="006B4FEC" w:rsidRDefault="006B4FEC" w:rsidP="00BE73E5">
            <w:pPr>
              <w:pStyle w:val="GazetteTableText"/>
            </w:pPr>
            <w:r>
              <w:t>326</w:t>
            </w:r>
          </w:p>
        </w:tc>
        <w:tc>
          <w:tcPr>
            <w:tcW w:w="1013" w:type="pct"/>
            <w:tcBorders>
              <w:top w:val="single" w:sz="4" w:space="0" w:color="auto"/>
              <w:bottom w:val="single" w:sz="4" w:space="0" w:color="auto"/>
            </w:tcBorders>
          </w:tcPr>
          <w:p w14:paraId="5123F5C6" w14:textId="77777777" w:rsidR="006B4FEC" w:rsidRPr="0026446C" w:rsidRDefault="006B4FEC" w:rsidP="00BE73E5">
            <w:pPr>
              <w:pStyle w:val="GazetteTableText"/>
              <w:rPr>
                <w:b/>
              </w:rPr>
            </w:pPr>
            <w:r w:rsidRPr="0026446C">
              <w:rPr>
                <w:b/>
              </w:rPr>
              <w:t>Required personal protective equipment:</w:t>
            </w:r>
          </w:p>
          <w:p w14:paraId="6B988AD0" w14:textId="77777777" w:rsidR="006B4FEC" w:rsidRPr="00575655" w:rsidRDefault="006B4FEC" w:rsidP="00BE73E5">
            <w:pPr>
              <w:pStyle w:val="GazetteTableText"/>
            </w:pPr>
            <w:r w:rsidRPr="00575655">
              <w:t>Long sleeved shirt buttoned at the neck and wrist, long pants, socks and boots (or coveralls buttoned at the wrist and neck, socks and boots)</w:t>
            </w:r>
          </w:p>
        </w:tc>
      </w:tr>
      <w:tr w:rsidR="006B4FEC" w14:paraId="13313C8B" w14:textId="77777777" w:rsidTr="00BE73E5">
        <w:tc>
          <w:tcPr>
            <w:tcW w:w="1087" w:type="pct"/>
            <w:tcBorders>
              <w:bottom w:val="single" w:sz="4" w:space="0" w:color="auto"/>
            </w:tcBorders>
          </w:tcPr>
          <w:p w14:paraId="14EB24A6" w14:textId="77777777" w:rsidR="006B4FEC" w:rsidRDefault="006B4FEC" w:rsidP="00BE73E5">
            <w:pPr>
              <w:pStyle w:val="GazetteList-Numbered"/>
              <w:numPr>
                <w:ilvl w:val="0"/>
                <w:numId w:val="0"/>
              </w:numPr>
              <w:rPr>
                <w:b/>
              </w:rPr>
            </w:pPr>
          </w:p>
        </w:tc>
        <w:tc>
          <w:tcPr>
            <w:tcW w:w="797" w:type="pct"/>
            <w:tcBorders>
              <w:top w:val="single" w:sz="4" w:space="0" w:color="auto"/>
              <w:bottom w:val="single" w:sz="4" w:space="0" w:color="auto"/>
            </w:tcBorders>
          </w:tcPr>
          <w:p w14:paraId="1BE9B066" w14:textId="77777777" w:rsidR="006B4FEC" w:rsidRPr="00762C1A" w:rsidRDefault="006B4FEC" w:rsidP="00BE73E5">
            <w:pPr>
              <w:pStyle w:val="GazetteTableText"/>
            </w:pPr>
            <w:r w:rsidRPr="00762C1A">
              <w:t>Mechanical</w:t>
            </w:r>
            <w:r>
              <w:t xml:space="preserve"> (open cab, tractor drawn)</w:t>
            </w:r>
            <w:r w:rsidRPr="00762C1A">
              <w:t xml:space="preserve"> spreader (granules)</w:t>
            </w:r>
          </w:p>
        </w:tc>
        <w:tc>
          <w:tcPr>
            <w:tcW w:w="725" w:type="pct"/>
            <w:tcBorders>
              <w:top w:val="single" w:sz="4" w:space="0" w:color="auto"/>
              <w:bottom w:val="single" w:sz="4" w:space="0" w:color="auto"/>
            </w:tcBorders>
          </w:tcPr>
          <w:p w14:paraId="6F210674" w14:textId="77777777" w:rsidR="006B4FEC" w:rsidRPr="00762C1A" w:rsidRDefault="006B4FEC" w:rsidP="00BE73E5">
            <w:pPr>
              <w:pStyle w:val="GazetteTableText"/>
            </w:pPr>
            <w:r w:rsidRPr="00762C1A">
              <w:t>0.</w:t>
            </w:r>
            <w:r>
              <w:t>2</w:t>
            </w:r>
            <w:r w:rsidRPr="00762C1A">
              <w:t xml:space="preserve"> g</w:t>
            </w:r>
            <w:r>
              <w:t xml:space="preserve"> </w:t>
            </w:r>
            <w:proofErr w:type="spellStart"/>
            <w:r>
              <w:t>a.c</w:t>
            </w:r>
            <w:proofErr w:type="spellEnd"/>
            <w:r>
              <w:t>.</w:t>
            </w:r>
            <w:r w:rsidRPr="00762C1A">
              <w:t>/m</w:t>
            </w:r>
            <w:r w:rsidRPr="00CE6566">
              <w:rPr>
                <w:vertAlign w:val="superscript"/>
              </w:rPr>
              <w:t>2</w:t>
            </w:r>
          </w:p>
        </w:tc>
        <w:tc>
          <w:tcPr>
            <w:tcW w:w="653" w:type="pct"/>
            <w:tcBorders>
              <w:top w:val="single" w:sz="4" w:space="0" w:color="auto"/>
              <w:bottom w:val="single" w:sz="4" w:space="0" w:color="auto"/>
            </w:tcBorders>
          </w:tcPr>
          <w:p w14:paraId="61018254" w14:textId="77777777" w:rsidR="006B4FEC" w:rsidRPr="00762C1A" w:rsidRDefault="006B4FEC" w:rsidP="00BE73E5">
            <w:pPr>
              <w:pStyle w:val="GazetteTableText"/>
            </w:pPr>
            <w:r w:rsidRPr="00762C1A">
              <w:t>5 ha/d</w:t>
            </w:r>
          </w:p>
        </w:tc>
        <w:tc>
          <w:tcPr>
            <w:tcW w:w="725" w:type="pct"/>
            <w:tcBorders>
              <w:top w:val="single" w:sz="4" w:space="0" w:color="auto"/>
              <w:bottom w:val="single" w:sz="4" w:space="0" w:color="auto"/>
            </w:tcBorders>
          </w:tcPr>
          <w:p w14:paraId="11F1C9D4" w14:textId="77777777" w:rsidR="006B4FEC" w:rsidRDefault="006B4FEC" w:rsidP="00BE73E5">
            <w:pPr>
              <w:pStyle w:val="GazetteTableText"/>
            </w:pPr>
            <w:r>
              <w:t>163</w:t>
            </w:r>
          </w:p>
        </w:tc>
        <w:tc>
          <w:tcPr>
            <w:tcW w:w="1013" w:type="pct"/>
            <w:tcBorders>
              <w:top w:val="single" w:sz="4" w:space="0" w:color="auto"/>
              <w:bottom w:val="single" w:sz="4" w:space="0" w:color="auto"/>
            </w:tcBorders>
          </w:tcPr>
          <w:p w14:paraId="03D8806B" w14:textId="77777777" w:rsidR="006B4FEC" w:rsidRPr="0026446C" w:rsidRDefault="006B4FEC" w:rsidP="00BE73E5">
            <w:pPr>
              <w:pStyle w:val="GazetteTableText"/>
              <w:rPr>
                <w:b/>
              </w:rPr>
            </w:pPr>
            <w:r w:rsidRPr="0026446C">
              <w:rPr>
                <w:b/>
              </w:rPr>
              <w:t>Required personal protective equipment:</w:t>
            </w:r>
          </w:p>
          <w:p w14:paraId="23C33767" w14:textId="77777777" w:rsidR="006B4FEC" w:rsidRPr="00575655" w:rsidRDefault="006B4FEC" w:rsidP="00BE73E5">
            <w:pPr>
              <w:pStyle w:val="GazetteTableText"/>
            </w:pPr>
            <w:r w:rsidRPr="00575655">
              <w:t>Long sleeved shirt buttoned at the neck and wrist, long pants, socks and boots (or coveralls buttoned at the wrist and neck, socks and boots)</w:t>
            </w:r>
          </w:p>
        </w:tc>
      </w:tr>
      <w:tr w:rsidR="006B4FEC" w14:paraId="329A93F0" w14:textId="77777777" w:rsidTr="00BE73E5">
        <w:tc>
          <w:tcPr>
            <w:tcW w:w="1087" w:type="pct"/>
            <w:vMerge w:val="restart"/>
            <w:tcBorders>
              <w:top w:val="single" w:sz="4" w:space="0" w:color="auto"/>
            </w:tcBorders>
          </w:tcPr>
          <w:p w14:paraId="62EC56F8" w14:textId="77777777" w:rsidR="006B4FEC" w:rsidRPr="001F4022" w:rsidRDefault="006B4FEC" w:rsidP="00BE73E5">
            <w:pPr>
              <w:pStyle w:val="GazetteTableText"/>
              <w:rPr>
                <w:b/>
              </w:rPr>
            </w:pPr>
            <w:r w:rsidRPr="001F4022">
              <w:rPr>
                <w:b/>
              </w:rPr>
              <w:t>Professional use products</w:t>
            </w:r>
          </w:p>
          <w:p w14:paraId="1FD143F5" w14:textId="77777777" w:rsidR="006B4FEC" w:rsidRDefault="006B4FEC" w:rsidP="00BE73E5">
            <w:pPr>
              <w:pStyle w:val="GazetteTableText"/>
            </w:pPr>
            <w:r w:rsidRPr="00C323CF">
              <w:t>Mosquito adult/larvae control in water bodies</w:t>
            </w:r>
          </w:p>
        </w:tc>
        <w:tc>
          <w:tcPr>
            <w:tcW w:w="797" w:type="pct"/>
            <w:tcBorders>
              <w:top w:val="single" w:sz="4" w:space="0" w:color="auto"/>
              <w:bottom w:val="single" w:sz="4" w:space="0" w:color="auto"/>
            </w:tcBorders>
          </w:tcPr>
          <w:p w14:paraId="3A28DC01" w14:textId="77777777" w:rsidR="006B4FEC" w:rsidRPr="00C323CF" w:rsidRDefault="006B4FEC" w:rsidP="00BE73E5">
            <w:pPr>
              <w:pStyle w:val="GazetteTableText"/>
            </w:pPr>
            <w:r w:rsidRPr="00C323CF">
              <w:t>High pressure hand wand</w:t>
            </w:r>
          </w:p>
        </w:tc>
        <w:tc>
          <w:tcPr>
            <w:tcW w:w="725" w:type="pct"/>
            <w:tcBorders>
              <w:top w:val="single" w:sz="4" w:space="0" w:color="auto"/>
              <w:bottom w:val="single" w:sz="4" w:space="0" w:color="auto"/>
            </w:tcBorders>
          </w:tcPr>
          <w:p w14:paraId="4C8CEF93" w14:textId="77777777" w:rsidR="006B4FEC" w:rsidRPr="00C323CF" w:rsidRDefault="006B4FEC" w:rsidP="00BE73E5">
            <w:pPr>
              <w:pStyle w:val="GazetteTableText"/>
            </w:pPr>
            <w:r w:rsidRPr="00C323CF">
              <w:t>10 g</w:t>
            </w:r>
            <w:r>
              <w:t xml:space="preserve"> </w:t>
            </w:r>
            <w:proofErr w:type="spellStart"/>
            <w:r>
              <w:t>a.c</w:t>
            </w:r>
            <w:proofErr w:type="spellEnd"/>
            <w:r>
              <w:t>.</w:t>
            </w:r>
            <w:r w:rsidRPr="00C323CF">
              <w:t>/10</w:t>
            </w:r>
            <w:r>
              <w:t>0</w:t>
            </w:r>
            <w:r w:rsidRPr="00C323CF">
              <w:t xml:space="preserve"> </w:t>
            </w:r>
            <w:proofErr w:type="spellStart"/>
            <w:r w:rsidRPr="00C323CF">
              <w:t>kL</w:t>
            </w:r>
            <w:proofErr w:type="spellEnd"/>
            <w:r>
              <w:t xml:space="preserve"> </w:t>
            </w:r>
            <w:r w:rsidRPr="00C323CF">
              <w:t>water body</w:t>
            </w:r>
          </w:p>
        </w:tc>
        <w:tc>
          <w:tcPr>
            <w:tcW w:w="653" w:type="pct"/>
            <w:tcBorders>
              <w:top w:val="single" w:sz="4" w:space="0" w:color="auto"/>
              <w:bottom w:val="single" w:sz="4" w:space="0" w:color="auto"/>
            </w:tcBorders>
          </w:tcPr>
          <w:p w14:paraId="55CFB2BE" w14:textId="77777777" w:rsidR="006B4FEC" w:rsidRPr="00C323CF" w:rsidRDefault="006B4FEC" w:rsidP="00BE73E5">
            <w:pPr>
              <w:pStyle w:val="GazetteTableText"/>
            </w:pPr>
            <w:r>
              <w:t>2</w:t>
            </w:r>
            <w:r w:rsidRPr="00C323CF">
              <w:t xml:space="preserve">0 </w:t>
            </w:r>
            <w:proofErr w:type="spellStart"/>
            <w:r w:rsidRPr="00C323CF">
              <w:t>kL</w:t>
            </w:r>
            <w:proofErr w:type="spellEnd"/>
            <w:r w:rsidRPr="00C323CF">
              <w:t xml:space="preserve"> water body/d</w:t>
            </w:r>
          </w:p>
        </w:tc>
        <w:tc>
          <w:tcPr>
            <w:tcW w:w="725" w:type="pct"/>
            <w:tcBorders>
              <w:top w:val="single" w:sz="4" w:space="0" w:color="auto"/>
              <w:bottom w:val="single" w:sz="4" w:space="0" w:color="auto"/>
            </w:tcBorders>
          </w:tcPr>
          <w:p w14:paraId="1C0902C9" w14:textId="77777777" w:rsidR="006B4FEC" w:rsidRPr="00C323CF" w:rsidRDefault="006B4FEC" w:rsidP="00BE73E5">
            <w:pPr>
              <w:pStyle w:val="GazetteTableText"/>
            </w:pPr>
            <w:r>
              <w:t>&gt;1000</w:t>
            </w:r>
          </w:p>
        </w:tc>
        <w:tc>
          <w:tcPr>
            <w:tcW w:w="1013" w:type="pct"/>
            <w:tcBorders>
              <w:top w:val="single" w:sz="4" w:space="0" w:color="auto"/>
              <w:bottom w:val="single" w:sz="4" w:space="0" w:color="auto"/>
            </w:tcBorders>
          </w:tcPr>
          <w:p w14:paraId="20BC91BE" w14:textId="77777777" w:rsidR="006B4FEC" w:rsidRPr="00C323CF" w:rsidRDefault="006B4FEC" w:rsidP="00BE73E5">
            <w:pPr>
              <w:pStyle w:val="GazetteTableText"/>
              <w:rPr>
                <w:b/>
              </w:rPr>
            </w:pPr>
            <w:r w:rsidRPr="00C323CF">
              <w:rPr>
                <w:b/>
              </w:rPr>
              <w:t>Required personal protective equipment:</w:t>
            </w:r>
          </w:p>
          <w:p w14:paraId="7D2FECC1" w14:textId="77777777" w:rsidR="006B4FEC" w:rsidRPr="00C323CF" w:rsidRDefault="006B4FEC" w:rsidP="00BE73E5">
            <w:pPr>
              <w:pStyle w:val="GazetteTableText"/>
            </w:pPr>
            <w:r w:rsidRPr="00B2628C">
              <w:t>Long sleeved shirt buttoned at the neck and wrist, long pants, socks and boots (or coveralls buttoned at the wrist and neck, socks and boots)</w:t>
            </w:r>
          </w:p>
        </w:tc>
      </w:tr>
      <w:tr w:rsidR="006B4FEC" w14:paraId="79EA6AFB" w14:textId="77777777" w:rsidTr="00BE73E5">
        <w:tc>
          <w:tcPr>
            <w:tcW w:w="1087" w:type="pct"/>
            <w:vMerge/>
          </w:tcPr>
          <w:p w14:paraId="6F2A2059" w14:textId="77777777" w:rsidR="006B4FEC" w:rsidRDefault="006B4FEC" w:rsidP="00BE73E5">
            <w:pPr>
              <w:pStyle w:val="GazetteList-Numbered"/>
              <w:numPr>
                <w:ilvl w:val="0"/>
                <w:numId w:val="0"/>
              </w:numPr>
              <w:rPr>
                <w:b/>
              </w:rPr>
            </w:pPr>
          </w:p>
        </w:tc>
        <w:tc>
          <w:tcPr>
            <w:tcW w:w="797" w:type="pct"/>
            <w:tcBorders>
              <w:top w:val="single" w:sz="4" w:space="0" w:color="auto"/>
              <w:bottom w:val="single" w:sz="4" w:space="0" w:color="auto"/>
            </w:tcBorders>
          </w:tcPr>
          <w:p w14:paraId="3E27DF15" w14:textId="77777777" w:rsidR="006B4FEC" w:rsidRPr="00C323CF" w:rsidRDefault="006B4FEC" w:rsidP="00BE73E5">
            <w:pPr>
              <w:pStyle w:val="GazetteTableText"/>
            </w:pPr>
            <w:r>
              <w:t>Low pressure hand wand</w:t>
            </w:r>
          </w:p>
        </w:tc>
        <w:tc>
          <w:tcPr>
            <w:tcW w:w="725" w:type="pct"/>
            <w:tcBorders>
              <w:top w:val="single" w:sz="4" w:space="0" w:color="auto"/>
              <w:bottom w:val="single" w:sz="4" w:space="0" w:color="auto"/>
            </w:tcBorders>
          </w:tcPr>
          <w:p w14:paraId="1AA60013" w14:textId="77777777" w:rsidR="006B4FEC" w:rsidRPr="00C323CF" w:rsidRDefault="006B4FEC" w:rsidP="00BE73E5">
            <w:pPr>
              <w:pStyle w:val="GazetteTableText"/>
            </w:pPr>
            <w:r w:rsidRPr="00C323CF">
              <w:t>10 g</w:t>
            </w:r>
            <w:r>
              <w:t xml:space="preserve"> </w:t>
            </w:r>
            <w:proofErr w:type="spellStart"/>
            <w:r>
              <w:t>a.c</w:t>
            </w:r>
            <w:proofErr w:type="spellEnd"/>
            <w:r>
              <w:t>.</w:t>
            </w:r>
            <w:r w:rsidRPr="00C323CF">
              <w:t>/10</w:t>
            </w:r>
            <w:r>
              <w:t>0</w:t>
            </w:r>
            <w:r w:rsidRPr="00C323CF">
              <w:t xml:space="preserve"> </w:t>
            </w:r>
            <w:proofErr w:type="spellStart"/>
            <w:r w:rsidRPr="00C323CF">
              <w:t>kL</w:t>
            </w:r>
            <w:proofErr w:type="spellEnd"/>
            <w:r>
              <w:t xml:space="preserve"> </w:t>
            </w:r>
            <w:r w:rsidRPr="00C323CF">
              <w:t>water body</w:t>
            </w:r>
          </w:p>
        </w:tc>
        <w:tc>
          <w:tcPr>
            <w:tcW w:w="653" w:type="pct"/>
            <w:tcBorders>
              <w:top w:val="single" w:sz="4" w:space="0" w:color="auto"/>
              <w:bottom w:val="single" w:sz="4" w:space="0" w:color="auto"/>
            </w:tcBorders>
          </w:tcPr>
          <w:p w14:paraId="6D5D8B67" w14:textId="77777777" w:rsidR="006B4FEC" w:rsidRDefault="006B4FEC" w:rsidP="00BE73E5">
            <w:pPr>
              <w:pStyle w:val="GazetteTableText"/>
            </w:pPr>
            <w:r>
              <w:t>2</w:t>
            </w:r>
            <w:r w:rsidRPr="00C323CF">
              <w:t xml:space="preserve">0 </w:t>
            </w:r>
            <w:proofErr w:type="spellStart"/>
            <w:r w:rsidRPr="00C323CF">
              <w:t>kL</w:t>
            </w:r>
            <w:proofErr w:type="spellEnd"/>
            <w:r w:rsidRPr="00C323CF">
              <w:t xml:space="preserve"> water body/d</w:t>
            </w:r>
          </w:p>
        </w:tc>
        <w:tc>
          <w:tcPr>
            <w:tcW w:w="725" w:type="pct"/>
            <w:tcBorders>
              <w:top w:val="single" w:sz="4" w:space="0" w:color="auto"/>
              <w:bottom w:val="single" w:sz="4" w:space="0" w:color="auto"/>
            </w:tcBorders>
          </w:tcPr>
          <w:p w14:paraId="38B9D898" w14:textId="77777777" w:rsidR="006B4FEC" w:rsidRDefault="006B4FEC" w:rsidP="00BE73E5">
            <w:pPr>
              <w:pStyle w:val="GazetteTableText"/>
            </w:pPr>
            <w:r>
              <w:t>123</w:t>
            </w:r>
          </w:p>
        </w:tc>
        <w:tc>
          <w:tcPr>
            <w:tcW w:w="1013" w:type="pct"/>
            <w:tcBorders>
              <w:top w:val="single" w:sz="4" w:space="0" w:color="auto"/>
              <w:bottom w:val="single" w:sz="4" w:space="0" w:color="auto"/>
            </w:tcBorders>
          </w:tcPr>
          <w:p w14:paraId="4CB70188" w14:textId="77777777" w:rsidR="006B4FEC" w:rsidRPr="00C323CF" w:rsidRDefault="006B4FEC" w:rsidP="00BE73E5">
            <w:pPr>
              <w:pStyle w:val="GazetteTableText"/>
              <w:rPr>
                <w:b/>
              </w:rPr>
            </w:pPr>
            <w:r w:rsidRPr="00C323CF">
              <w:rPr>
                <w:b/>
              </w:rPr>
              <w:t>Required personal protective equipment:</w:t>
            </w:r>
          </w:p>
          <w:p w14:paraId="23C28EBB" w14:textId="77777777" w:rsidR="006B4FEC" w:rsidRPr="00C323CF" w:rsidRDefault="006B4FEC" w:rsidP="00BE73E5">
            <w:pPr>
              <w:pStyle w:val="GazetteTableText"/>
              <w:rPr>
                <w:b/>
              </w:rPr>
            </w:pPr>
            <w:r w:rsidRPr="00B2628C">
              <w:t>Long sleeved shirt buttoned at the neck and wrist, long pants, socks and boots (or coveralls buttoned at the wrist and neck, socks and boots)</w:t>
            </w:r>
          </w:p>
        </w:tc>
      </w:tr>
      <w:tr w:rsidR="006B4FEC" w14:paraId="1B9C235F" w14:textId="77777777" w:rsidTr="00BE73E5">
        <w:tc>
          <w:tcPr>
            <w:tcW w:w="1087" w:type="pct"/>
            <w:vMerge/>
            <w:tcBorders>
              <w:bottom w:val="single" w:sz="4" w:space="0" w:color="auto"/>
            </w:tcBorders>
          </w:tcPr>
          <w:p w14:paraId="3117113A" w14:textId="77777777" w:rsidR="006B4FEC" w:rsidRDefault="006B4FEC" w:rsidP="00BE73E5">
            <w:pPr>
              <w:pStyle w:val="GazetteList-Numbered"/>
              <w:numPr>
                <w:ilvl w:val="0"/>
                <w:numId w:val="0"/>
              </w:numPr>
              <w:rPr>
                <w:b/>
              </w:rPr>
            </w:pPr>
          </w:p>
        </w:tc>
        <w:tc>
          <w:tcPr>
            <w:tcW w:w="797" w:type="pct"/>
            <w:tcBorders>
              <w:top w:val="single" w:sz="4" w:space="0" w:color="auto"/>
              <w:bottom w:val="single" w:sz="4" w:space="0" w:color="auto"/>
            </w:tcBorders>
          </w:tcPr>
          <w:p w14:paraId="5CFCA33A" w14:textId="77777777" w:rsidR="006B4FEC" w:rsidRPr="00C323CF" w:rsidRDefault="006B4FEC" w:rsidP="00BE73E5">
            <w:pPr>
              <w:pStyle w:val="GazetteTableText"/>
            </w:pPr>
            <w:r>
              <w:t>Backpack</w:t>
            </w:r>
          </w:p>
        </w:tc>
        <w:tc>
          <w:tcPr>
            <w:tcW w:w="725" w:type="pct"/>
            <w:tcBorders>
              <w:top w:val="single" w:sz="4" w:space="0" w:color="auto"/>
              <w:bottom w:val="single" w:sz="4" w:space="0" w:color="auto"/>
            </w:tcBorders>
          </w:tcPr>
          <w:p w14:paraId="630EDB02" w14:textId="77777777" w:rsidR="006B4FEC" w:rsidRPr="00C323CF" w:rsidRDefault="006B4FEC" w:rsidP="00BE73E5">
            <w:pPr>
              <w:pStyle w:val="GazetteTableText"/>
            </w:pPr>
            <w:r>
              <w:t xml:space="preserve">10 g </w:t>
            </w:r>
            <w:proofErr w:type="spellStart"/>
            <w:r>
              <w:t>a.c</w:t>
            </w:r>
            <w:proofErr w:type="spellEnd"/>
            <w:r>
              <w:t xml:space="preserve">./100 </w:t>
            </w:r>
            <w:proofErr w:type="spellStart"/>
            <w:r>
              <w:t>kL</w:t>
            </w:r>
            <w:proofErr w:type="spellEnd"/>
          </w:p>
        </w:tc>
        <w:tc>
          <w:tcPr>
            <w:tcW w:w="653" w:type="pct"/>
            <w:tcBorders>
              <w:top w:val="single" w:sz="4" w:space="0" w:color="auto"/>
              <w:bottom w:val="single" w:sz="4" w:space="0" w:color="auto"/>
            </w:tcBorders>
          </w:tcPr>
          <w:p w14:paraId="4BF4CDFE" w14:textId="77777777" w:rsidR="006B4FEC" w:rsidRPr="00C323CF" w:rsidRDefault="006B4FEC" w:rsidP="00BE73E5">
            <w:pPr>
              <w:pStyle w:val="GazetteTableText"/>
            </w:pPr>
            <w:r>
              <w:t xml:space="preserve">50 </w:t>
            </w:r>
            <w:proofErr w:type="spellStart"/>
            <w:r>
              <w:t>kL</w:t>
            </w:r>
            <w:proofErr w:type="spellEnd"/>
            <w:r>
              <w:t xml:space="preserve"> water body/d</w:t>
            </w:r>
          </w:p>
        </w:tc>
        <w:tc>
          <w:tcPr>
            <w:tcW w:w="725" w:type="pct"/>
            <w:tcBorders>
              <w:top w:val="single" w:sz="4" w:space="0" w:color="auto"/>
              <w:bottom w:val="single" w:sz="4" w:space="0" w:color="auto"/>
            </w:tcBorders>
          </w:tcPr>
          <w:p w14:paraId="098F6331" w14:textId="77777777" w:rsidR="006B4FEC" w:rsidRPr="00C323CF" w:rsidRDefault="006B4FEC" w:rsidP="00BE73E5">
            <w:pPr>
              <w:pStyle w:val="GazetteTableText"/>
            </w:pPr>
            <w:r>
              <w:t>591</w:t>
            </w:r>
          </w:p>
        </w:tc>
        <w:tc>
          <w:tcPr>
            <w:tcW w:w="1013" w:type="pct"/>
            <w:tcBorders>
              <w:top w:val="single" w:sz="4" w:space="0" w:color="auto"/>
              <w:bottom w:val="single" w:sz="4" w:space="0" w:color="auto"/>
            </w:tcBorders>
          </w:tcPr>
          <w:p w14:paraId="5CDD0114" w14:textId="77777777" w:rsidR="006B4FEC" w:rsidRDefault="006B4FEC" w:rsidP="00BE73E5">
            <w:pPr>
              <w:pStyle w:val="GazetteTableText"/>
              <w:rPr>
                <w:b/>
              </w:rPr>
            </w:pPr>
            <w:r w:rsidRPr="00B2628C">
              <w:rPr>
                <w:b/>
              </w:rPr>
              <w:t>Required personal protective equipment:</w:t>
            </w:r>
          </w:p>
          <w:p w14:paraId="257F3189" w14:textId="77777777" w:rsidR="006B4FEC" w:rsidRPr="00B2628C" w:rsidRDefault="006B4FEC" w:rsidP="00BE73E5">
            <w:pPr>
              <w:pStyle w:val="GazetteTableText"/>
            </w:pPr>
            <w:r w:rsidRPr="00B2628C">
              <w:t xml:space="preserve">Chemical resistant gloves and a double layer of chemical resistant clothing </w:t>
            </w:r>
          </w:p>
        </w:tc>
      </w:tr>
      <w:tr w:rsidR="006B4FEC" w14:paraId="023E516E" w14:textId="77777777" w:rsidTr="00BE73E5">
        <w:tc>
          <w:tcPr>
            <w:tcW w:w="1087" w:type="pct"/>
            <w:tcBorders>
              <w:top w:val="single" w:sz="4" w:space="0" w:color="auto"/>
            </w:tcBorders>
          </w:tcPr>
          <w:p w14:paraId="5005BBBE" w14:textId="77777777" w:rsidR="006B4FEC" w:rsidRPr="001C6B48" w:rsidRDefault="006B4FEC" w:rsidP="00BE73E5">
            <w:pPr>
              <w:pStyle w:val="GazetteTableText"/>
              <w:rPr>
                <w:b/>
              </w:rPr>
            </w:pPr>
            <w:r w:rsidRPr="001C6B48">
              <w:rPr>
                <w:b/>
              </w:rPr>
              <w:t>Professional use products</w:t>
            </w:r>
          </w:p>
          <w:p w14:paraId="070045C3" w14:textId="77777777" w:rsidR="006B4FEC" w:rsidRPr="00690A94" w:rsidRDefault="006B4FEC" w:rsidP="00BE73E5">
            <w:pPr>
              <w:pStyle w:val="GazetteTableText"/>
            </w:pPr>
            <w:r w:rsidRPr="00690A94">
              <w:t>Mosquito adult/larvae control in vegetation</w:t>
            </w:r>
          </w:p>
        </w:tc>
        <w:tc>
          <w:tcPr>
            <w:tcW w:w="797" w:type="pct"/>
            <w:tcBorders>
              <w:top w:val="single" w:sz="4" w:space="0" w:color="auto"/>
              <w:bottom w:val="single" w:sz="4" w:space="0" w:color="auto"/>
            </w:tcBorders>
          </w:tcPr>
          <w:p w14:paraId="3081063C" w14:textId="77777777" w:rsidR="006B4FEC" w:rsidRPr="00690A94" w:rsidRDefault="006B4FEC" w:rsidP="00BE73E5">
            <w:pPr>
              <w:pStyle w:val="GazetteTableText"/>
            </w:pPr>
            <w:r w:rsidRPr="00690A94">
              <w:t>High pressure hand wand</w:t>
            </w:r>
          </w:p>
        </w:tc>
        <w:tc>
          <w:tcPr>
            <w:tcW w:w="725" w:type="pct"/>
            <w:tcBorders>
              <w:top w:val="single" w:sz="4" w:space="0" w:color="auto"/>
              <w:bottom w:val="single" w:sz="4" w:space="0" w:color="auto"/>
            </w:tcBorders>
          </w:tcPr>
          <w:p w14:paraId="60D8EEB5" w14:textId="77777777" w:rsidR="006B4FEC" w:rsidRPr="00690A94" w:rsidRDefault="006B4FEC" w:rsidP="00BE73E5">
            <w:pPr>
              <w:pStyle w:val="GazetteTableText"/>
            </w:pPr>
            <w:r w:rsidRPr="00690A94">
              <w:t>15 g</w:t>
            </w:r>
            <w:r>
              <w:t xml:space="preserve"> </w:t>
            </w:r>
            <w:proofErr w:type="spellStart"/>
            <w:r>
              <w:t>a.c</w:t>
            </w:r>
            <w:proofErr w:type="spellEnd"/>
            <w:r>
              <w:t>.</w:t>
            </w:r>
            <w:r w:rsidRPr="00690A94">
              <w:t>/ha</w:t>
            </w:r>
          </w:p>
        </w:tc>
        <w:tc>
          <w:tcPr>
            <w:tcW w:w="653" w:type="pct"/>
            <w:tcBorders>
              <w:top w:val="single" w:sz="4" w:space="0" w:color="auto"/>
              <w:bottom w:val="single" w:sz="4" w:space="0" w:color="auto"/>
            </w:tcBorders>
          </w:tcPr>
          <w:p w14:paraId="7D4A7775" w14:textId="77777777" w:rsidR="006B4FEC" w:rsidRPr="00690A94" w:rsidRDefault="006B4FEC" w:rsidP="00BE73E5">
            <w:pPr>
              <w:pStyle w:val="GazetteTableText"/>
            </w:pPr>
            <w:r w:rsidRPr="00690A94">
              <w:t>5 ha/d</w:t>
            </w:r>
          </w:p>
        </w:tc>
        <w:tc>
          <w:tcPr>
            <w:tcW w:w="725" w:type="pct"/>
            <w:tcBorders>
              <w:top w:val="single" w:sz="4" w:space="0" w:color="auto"/>
              <w:bottom w:val="single" w:sz="4" w:space="0" w:color="auto"/>
            </w:tcBorders>
          </w:tcPr>
          <w:p w14:paraId="2CD5BE50" w14:textId="77777777" w:rsidR="006B4FEC" w:rsidRPr="00690A94" w:rsidRDefault="006B4FEC" w:rsidP="00BE73E5">
            <w:pPr>
              <w:pStyle w:val="GazetteTableText"/>
            </w:pPr>
            <w:r>
              <w:t>266</w:t>
            </w:r>
          </w:p>
        </w:tc>
        <w:tc>
          <w:tcPr>
            <w:tcW w:w="1013" w:type="pct"/>
            <w:tcBorders>
              <w:top w:val="single" w:sz="4" w:space="0" w:color="auto"/>
              <w:bottom w:val="single" w:sz="4" w:space="0" w:color="auto"/>
            </w:tcBorders>
          </w:tcPr>
          <w:p w14:paraId="1EF2D1D1" w14:textId="77777777" w:rsidR="006B4FEC" w:rsidRPr="001C6B48" w:rsidRDefault="006B4FEC" w:rsidP="00BE73E5">
            <w:pPr>
              <w:pStyle w:val="GazetteTableText"/>
              <w:rPr>
                <w:b/>
              </w:rPr>
            </w:pPr>
            <w:r w:rsidRPr="001C6B48">
              <w:rPr>
                <w:b/>
              </w:rPr>
              <w:t>Required personal protective equipment:</w:t>
            </w:r>
          </w:p>
          <w:p w14:paraId="6467EEBA" w14:textId="77777777" w:rsidR="006B4FEC" w:rsidRPr="00690A94" w:rsidRDefault="006B4FEC" w:rsidP="00BE73E5">
            <w:pPr>
              <w:pStyle w:val="GazetteTableText"/>
            </w:pPr>
            <w:r w:rsidRPr="001B67CA">
              <w:t xml:space="preserve">Long sleeved shirt buttoned at the neck and wrist, long pants, socks and boots (or </w:t>
            </w:r>
            <w:r w:rsidRPr="001B67CA">
              <w:lastRenderedPageBreak/>
              <w:t>coveralls buttoned at the wrist and neck, socks and boots)</w:t>
            </w:r>
          </w:p>
        </w:tc>
      </w:tr>
      <w:tr w:rsidR="006B4FEC" w14:paraId="0FAAC953" w14:textId="77777777" w:rsidTr="00BE73E5">
        <w:tc>
          <w:tcPr>
            <w:tcW w:w="1087" w:type="pct"/>
            <w:tcBorders>
              <w:bottom w:val="single" w:sz="4" w:space="0" w:color="auto"/>
            </w:tcBorders>
          </w:tcPr>
          <w:p w14:paraId="2BC6A61B" w14:textId="77777777" w:rsidR="006B4FEC" w:rsidRPr="00690A94" w:rsidRDefault="006B4FEC" w:rsidP="00BE73E5">
            <w:pPr>
              <w:pStyle w:val="APVMATableText"/>
            </w:pPr>
          </w:p>
        </w:tc>
        <w:tc>
          <w:tcPr>
            <w:tcW w:w="797" w:type="pct"/>
            <w:tcBorders>
              <w:top w:val="single" w:sz="4" w:space="0" w:color="auto"/>
              <w:bottom w:val="single" w:sz="4" w:space="0" w:color="auto"/>
            </w:tcBorders>
          </w:tcPr>
          <w:p w14:paraId="7EDF15AD" w14:textId="77777777" w:rsidR="006B4FEC" w:rsidRPr="00690A94" w:rsidRDefault="006B4FEC" w:rsidP="00BE73E5">
            <w:pPr>
              <w:pStyle w:val="GazetteTableText"/>
            </w:pPr>
            <w:r w:rsidRPr="00690A94">
              <w:t>Low pressure hand wand</w:t>
            </w:r>
          </w:p>
        </w:tc>
        <w:tc>
          <w:tcPr>
            <w:tcW w:w="725" w:type="pct"/>
            <w:tcBorders>
              <w:top w:val="single" w:sz="4" w:space="0" w:color="auto"/>
              <w:bottom w:val="single" w:sz="4" w:space="0" w:color="auto"/>
            </w:tcBorders>
          </w:tcPr>
          <w:p w14:paraId="4F4F83B6" w14:textId="77777777" w:rsidR="006B4FEC" w:rsidRPr="00690A94" w:rsidRDefault="006B4FEC" w:rsidP="00BE73E5">
            <w:pPr>
              <w:pStyle w:val="GazetteTableText"/>
            </w:pPr>
            <w:r w:rsidRPr="00690A94">
              <w:t>15 g</w:t>
            </w:r>
            <w:r>
              <w:t xml:space="preserve"> </w:t>
            </w:r>
            <w:proofErr w:type="spellStart"/>
            <w:r>
              <w:t>a.c</w:t>
            </w:r>
            <w:proofErr w:type="spellEnd"/>
            <w:r>
              <w:t>.</w:t>
            </w:r>
            <w:r w:rsidRPr="00690A94">
              <w:t>/ha</w:t>
            </w:r>
          </w:p>
        </w:tc>
        <w:tc>
          <w:tcPr>
            <w:tcW w:w="653" w:type="pct"/>
            <w:tcBorders>
              <w:top w:val="single" w:sz="4" w:space="0" w:color="auto"/>
              <w:bottom w:val="single" w:sz="4" w:space="0" w:color="auto"/>
            </w:tcBorders>
          </w:tcPr>
          <w:p w14:paraId="387CAC51" w14:textId="77777777" w:rsidR="006B4FEC" w:rsidRPr="00690A94" w:rsidRDefault="006B4FEC" w:rsidP="00BE73E5">
            <w:pPr>
              <w:pStyle w:val="GazetteTableText"/>
            </w:pPr>
            <w:r w:rsidRPr="00690A94">
              <w:t>5 ha/d</w:t>
            </w:r>
          </w:p>
        </w:tc>
        <w:tc>
          <w:tcPr>
            <w:tcW w:w="725" w:type="pct"/>
            <w:tcBorders>
              <w:top w:val="single" w:sz="4" w:space="0" w:color="auto"/>
              <w:bottom w:val="single" w:sz="4" w:space="0" w:color="auto"/>
            </w:tcBorders>
          </w:tcPr>
          <w:p w14:paraId="21EB790B" w14:textId="77777777" w:rsidR="006B4FEC" w:rsidRPr="00690A94" w:rsidRDefault="006B4FEC" w:rsidP="00BE73E5">
            <w:pPr>
              <w:pStyle w:val="GazetteTableText"/>
            </w:pPr>
            <w:r>
              <w:t>&gt;1000</w:t>
            </w:r>
          </w:p>
        </w:tc>
        <w:tc>
          <w:tcPr>
            <w:tcW w:w="1013" w:type="pct"/>
            <w:tcBorders>
              <w:top w:val="single" w:sz="4" w:space="0" w:color="auto"/>
              <w:bottom w:val="single" w:sz="4" w:space="0" w:color="auto"/>
            </w:tcBorders>
          </w:tcPr>
          <w:p w14:paraId="618F57C3" w14:textId="77777777" w:rsidR="006B4FEC" w:rsidRDefault="006B4FEC" w:rsidP="00BE73E5">
            <w:pPr>
              <w:pStyle w:val="GazetteTableText"/>
              <w:rPr>
                <w:b/>
              </w:rPr>
            </w:pPr>
            <w:r w:rsidRPr="00690A94">
              <w:rPr>
                <w:b/>
              </w:rPr>
              <w:t>Required personal protective equipment:</w:t>
            </w:r>
          </w:p>
          <w:p w14:paraId="5326B997" w14:textId="77777777" w:rsidR="006B4FEC" w:rsidRPr="00690A94" w:rsidRDefault="006B4FEC" w:rsidP="00BE73E5">
            <w:pPr>
              <w:pStyle w:val="GazetteTableText"/>
            </w:pPr>
            <w:r w:rsidRPr="00067A23">
              <w:t>Chemical resistant gloves PLUS long sleeved shirt buttoned at the wrist and collar plus long pants plus boots and socks (or coveralls buttoned at the neck and wrist plus boots)</w:t>
            </w:r>
          </w:p>
        </w:tc>
      </w:tr>
    </w:tbl>
    <w:p w14:paraId="25FA251C" w14:textId="77777777" w:rsidR="006B4FEC" w:rsidRPr="00364602" w:rsidRDefault="006B4FEC" w:rsidP="006B4FEC">
      <w:pPr>
        <w:pStyle w:val="APVMASourceTableNote"/>
      </w:pPr>
      <w:r>
        <w:t xml:space="preserve">* Acceptable MOE ≥ </w:t>
      </w:r>
      <w:r w:rsidRPr="00364602">
        <w:t xml:space="preserve">100; POD in rats is 0.1 mg/kg </w:t>
      </w:r>
      <w:proofErr w:type="spellStart"/>
      <w:r w:rsidRPr="00364602">
        <w:t>bw</w:t>
      </w:r>
      <w:proofErr w:type="spellEnd"/>
      <w:r w:rsidRPr="00364602">
        <w:t xml:space="preserve">/day which was the NOAEL for inhibition of blood </w:t>
      </w:r>
      <w:proofErr w:type="spellStart"/>
      <w:r w:rsidRPr="00364602">
        <w:t>cholinesterases</w:t>
      </w:r>
      <w:proofErr w:type="spellEnd"/>
      <w:r w:rsidRPr="00364602">
        <w:t>.</w:t>
      </w:r>
    </w:p>
    <w:p w14:paraId="086E603E" w14:textId="77777777" w:rsidR="006B4FEC" w:rsidRPr="00364602" w:rsidRDefault="006B4FEC" w:rsidP="006B4FEC">
      <w:pPr>
        <w:pStyle w:val="APVMASourceTableNote"/>
      </w:pPr>
      <w:r w:rsidRPr="00364602">
        <w:t>† Assumes a single professional operator mixes, loads and applies the product.</w:t>
      </w:r>
    </w:p>
    <w:p w14:paraId="0D6EDF6D" w14:textId="77777777" w:rsidR="006B4FEC" w:rsidRPr="00364602" w:rsidRDefault="006B4FEC" w:rsidP="006B4FEC">
      <w:pPr>
        <w:pStyle w:val="APVMASourceTableNote"/>
      </w:pPr>
      <w:r w:rsidRPr="00364602">
        <w:t xml:space="preserve">֍ </w:t>
      </w:r>
      <w:proofErr w:type="gramStart"/>
      <w:r w:rsidRPr="00364602">
        <w:t>The</w:t>
      </w:r>
      <w:proofErr w:type="gramEnd"/>
      <w:r w:rsidRPr="00364602">
        <w:t xml:space="preserve"> overall MOE accounts for both dermal and inhalation exposures.</w:t>
      </w:r>
    </w:p>
    <w:p w14:paraId="717E1536" w14:textId="77777777" w:rsidR="006B4FEC" w:rsidRDefault="006B4FEC" w:rsidP="006B4FEC">
      <w:pPr>
        <w:pStyle w:val="GazetteList-Numbered"/>
        <w:numPr>
          <w:ilvl w:val="0"/>
          <w:numId w:val="0"/>
        </w:numPr>
        <w:ind w:left="993" w:hanging="1134"/>
        <w:rPr>
          <w:b/>
        </w:rPr>
        <w:sectPr w:rsidR="006B4FEC" w:rsidSect="002C3B8C">
          <w:footerReference w:type="default" r:id="rId23"/>
          <w:pgSz w:w="11907" w:h="16839" w:code="9"/>
          <w:pgMar w:top="1440" w:right="1134" w:bottom="1440" w:left="993" w:header="709" w:footer="709" w:gutter="0"/>
          <w:cols w:space="708"/>
          <w:docGrid w:linePitch="360"/>
        </w:sectPr>
      </w:pPr>
    </w:p>
    <w:p w14:paraId="0D00B6CD" w14:textId="77777777" w:rsidR="006B4FEC" w:rsidRDefault="006B4FEC" w:rsidP="006B4FEC">
      <w:bookmarkStart w:id="9" w:name="_Toc11940618"/>
      <w:r>
        <w:lastRenderedPageBreak/>
        <w:t xml:space="preserve">Table A-2. Re-entry risk characterisation based on </w:t>
      </w:r>
      <w:bookmarkEnd w:id="9"/>
      <w:r>
        <w:t>OPREC.</w:t>
      </w:r>
    </w:p>
    <w:p w14:paraId="6F718573" w14:textId="77777777" w:rsidR="006B4FEC" w:rsidRDefault="006B4FEC" w:rsidP="006B4FEC"/>
    <w:tbl>
      <w:tblPr>
        <w:tblStyle w:val="TableGrid"/>
        <w:tblW w:w="0" w:type="auto"/>
        <w:tblLook w:val="04A0" w:firstRow="1" w:lastRow="0" w:firstColumn="1" w:lastColumn="0" w:noHBand="0" w:noVBand="1"/>
        <w:tblDescription w:val="ANNEXURE C – RE-ENTRY RISK CHARACTERISATION BASED ON OPREC"/>
      </w:tblPr>
      <w:tblGrid>
        <w:gridCol w:w="3769"/>
        <w:gridCol w:w="2655"/>
        <w:gridCol w:w="3215"/>
      </w:tblGrid>
      <w:tr w:rsidR="006B4FEC" w14:paraId="1943ECAD" w14:textId="77777777" w:rsidTr="00BE73E5">
        <w:trPr>
          <w:tblHeader/>
        </w:trPr>
        <w:tc>
          <w:tcPr>
            <w:tcW w:w="3828" w:type="dxa"/>
            <w:tcBorders>
              <w:bottom w:val="single" w:sz="4" w:space="0" w:color="auto"/>
            </w:tcBorders>
            <w:shd w:val="clear" w:color="auto" w:fill="D9D9D9" w:themeFill="background1" w:themeFillShade="D9"/>
          </w:tcPr>
          <w:p w14:paraId="711988B5" w14:textId="77777777" w:rsidR="006B4FEC" w:rsidRPr="00DB295F" w:rsidRDefault="006B4FEC" w:rsidP="00BE73E5">
            <w:pPr>
              <w:pStyle w:val="GazetteTableHeading"/>
            </w:pPr>
            <w:r w:rsidRPr="00DB295F">
              <w:t>Crop/use</w:t>
            </w:r>
          </w:p>
        </w:tc>
        <w:tc>
          <w:tcPr>
            <w:tcW w:w="2692" w:type="dxa"/>
            <w:tcBorders>
              <w:bottom w:val="single" w:sz="4" w:space="0" w:color="auto"/>
            </w:tcBorders>
            <w:shd w:val="clear" w:color="auto" w:fill="D9D9D9" w:themeFill="background1" w:themeFillShade="D9"/>
          </w:tcPr>
          <w:p w14:paraId="7B9E7260" w14:textId="77777777" w:rsidR="006B4FEC" w:rsidRPr="00DB295F" w:rsidRDefault="006B4FEC" w:rsidP="00BE73E5">
            <w:pPr>
              <w:pStyle w:val="GazetteTableHeading"/>
            </w:pPr>
            <w:r w:rsidRPr="00DB295F">
              <w:t>Minimum re-entry interval required to achieve MOE &gt; 100</w:t>
            </w:r>
          </w:p>
        </w:tc>
        <w:tc>
          <w:tcPr>
            <w:tcW w:w="3260" w:type="dxa"/>
            <w:tcBorders>
              <w:bottom w:val="single" w:sz="4" w:space="0" w:color="auto"/>
            </w:tcBorders>
            <w:shd w:val="clear" w:color="auto" w:fill="D9D9D9" w:themeFill="background1" w:themeFillShade="D9"/>
          </w:tcPr>
          <w:p w14:paraId="0896B900" w14:textId="77777777" w:rsidR="006B4FEC" w:rsidRPr="00DB295F" w:rsidRDefault="006B4FEC" w:rsidP="00BE73E5">
            <w:pPr>
              <w:pStyle w:val="GazetteTableHeading"/>
            </w:pPr>
            <w:r w:rsidRPr="00DB295F">
              <w:t>Comments</w:t>
            </w:r>
          </w:p>
        </w:tc>
      </w:tr>
      <w:tr w:rsidR="006B4FEC" w14:paraId="44108F46" w14:textId="77777777" w:rsidTr="00BE73E5">
        <w:tc>
          <w:tcPr>
            <w:tcW w:w="3828" w:type="dxa"/>
            <w:tcBorders>
              <w:top w:val="single" w:sz="4" w:space="0" w:color="auto"/>
              <w:bottom w:val="single" w:sz="4" w:space="0" w:color="auto"/>
            </w:tcBorders>
          </w:tcPr>
          <w:p w14:paraId="5DDB5AC0" w14:textId="77777777" w:rsidR="006B4FEC" w:rsidRPr="001C6B48" w:rsidRDefault="006B4FEC" w:rsidP="00BE73E5">
            <w:pPr>
              <w:pStyle w:val="GazetteTableText"/>
              <w:rPr>
                <w:b/>
              </w:rPr>
            </w:pPr>
            <w:r w:rsidRPr="001C6B48">
              <w:rPr>
                <w:b/>
              </w:rPr>
              <w:t>Child-accessible domestic and child-accessible public space uses (professional use)</w:t>
            </w:r>
          </w:p>
          <w:p w14:paraId="4335508A" w14:textId="77777777" w:rsidR="006B4FEC" w:rsidRPr="00DB295F" w:rsidRDefault="006B4FEC" w:rsidP="00BE73E5">
            <w:pPr>
              <w:pStyle w:val="GazetteTableText"/>
            </w:pPr>
            <w:r w:rsidRPr="00DB295F">
              <w:t>Container plants</w:t>
            </w:r>
          </w:p>
          <w:p w14:paraId="6F5FA156" w14:textId="77777777" w:rsidR="006B4FEC" w:rsidRPr="00DB295F" w:rsidRDefault="006B4FEC" w:rsidP="00BE73E5">
            <w:pPr>
              <w:pStyle w:val="GazetteTableText"/>
            </w:pPr>
            <w:r w:rsidRPr="00DB295F">
              <w:t>Domestic areas</w:t>
            </w:r>
          </w:p>
          <w:p w14:paraId="42BD4CF7" w14:textId="77777777" w:rsidR="006B4FEC" w:rsidRPr="00DB295F" w:rsidRDefault="006B4FEC" w:rsidP="00BE73E5">
            <w:pPr>
              <w:pStyle w:val="GazetteTableText"/>
            </w:pPr>
            <w:r w:rsidRPr="00DB295F">
              <w:t>Domestic uses</w:t>
            </w:r>
          </w:p>
          <w:p w14:paraId="733E68C8" w14:textId="77777777" w:rsidR="006B4FEC" w:rsidRPr="00DB295F" w:rsidRDefault="006B4FEC" w:rsidP="00BE73E5">
            <w:pPr>
              <w:pStyle w:val="GazetteTableText"/>
            </w:pPr>
            <w:proofErr w:type="spellStart"/>
            <w:r w:rsidRPr="00DB295F">
              <w:t>Duboisia</w:t>
            </w:r>
            <w:proofErr w:type="spellEnd"/>
            <w:r w:rsidRPr="00DB295F">
              <w:t xml:space="preserve"> (in domestic and public space uses)</w:t>
            </w:r>
          </w:p>
          <w:p w14:paraId="3C46C4AE" w14:textId="77777777" w:rsidR="006B4FEC" w:rsidRPr="00DB295F" w:rsidRDefault="006B4FEC" w:rsidP="00BE73E5">
            <w:pPr>
              <w:pStyle w:val="GazetteTableText"/>
            </w:pPr>
            <w:r w:rsidRPr="00DB295F">
              <w:t>Exterior or outdoor areas of domestic buildings</w:t>
            </w:r>
          </w:p>
          <w:p w14:paraId="01F42327" w14:textId="77777777" w:rsidR="006B4FEC" w:rsidRPr="00DB295F" w:rsidRDefault="006B4FEC" w:rsidP="00BE73E5">
            <w:pPr>
              <w:pStyle w:val="GazetteTableText"/>
            </w:pPr>
            <w:r w:rsidRPr="00DB295F">
              <w:t>Fences</w:t>
            </w:r>
          </w:p>
          <w:p w14:paraId="0DF53DC7" w14:textId="77777777" w:rsidR="006B4FEC" w:rsidRPr="00DB295F" w:rsidRDefault="006B4FEC" w:rsidP="00BE73E5">
            <w:pPr>
              <w:pStyle w:val="GazetteTableText"/>
            </w:pPr>
            <w:r w:rsidRPr="00DB295F">
              <w:t>Garden beds</w:t>
            </w:r>
          </w:p>
          <w:p w14:paraId="144FAE06" w14:textId="77777777" w:rsidR="006B4FEC" w:rsidRPr="00DB295F" w:rsidRDefault="006B4FEC" w:rsidP="00BE73E5">
            <w:pPr>
              <w:pStyle w:val="GazetteTableText"/>
            </w:pPr>
            <w:r w:rsidRPr="00DB295F">
              <w:t>Garden paths</w:t>
            </w:r>
          </w:p>
          <w:p w14:paraId="4FD3E589" w14:textId="77777777" w:rsidR="006B4FEC" w:rsidRPr="00DB295F" w:rsidRDefault="006B4FEC" w:rsidP="00BE73E5">
            <w:pPr>
              <w:pStyle w:val="GazetteTableText"/>
            </w:pPr>
            <w:r w:rsidRPr="00DB295F">
              <w:t>Gardens</w:t>
            </w:r>
          </w:p>
          <w:p w14:paraId="0F198BF1" w14:textId="77777777" w:rsidR="006B4FEC" w:rsidRPr="00DB295F" w:rsidRDefault="006B4FEC" w:rsidP="00BE73E5">
            <w:pPr>
              <w:pStyle w:val="GazetteTableText"/>
            </w:pPr>
            <w:r w:rsidRPr="00DB295F">
              <w:t>In and around houses and domestic buildings</w:t>
            </w:r>
          </w:p>
          <w:p w14:paraId="621A67DA" w14:textId="77777777" w:rsidR="006B4FEC" w:rsidRPr="00DB295F" w:rsidRDefault="006B4FEC" w:rsidP="00BE73E5">
            <w:pPr>
              <w:pStyle w:val="GazetteTableText"/>
            </w:pPr>
            <w:r w:rsidRPr="00DB295F">
              <w:t>Macrocarpa hedges (in domestic and public space uses)</w:t>
            </w:r>
          </w:p>
          <w:p w14:paraId="2A0F0517" w14:textId="77777777" w:rsidR="006B4FEC" w:rsidRPr="00DB295F" w:rsidRDefault="006B4FEC" w:rsidP="00BE73E5">
            <w:pPr>
              <w:pStyle w:val="GazetteTableText"/>
            </w:pPr>
            <w:r w:rsidRPr="00DB295F">
              <w:t>Potted ornamentals and other potted plants</w:t>
            </w:r>
          </w:p>
          <w:p w14:paraId="1D43169A" w14:textId="77777777" w:rsidR="006B4FEC" w:rsidRPr="00DB295F" w:rsidRDefault="006B4FEC" w:rsidP="00BE73E5">
            <w:pPr>
              <w:pStyle w:val="GazetteTableText"/>
            </w:pPr>
            <w:r w:rsidRPr="00DB295F">
              <w:t>Public places</w:t>
            </w:r>
          </w:p>
          <w:p w14:paraId="31C6E438" w14:textId="77777777" w:rsidR="006B4FEC" w:rsidRPr="00DB295F" w:rsidRDefault="006B4FEC" w:rsidP="00BE73E5">
            <w:pPr>
              <w:pStyle w:val="GazetteTableText"/>
            </w:pPr>
            <w:r w:rsidRPr="00DB295F">
              <w:t>Public service areas</w:t>
            </w:r>
          </w:p>
          <w:p w14:paraId="362DFCC1" w14:textId="77777777" w:rsidR="006B4FEC" w:rsidRPr="00DB295F" w:rsidRDefault="006B4FEC" w:rsidP="00BE73E5">
            <w:pPr>
              <w:pStyle w:val="GazetteTableText"/>
            </w:pPr>
            <w:r w:rsidRPr="00DB295F">
              <w:t>Rockeries</w:t>
            </w:r>
          </w:p>
          <w:p w14:paraId="1D464BBC" w14:textId="77777777" w:rsidR="006B4FEC" w:rsidRPr="00DB295F" w:rsidRDefault="006B4FEC" w:rsidP="00BE73E5">
            <w:pPr>
              <w:pStyle w:val="GazetteTableText"/>
            </w:pPr>
            <w:r w:rsidRPr="00DB295F">
              <w:t>Tennis courts</w:t>
            </w:r>
          </w:p>
          <w:p w14:paraId="2CD43A0C" w14:textId="77777777" w:rsidR="006B4FEC" w:rsidRPr="007A09ED" w:rsidRDefault="006B4FEC" w:rsidP="00BE73E5">
            <w:pPr>
              <w:pStyle w:val="GazetteTableText"/>
              <w:rPr>
                <w:sz w:val="20"/>
                <w:szCs w:val="20"/>
              </w:rPr>
            </w:pPr>
            <w:r w:rsidRPr="00DB295F">
              <w:t>Uses on turf and/or lawns to which children have access</w:t>
            </w:r>
          </w:p>
        </w:tc>
        <w:tc>
          <w:tcPr>
            <w:tcW w:w="2692" w:type="dxa"/>
            <w:tcBorders>
              <w:top w:val="single" w:sz="4" w:space="0" w:color="auto"/>
              <w:bottom w:val="single" w:sz="4" w:space="0" w:color="auto"/>
            </w:tcBorders>
          </w:tcPr>
          <w:p w14:paraId="64C3B486" w14:textId="77777777" w:rsidR="006B4FEC" w:rsidRPr="00DB295F" w:rsidRDefault="006B4FEC" w:rsidP="00BE73E5">
            <w:pPr>
              <w:pStyle w:val="GazetteTableText"/>
            </w:pPr>
            <w:r w:rsidRPr="00DB295F">
              <w:t>2</w:t>
            </w:r>
            <w:r>
              <w:t>–</w:t>
            </w:r>
            <w:r w:rsidRPr="00DB295F">
              <w:t>34 days depending on plant height, plant foliage density and activity undertaken</w:t>
            </w:r>
            <w:r>
              <w:t>.</w:t>
            </w:r>
          </w:p>
        </w:tc>
        <w:tc>
          <w:tcPr>
            <w:tcW w:w="3260" w:type="dxa"/>
            <w:tcBorders>
              <w:top w:val="single" w:sz="4" w:space="0" w:color="auto"/>
              <w:bottom w:val="single" w:sz="4" w:space="0" w:color="auto"/>
            </w:tcBorders>
          </w:tcPr>
          <w:p w14:paraId="42F17489" w14:textId="77777777" w:rsidR="006B4FEC" w:rsidRPr="00DB295F" w:rsidRDefault="006B4FEC" w:rsidP="00BE73E5">
            <w:pPr>
              <w:pStyle w:val="GazetteTableText"/>
            </w:pPr>
            <w:r w:rsidRPr="00DB295F">
              <w:t>A re-entry requirement in child accessible spaces is regarded as impractical, unreliable and unenforceable.</w:t>
            </w:r>
          </w:p>
        </w:tc>
      </w:tr>
      <w:tr w:rsidR="006B4FEC" w14:paraId="7D7FA867" w14:textId="77777777" w:rsidTr="00BE73E5">
        <w:tc>
          <w:tcPr>
            <w:tcW w:w="3828" w:type="dxa"/>
            <w:tcBorders>
              <w:top w:val="single" w:sz="4" w:space="0" w:color="auto"/>
              <w:bottom w:val="single" w:sz="4" w:space="0" w:color="auto"/>
            </w:tcBorders>
          </w:tcPr>
          <w:p w14:paraId="4A5552A9" w14:textId="77777777" w:rsidR="006B4FEC" w:rsidRPr="00CE6A9C" w:rsidRDefault="006B4FEC" w:rsidP="00BE73E5">
            <w:pPr>
              <w:pStyle w:val="GazetteTableText"/>
              <w:rPr>
                <w:b/>
              </w:rPr>
            </w:pPr>
            <w:r w:rsidRPr="00CE6A9C">
              <w:rPr>
                <w:b/>
              </w:rPr>
              <w:t>Professional use products</w:t>
            </w:r>
          </w:p>
          <w:p w14:paraId="4650FC41" w14:textId="77777777" w:rsidR="006B4FEC" w:rsidRPr="007A09ED" w:rsidRDefault="006B4FEC" w:rsidP="00BE73E5">
            <w:pPr>
              <w:pStyle w:val="GazetteTableText"/>
              <w:rPr>
                <w:sz w:val="20"/>
                <w:szCs w:val="20"/>
              </w:rPr>
            </w:pPr>
            <w:r w:rsidRPr="00DB295F">
              <w:t>Mosquito adult/larvae control in vegetation</w:t>
            </w:r>
          </w:p>
        </w:tc>
        <w:tc>
          <w:tcPr>
            <w:tcW w:w="2692" w:type="dxa"/>
            <w:tcBorders>
              <w:top w:val="single" w:sz="4" w:space="0" w:color="auto"/>
              <w:bottom w:val="single" w:sz="4" w:space="0" w:color="auto"/>
            </w:tcBorders>
          </w:tcPr>
          <w:p w14:paraId="2BEA21CE" w14:textId="77777777" w:rsidR="006B4FEC" w:rsidRPr="00DB295F" w:rsidRDefault="006B4FEC" w:rsidP="00BE73E5">
            <w:pPr>
              <w:pStyle w:val="GazetteTableText"/>
            </w:pPr>
            <w:r w:rsidRPr="00DB295F">
              <w:t>0 days</w:t>
            </w:r>
          </w:p>
        </w:tc>
        <w:tc>
          <w:tcPr>
            <w:tcW w:w="3260" w:type="dxa"/>
            <w:tcBorders>
              <w:top w:val="single" w:sz="4" w:space="0" w:color="auto"/>
              <w:bottom w:val="single" w:sz="4" w:space="0" w:color="auto"/>
            </w:tcBorders>
          </w:tcPr>
          <w:p w14:paraId="501FADA8" w14:textId="77777777" w:rsidR="006B4FEC" w:rsidRPr="00DB295F" w:rsidRDefault="006B4FEC" w:rsidP="00BE73E5">
            <w:pPr>
              <w:pStyle w:val="GazetteTableText"/>
            </w:pPr>
            <w:r w:rsidRPr="00DB295F">
              <w:t>The use is considered to be practical based on re-entry criteria.</w:t>
            </w:r>
          </w:p>
          <w:p w14:paraId="6A55ED5B" w14:textId="77777777" w:rsidR="006B4FEC" w:rsidRPr="00DB295F" w:rsidRDefault="006B4FEC" w:rsidP="00BE73E5">
            <w:pPr>
              <w:pStyle w:val="GazetteTableText"/>
              <w:rPr>
                <w:i/>
              </w:rPr>
            </w:pPr>
            <w:r w:rsidRPr="00DB295F">
              <w:rPr>
                <w:i/>
              </w:rPr>
              <w:t>Note: re-entry exposures to children are not acceptable based on APVMA Toddler on Turf (MOE &lt; 100)</w:t>
            </w:r>
            <w:r>
              <w:rPr>
                <w:i/>
              </w:rPr>
              <w:t>.</w:t>
            </w:r>
          </w:p>
        </w:tc>
      </w:tr>
      <w:bookmarkEnd w:id="8"/>
    </w:tbl>
    <w:p w14:paraId="256C6A49" w14:textId="3733694F" w:rsidR="00026A0F" w:rsidRDefault="00026A0F" w:rsidP="006B4FEC"/>
    <w:p w14:paraId="4A5BD3BD" w14:textId="77777777" w:rsidR="00026A0F" w:rsidRDefault="00026A0F">
      <w:r>
        <w:br w:type="page"/>
      </w:r>
    </w:p>
    <w:p w14:paraId="6ADF94FD" w14:textId="21E43D10" w:rsidR="00026A0F" w:rsidRDefault="00026A0F" w:rsidP="003C69F4">
      <w:pPr>
        <w:pStyle w:val="Heading1"/>
      </w:pPr>
      <w:bookmarkStart w:id="10" w:name="_Toc11940619"/>
      <w:r>
        <w:lastRenderedPageBreak/>
        <w:t>Annexure B</w:t>
      </w:r>
      <w:r w:rsidR="00114745">
        <w:t xml:space="preserve"> </w:t>
      </w:r>
      <w:r>
        <w:t>—</w:t>
      </w:r>
      <w:r w:rsidR="00114745">
        <w:t xml:space="preserve"> </w:t>
      </w:r>
      <w:r>
        <w:t>APVMA TODDLER on TURF MODEL</w:t>
      </w:r>
      <w:bookmarkEnd w:id="10"/>
    </w:p>
    <w:p w14:paraId="1E639683" w14:textId="77777777" w:rsidR="00026A0F" w:rsidRPr="00026A0F" w:rsidRDefault="00026A0F" w:rsidP="003C69F4">
      <w:pPr>
        <w:pStyle w:val="NumberLevel1"/>
        <w:numPr>
          <w:ilvl w:val="0"/>
          <w:numId w:val="0"/>
        </w:numPr>
        <w:rPr>
          <w:rFonts w:eastAsia="Yu Mincho"/>
        </w:rPr>
      </w:pPr>
      <w:r w:rsidRPr="00026A0F">
        <w:rPr>
          <w:rFonts w:eastAsia="Yu Mincho"/>
        </w:rPr>
        <w:t>In the absence of post-application residue and/or exposure studies, the following calculations have been made for exposure to children playing on treated lawn areas, using the Toddler on Turf algorithm. Exposure estimations have been performed for infants (&lt; two year old) and toddlers (two to three year old), using the formula below:</w:t>
      </w:r>
    </w:p>
    <w:p w14:paraId="6D91E8F1" w14:textId="77777777" w:rsidR="00026A0F" w:rsidRDefault="00026A0F" w:rsidP="00026A0F">
      <w:pPr>
        <w:pStyle w:val="NumberLevel1"/>
        <w:numPr>
          <w:ilvl w:val="0"/>
          <w:numId w:val="0"/>
        </w:numPr>
        <w:ind w:left="-709"/>
      </w:pPr>
      <w:r w:rsidRPr="00632847">
        <w:rPr>
          <w:rFonts w:eastAsia="Yu Mincho"/>
          <w:noProof/>
        </w:rPr>
        <w:drawing>
          <wp:inline distT="0" distB="0" distL="0" distR="0" wp14:anchorId="15024ED1" wp14:editId="14967661">
            <wp:extent cx="4974609" cy="866908"/>
            <wp:effectExtent l="0" t="0" r="0" b="9525"/>
            <wp:docPr id="1" name="Picture 1" descr="Exposure estimations formula" title="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00619" cy="871441"/>
                    </a:xfrm>
                    <a:prstGeom prst="rect">
                      <a:avLst/>
                    </a:prstGeom>
                    <a:noFill/>
                  </pic:spPr>
                </pic:pic>
              </a:graphicData>
            </a:graphic>
          </wp:inline>
        </w:drawing>
      </w:r>
    </w:p>
    <w:p w14:paraId="11A25F16" w14:textId="77777777" w:rsidR="00026A0F" w:rsidRPr="00632847" w:rsidRDefault="00026A0F" w:rsidP="003C69F4">
      <w:pPr>
        <w:pStyle w:val="NumberLevel1"/>
        <w:numPr>
          <w:ilvl w:val="0"/>
          <w:numId w:val="0"/>
        </w:numPr>
        <w:rPr>
          <w:rFonts w:eastAsia="Yu Mincho"/>
        </w:rPr>
      </w:pPr>
      <w:r w:rsidRPr="00632847">
        <w:t>Where</w:t>
      </w:r>
      <w:r w:rsidRPr="00632847">
        <w:rPr>
          <w:rFonts w:eastAsia="Yu Mincho"/>
        </w:rPr>
        <w:t>:</w:t>
      </w:r>
      <w:r w:rsidRPr="00B559A0">
        <w:rPr>
          <w:rFonts w:eastAsia="Yu Mincho"/>
          <w:noProof/>
        </w:rPr>
        <w:t xml:space="preserve"> </w:t>
      </w:r>
    </w:p>
    <w:p w14:paraId="1D269A73" w14:textId="77777777" w:rsidR="00026A0F" w:rsidRPr="00632847" w:rsidRDefault="00026A0F" w:rsidP="003C69F4">
      <w:pPr>
        <w:pStyle w:val="NumberLevel1"/>
        <w:numPr>
          <w:ilvl w:val="0"/>
          <w:numId w:val="0"/>
        </w:numPr>
        <w:rPr>
          <w:rFonts w:eastAsia="Yu Mincho"/>
        </w:rPr>
      </w:pPr>
      <w:r w:rsidRPr="00632847">
        <w:rPr>
          <w:rFonts w:eastAsia="Yu Mincho"/>
          <w:b/>
        </w:rPr>
        <w:t>AR</w:t>
      </w:r>
      <w:r w:rsidRPr="00632847">
        <w:rPr>
          <w:rFonts w:eastAsia="Yu Mincho"/>
        </w:rPr>
        <w:t xml:space="preserve"> (Application rate); </w:t>
      </w:r>
      <w:r w:rsidRPr="00632847">
        <w:rPr>
          <w:rFonts w:eastAsia="Yu Mincho"/>
          <w:b/>
        </w:rPr>
        <w:t>B</w:t>
      </w:r>
      <w:r w:rsidRPr="00632847">
        <w:rPr>
          <w:rFonts w:eastAsia="Yu Mincho"/>
        </w:rPr>
        <w:t xml:space="preserve"> (oral bioavailability): The oral bioavailability data for the active constituent </w:t>
      </w:r>
      <w:proofErr w:type="spellStart"/>
      <w:r w:rsidRPr="00632847">
        <w:t>chlorpyrifos</w:t>
      </w:r>
      <w:proofErr w:type="spellEnd"/>
      <w:r w:rsidRPr="00632847">
        <w:rPr>
          <w:rFonts w:eastAsia="Yu Mincho"/>
        </w:rPr>
        <w:t xml:space="preserve"> is a factor of 0.77 (</w:t>
      </w:r>
      <w:proofErr w:type="spellStart"/>
      <w:r w:rsidRPr="00632847">
        <w:rPr>
          <w:rFonts w:eastAsia="Yu Mincho"/>
        </w:rPr>
        <w:t>ie</w:t>
      </w:r>
      <w:proofErr w:type="spellEnd"/>
      <w:r w:rsidRPr="00632847">
        <w:rPr>
          <w:rFonts w:eastAsia="Yu Mincho"/>
        </w:rPr>
        <w:t xml:space="preserve"> 77 per cent gastrointestinal absorption).</w:t>
      </w:r>
    </w:p>
    <w:p w14:paraId="6CFFDDE1" w14:textId="77777777" w:rsidR="00026A0F" w:rsidRPr="00632847" w:rsidRDefault="00026A0F" w:rsidP="003C69F4">
      <w:pPr>
        <w:pStyle w:val="NumberLevel1"/>
        <w:numPr>
          <w:ilvl w:val="0"/>
          <w:numId w:val="0"/>
        </w:numPr>
        <w:rPr>
          <w:rFonts w:eastAsia="Yu Mincho"/>
        </w:rPr>
      </w:pPr>
      <w:r w:rsidRPr="00632847">
        <w:rPr>
          <w:rFonts w:eastAsia="Yu Mincho"/>
          <w:b/>
        </w:rPr>
        <w:t>BW</w:t>
      </w:r>
      <w:r w:rsidRPr="00632847">
        <w:rPr>
          <w:rFonts w:eastAsia="Yu Mincho"/>
        </w:rPr>
        <w:t xml:space="preserve"> (Bodyweight): One to two year olds = 11 kg, two to three year olds = 15 kg; </w:t>
      </w:r>
      <w:r w:rsidRPr="00632847">
        <w:rPr>
          <w:rFonts w:eastAsia="Yu Mincho"/>
          <w:b/>
        </w:rPr>
        <w:t>DA</w:t>
      </w:r>
      <w:r w:rsidRPr="00632847">
        <w:rPr>
          <w:rFonts w:eastAsia="Yu Mincho"/>
        </w:rPr>
        <w:t xml:space="preserve"> (product-specific dermal </w:t>
      </w:r>
      <w:r w:rsidRPr="00632847">
        <w:t>absorption</w:t>
      </w:r>
      <w:r w:rsidRPr="00632847">
        <w:rPr>
          <w:rFonts w:eastAsia="Yu Mincho"/>
        </w:rPr>
        <w:t xml:space="preserve"> factor [fraction]): 10 per cent for diluted product (</w:t>
      </w:r>
      <w:proofErr w:type="spellStart"/>
      <w:r w:rsidRPr="00632847">
        <w:rPr>
          <w:rFonts w:eastAsia="Yu Mincho"/>
        </w:rPr>
        <w:t>ie</w:t>
      </w:r>
      <w:proofErr w:type="spellEnd"/>
      <w:r w:rsidRPr="00632847">
        <w:rPr>
          <w:rFonts w:eastAsia="Yu Mincho"/>
        </w:rPr>
        <w:t xml:space="preserve"> 0.10).</w:t>
      </w:r>
    </w:p>
    <w:p w14:paraId="2EEFF21B" w14:textId="77777777" w:rsidR="00026A0F" w:rsidRPr="00632847" w:rsidRDefault="00026A0F" w:rsidP="003C69F4">
      <w:pPr>
        <w:pStyle w:val="NumberLevel1"/>
        <w:numPr>
          <w:ilvl w:val="0"/>
          <w:numId w:val="0"/>
        </w:numPr>
        <w:rPr>
          <w:rFonts w:eastAsia="Yu Mincho"/>
        </w:rPr>
      </w:pPr>
      <w:proofErr w:type="spellStart"/>
      <w:r w:rsidRPr="00632847">
        <w:rPr>
          <w:rFonts w:eastAsia="Yu Mincho"/>
          <w:b/>
        </w:rPr>
        <w:t>DepR</w:t>
      </w:r>
      <w:proofErr w:type="spellEnd"/>
      <w:r w:rsidRPr="00632847">
        <w:rPr>
          <w:rFonts w:eastAsia="Yu Mincho"/>
        </w:rPr>
        <w:t xml:space="preserve"> (Deposited Residue [fraction]) </w:t>
      </w:r>
      <w:r w:rsidRPr="00632847">
        <w:rPr>
          <w:rFonts w:eastAsia="Yu Mincho"/>
          <w:i/>
        </w:rPr>
        <w:t>and</w:t>
      </w:r>
      <w:r w:rsidRPr="00632847">
        <w:rPr>
          <w:rFonts w:eastAsia="Yu Mincho"/>
        </w:rPr>
        <w:t xml:space="preserve"> </w:t>
      </w:r>
      <w:r w:rsidRPr="00632847">
        <w:rPr>
          <w:rFonts w:eastAsia="Yu Mincho"/>
          <w:b/>
        </w:rPr>
        <w:t>Ac</w:t>
      </w:r>
      <w:r w:rsidRPr="00632847">
        <w:rPr>
          <w:rFonts w:eastAsia="Yu Mincho"/>
        </w:rPr>
        <w:t xml:space="preserve"> (Accessibility factor [fraction])—together, these factors constitute a transferable residue factor. The default for the accessibility of organics on surfaces is 100 per cent (1.0), and 0.01 per cent (0.0001) for inorganics. For turf, a transferable residue factor (</w:t>
      </w:r>
      <w:proofErr w:type="spellStart"/>
      <w:r w:rsidRPr="00632847">
        <w:rPr>
          <w:rFonts w:eastAsia="Yu Mincho"/>
          <w:b/>
        </w:rPr>
        <w:t>DepR</w:t>
      </w:r>
      <w:proofErr w:type="spellEnd"/>
      <w:r w:rsidRPr="00632847">
        <w:rPr>
          <w:rFonts w:eastAsia="Yu Mincho"/>
          <w:b/>
        </w:rPr>
        <w:t xml:space="preserve"> x Ac</w:t>
      </w:r>
      <w:r w:rsidRPr="00632847">
        <w:rPr>
          <w:rFonts w:eastAsia="Yu Mincho"/>
        </w:rPr>
        <w:t>) of five per cent was applied. The default is five per cent (0.05) for all formulation and application types.</w:t>
      </w:r>
    </w:p>
    <w:p w14:paraId="4627C8E7" w14:textId="429AB63B" w:rsidR="00026A0F" w:rsidRPr="00632847" w:rsidRDefault="00026A0F" w:rsidP="003C69F4">
      <w:pPr>
        <w:pStyle w:val="NumberLevel1"/>
        <w:numPr>
          <w:ilvl w:val="0"/>
          <w:numId w:val="0"/>
        </w:numPr>
        <w:rPr>
          <w:rFonts w:eastAsia="Yu Mincho"/>
        </w:rPr>
      </w:pPr>
      <w:proofErr w:type="spellStart"/>
      <w:r w:rsidRPr="00632847">
        <w:rPr>
          <w:rFonts w:eastAsia="Yu Mincho"/>
          <w:b/>
        </w:rPr>
        <w:t>DRn</w:t>
      </w:r>
      <w:proofErr w:type="spellEnd"/>
      <w:r w:rsidRPr="00632847">
        <w:rPr>
          <w:rFonts w:eastAsia="Yu Mincho"/>
          <w:b/>
        </w:rPr>
        <w:t xml:space="preserve"> </w:t>
      </w:r>
      <w:r w:rsidRPr="00632847">
        <w:rPr>
          <w:rFonts w:eastAsia="Yu Mincho"/>
        </w:rPr>
        <w:t>(Nominal dissipation/ degradation rate per day) expressed as [fraction]): in the absence of product-specific data to estimate a data-derived nominal dissipation rate, the default 'actual' product-specific dissipation/degradation rate for residues on surfaces (indoors and outdoors) is only equal to the levels lost from transfer to occupants (</w:t>
      </w:r>
      <w:proofErr w:type="spellStart"/>
      <w:r w:rsidRPr="00632847">
        <w:rPr>
          <w:rFonts w:eastAsia="Yu Mincho"/>
        </w:rPr>
        <w:t>ie</w:t>
      </w:r>
      <w:proofErr w:type="spellEnd"/>
      <w:r w:rsidRPr="00632847">
        <w:rPr>
          <w:rFonts w:eastAsia="Yu Mincho"/>
        </w:rPr>
        <w:t xml:space="preserve"> transferred to skin). </w:t>
      </w:r>
      <w:r w:rsidRPr="00632847">
        <w:rPr>
          <w:rFonts w:eastAsia="Yu Mincho"/>
          <w:b/>
        </w:rPr>
        <w:t>For turf</w:t>
      </w:r>
      <w:r w:rsidRPr="00632847">
        <w:rPr>
          <w:rFonts w:eastAsia="Yu Mincho"/>
        </w:rPr>
        <w:t xml:space="preserve">, the default nominal value for dissipation/degradation rate per day is 10 per cent (0.1). This value has been maintained as the default in the absence of additional data. As this default is a conservative factor based on the physical process of blade-growth and subsequent </w:t>
      </w:r>
      <w:r w:rsidRPr="00632847">
        <w:t>mowing</w:t>
      </w:r>
      <w:r w:rsidRPr="00632847">
        <w:rPr>
          <w:rFonts w:eastAsia="Yu Mincho"/>
        </w:rPr>
        <w:t xml:space="preserve"> and/or blade turnover, selecting longer dissipation rates (</w:t>
      </w:r>
      <w:proofErr w:type="spellStart"/>
      <w:r w:rsidRPr="00632847">
        <w:rPr>
          <w:rFonts w:eastAsia="Yu Mincho"/>
        </w:rPr>
        <w:t>eg</w:t>
      </w:r>
      <w:proofErr w:type="spellEnd"/>
      <w:r w:rsidR="00114745">
        <w:rPr>
          <w:rFonts w:eastAsia="Yu Mincho"/>
        </w:rPr>
        <w:t>,</w:t>
      </w:r>
      <w:r w:rsidRPr="00632847">
        <w:rPr>
          <w:rFonts w:eastAsia="Yu Mincho"/>
        </w:rPr>
        <w:t xml:space="preserve"> due to long environmental half-lives) is inappropriate for estimating post-application exposures to residues on turf. In the cases where a long environmental half-live for an active constituent (ideally from studies where it was a component of the formulation) has been identified, estimating repeated exposure from soil ingestion of 50 mg soil/day.</w:t>
      </w:r>
    </w:p>
    <w:p w14:paraId="7F53309D" w14:textId="77777777" w:rsidR="00026A0F" w:rsidRPr="00632847" w:rsidRDefault="00026A0F" w:rsidP="003C69F4">
      <w:pPr>
        <w:pStyle w:val="NumberLevel1"/>
        <w:numPr>
          <w:ilvl w:val="0"/>
          <w:numId w:val="0"/>
        </w:numPr>
        <w:rPr>
          <w:rFonts w:eastAsia="Yu Mincho"/>
        </w:rPr>
      </w:pPr>
      <w:r w:rsidRPr="00632847">
        <w:rPr>
          <w:rFonts w:eastAsia="Yu Mincho"/>
          <w:b/>
        </w:rPr>
        <w:t xml:space="preserve">ET </w:t>
      </w:r>
      <w:r w:rsidRPr="00632847">
        <w:rPr>
          <w:rFonts w:eastAsia="Yu Mincho"/>
        </w:rPr>
        <w:t xml:space="preserve">(Exposure time/duration of mouthing per day): For time spent playing on turf, the default mean values are 1.1h [95th percentile of two hours] and 1h [95th percentile of two hours] for infants (&lt; two) </w:t>
      </w:r>
      <w:r w:rsidRPr="00632847">
        <w:t>and</w:t>
      </w:r>
      <w:r w:rsidRPr="00632847">
        <w:rPr>
          <w:rFonts w:eastAsia="Yu Mincho"/>
        </w:rPr>
        <w:t xml:space="preserve"> toddlers (two to three), respectively; </w:t>
      </w:r>
      <w:r w:rsidRPr="00632847">
        <w:rPr>
          <w:rFonts w:eastAsia="Yu Mincho"/>
          <w:b/>
        </w:rPr>
        <w:t>FQ</w:t>
      </w:r>
      <w:r w:rsidRPr="00632847">
        <w:rPr>
          <w:rFonts w:eastAsia="Yu Mincho"/>
        </w:rPr>
        <w:t xml:space="preserve"> (Mouthing Frequency): the default mouthing frequency values in outdoor settings are 14/5 contacts per hour for &lt; two/two to three-year olds, respectively.</w:t>
      </w:r>
    </w:p>
    <w:p w14:paraId="357CEA0D" w14:textId="77777777" w:rsidR="00026A0F" w:rsidRPr="00632847" w:rsidRDefault="00026A0F" w:rsidP="003C69F4">
      <w:pPr>
        <w:pStyle w:val="NumberLevel1"/>
        <w:numPr>
          <w:ilvl w:val="0"/>
          <w:numId w:val="0"/>
        </w:numPr>
        <w:rPr>
          <w:rFonts w:eastAsia="Yu Mincho"/>
        </w:rPr>
      </w:pPr>
      <w:proofErr w:type="spellStart"/>
      <w:r w:rsidRPr="00632847">
        <w:rPr>
          <w:rFonts w:eastAsia="Yu Mincho"/>
          <w:b/>
        </w:rPr>
        <w:t>SAo</w:t>
      </w:r>
      <w:proofErr w:type="spellEnd"/>
      <w:r w:rsidRPr="00632847">
        <w:rPr>
          <w:rFonts w:eastAsia="Yu Mincho"/>
        </w:rPr>
        <w:t xml:space="preserve"> (Surface area potentially exposed from mouthing activities): The value of 19 cm</w:t>
      </w:r>
      <w:r w:rsidRPr="00632847">
        <w:rPr>
          <w:rFonts w:eastAsia="Yu Mincho"/>
          <w:vertAlign w:val="superscript"/>
        </w:rPr>
        <w:t>2</w:t>
      </w:r>
      <w:r w:rsidRPr="00632847">
        <w:rPr>
          <w:rFonts w:eastAsia="Yu Mincho"/>
        </w:rPr>
        <w:t xml:space="preserve"> per event is used </w:t>
      </w:r>
      <w:r w:rsidRPr="00632847">
        <w:t>for</w:t>
      </w:r>
      <w:r w:rsidRPr="00632847">
        <w:rPr>
          <w:rFonts w:eastAsia="Yu Mincho"/>
        </w:rPr>
        <w:t xml:space="preserve"> area mouthed per mouthing event.</w:t>
      </w:r>
    </w:p>
    <w:p w14:paraId="142BC7AC" w14:textId="77777777" w:rsidR="00026A0F" w:rsidRPr="00632847" w:rsidRDefault="00026A0F" w:rsidP="003C69F4">
      <w:pPr>
        <w:pStyle w:val="NumberLevel1"/>
        <w:numPr>
          <w:ilvl w:val="0"/>
          <w:numId w:val="0"/>
        </w:numPr>
        <w:rPr>
          <w:rFonts w:eastAsia="Yu Mincho"/>
        </w:rPr>
      </w:pPr>
      <w:r w:rsidRPr="00632847">
        <w:rPr>
          <w:rFonts w:eastAsia="Yu Mincho"/>
          <w:b/>
        </w:rPr>
        <w:t xml:space="preserve">TC </w:t>
      </w:r>
      <w:r w:rsidRPr="00632847">
        <w:rPr>
          <w:rFonts w:eastAsia="Yu Mincho"/>
        </w:rPr>
        <w:t>(Transfer Coefficient): for turf the default dermal TC values for children playing on treated turf are:</w:t>
      </w:r>
    </w:p>
    <w:p w14:paraId="6E97C7E1" w14:textId="77777777" w:rsidR="00026A0F" w:rsidRPr="00632847" w:rsidRDefault="00026A0F" w:rsidP="003C69F4">
      <w:pPr>
        <w:pStyle w:val="NumberLevel1"/>
        <w:numPr>
          <w:ilvl w:val="0"/>
          <w:numId w:val="0"/>
        </w:numPr>
        <w:rPr>
          <w:rFonts w:eastAsia="Yu Mincho"/>
        </w:rPr>
      </w:pPr>
      <w:proofErr w:type="gramStart"/>
      <w:r w:rsidRPr="00632847">
        <w:rPr>
          <w:rFonts w:eastAsia="Yu Mincho"/>
        </w:rPr>
        <w:t>two</w:t>
      </w:r>
      <w:proofErr w:type="gramEnd"/>
      <w:r w:rsidRPr="00632847">
        <w:rPr>
          <w:rFonts w:eastAsia="Yu Mincho"/>
        </w:rPr>
        <w:t xml:space="preserve"> to three-year olds = 60,000 cm</w:t>
      </w:r>
      <w:r w:rsidRPr="00632847">
        <w:rPr>
          <w:rFonts w:eastAsia="Yu Mincho"/>
          <w:vertAlign w:val="superscript"/>
        </w:rPr>
        <w:t>2</w:t>
      </w:r>
      <w:r w:rsidRPr="00632847">
        <w:rPr>
          <w:rFonts w:eastAsia="Yu Mincho"/>
        </w:rPr>
        <w:t>/h</w:t>
      </w:r>
    </w:p>
    <w:p w14:paraId="4FDBFDFF" w14:textId="77777777" w:rsidR="00026A0F" w:rsidRDefault="00026A0F" w:rsidP="003C69F4">
      <w:pPr>
        <w:pStyle w:val="NumberLevel1"/>
        <w:numPr>
          <w:ilvl w:val="0"/>
          <w:numId w:val="0"/>
        </w:numPr>
        <w:rPr>
          <w:rFonts w:eastAsia="Yu Mincho"/>
        </w:rPr>
      </w:pPr>
      <w:proofErr w:type="gramStart"/>
      <w:r w:rsidRPr="00632847">
        <w:rPr>
          <w:rFonts w:eastAsia="Yu Mincho"/>
        </w:rPr>
        <w:t>one</w:t>
      </w:r>
      <w:proofErr w:type="gramEnd"/>
      <w:r w:rsidRPr="00632847">
        <w:rPr>
          <w:rFonts w:eastAsia="Yu Mincho"/>
        </w:rPr>
        <w:t xml:space="preserve"> to two-year olds = 49,000 cm</w:t>
      </w:r>
      <w:r w:rsidRPr="00632847">
        <w:rPr>
          <w:rFonts w:eastAsia="Yu Mincho"/>
          <w:vertAlign w:val="superscript"/>
        </w:rPr>
        <w:t>2</w:t>
      </w:r>
      <w:r w:rsidRPr="00632847">
        <w:rPr>
          <w:rFonts w:eastAsia="Yu Mincho"/>
        </w:rPr>
        <w:t>/h.</w:t>
      </w:r>
    </w:p>
    <w:p w14:paraId="45ABF1D5" w14:textId="77777777" w:rsidR="00026A0F" w:rsidRDefault="00026A0F" w:rsidP="003C69F4">
      <w:pPr>
        <w:pStyle w:val="NumberLevel1"/>
        <w:numPr>
          <w:ilvl w:val="0"/>
          <w:numId w:val="0"/>
        </w:numPr>
        <w:rPr>
          <w:rFonts w:eastAsia="Yu Mincho"/>
        </w:rPr>
      </w:pPr>
      <w:r w:rsidRPr="001C6B48">
        <w:rPr>
          <w:rFonts w:eastAsia="Yu Mincho"/>
        </w:rPr>
        <w:t>Values for two to three-year olds are estimated from extrapolating the value to &lt; two-year olds based on a 1.23-fold lower exposed surface area.</w:t>
      </w:r>
    </w:p>
    <w:p w14:paraId="6826E531" w14:textId="68BB4A38" w:rsidR="00415019" w:rsidRPr="00415019" w:rsidRDefault="00026A0F" w:rsidP="003C69F4">
      <w:pPr>
        <w:pStyle w:val="NumberLevel1"/>
        <w:numPr>
          <w:ilvl w:val="0"/>
          <w:numId w:val="0"/>
        </w:numPr>
      </w:pPr>
      <w:r w:rsidRPr="001C6B48">
        <w:rPr>
          <w:rFonts w:eastAsia="Yu Mincho"/>
        </w:rPr>
        <w:lastRenderedPageBreak/>
        <w:t xml:space="preserve">Dermal NOAEL: Nil (No suitable study available); Oral NOAEL: A NOAEL of 0.1 mg/kg </w:t>
      </w:r>
      <w:proofErr w:type="spellStart"/>
      <w:r w:rsidRPr="001C6B48">
        <w:rPr>
          <w:rFonts w:eastAsia="Yu Mincho"/>
        </w:rPr>
        <w:t>bw</w:t>
      </w:r>
      <w:proofErr w:type="spellEnd"/>
      <w:r w:rsidRPr="001C6B48">
        <w:rPr>
          <w:rFonts w:eastAsia="Yu Mincho"/>
        </w:rPr>
        <w:t>/d was selected from a rat study. A MOE of exposure was regarded as acceptable. A dermal absorption factor of three per cent (0.03) was used for route-to-route extrapolation.</w:t>
      </w:r>
    </w:p>
    <w:sectPr w:rsidR="00415019" w:rsidRPr="00415019" w:rsidSect="00876758">
      <w:footerReference w:type="even" r:id="rId25"/>
      <w:footerReference w:type="default" r:id="rId26"/>
      <w:pgSz w:w="11907" w:h="16839"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246EA" w14:textId="77777777" w:rsidR="00DA177C" w:rsidRDefault="00DA177C">
      <w:r>
        <w:separator/>
      </w:r>
    </w:p>
    <w:p w14:paraId="70F761B0" w14:textId="77777777" w:rsidR="00DA177C" w:rsidRDefault="00DA177C"/>
  </w:endnote>
  <w:endnote w:type="continuationSeparator" w:id="0">
    <w:p w14:paraId="0000334D" w14:textId="77777777" w:rsidR="00DA177C" w:rsidRDefault="00DA177C">
      <w:r>
        <w:continuationSeparator/>
      </w:r>
    </w:p>
    <w:p w14:paraId="22BCC187" w14:textId="77777777" w:rsidR="00DA177C" w:rsidRDefault="00DA17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Italic">
    <w:panose1 w:val="00000000000000000000"/>
    <w:charset w:val="00"/>
    <w:family w:val="roman"/>
    <w:notTrueType/>
    <w:pitch w:val="default"/>
    <w:sig w:usb0="00000003" w:usb1="00000000" w:usb2="00000000" w:usb3="00000000" w:csb0="00000001"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libri-3551-Identity-H">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163D7" w14:textId="1E1346B2" w:rsidR="007D72FB" w:rsidRPr="00AA3402" w:rsidRDefault="007D72FB" w:rsidP="00AA3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8BDC5" w14:textId="77777777" w:rsidR="00AA3402" w:rsidRPr="003C69F4" w:rsidRDefault="00AA3402" w:rsidP="003C69F4">
    <w:pPr>
      <w:pStyle w:val="Footer"/>
      <w:pBdr>
        <w:top w:val="single" w:sz="2" w:space="1" w:color="auto"/>
      </w:pBdr>
    </w:pPr>
    <w:r w:rsidRPr="003C69F4">
      <w:t xml:space="preserve">Final regulatory decision for the registrations of </w:t>
    </w:r>
    <w:proofErr w:type="spellStart"/>
    <w:r w:rsidRPr="003C69F4">
      <w:t>chlorpyrifos</w:t>
    </w:r>
    <w:proofErr w:type="spellEnd"/>
    <w:r w:rsidRPr="003C69F4">
      <w:t xml:space="preserve"> home garden and domestic pest control products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AE199" w14:textId="77777777" w:rsidR="009532C7" w:rsidRDefault="008767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3D6A46" w14:textId="77777777" w:rsidR="009532C7" w:rsidRDefault="00A57DA0">
    <w:pPr>
      <w:pStyle w:val="Footer"/>
      <w:ind w:right="360"/>
    </w:pPr>
  </w:p>
  <w:p w14:paraId="6122C20A" w14:textId="77777777" w:rsidR="00623C65" w:rsidRDefault="00623C6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FDAF2" w14:textId="77777777" w:rsidR="009532C7" w:rsidRPr="00415019" w:rsidRDefault="00415019" w:rsidP="00415019">
    <w:pPr>
      <w:pStyle w:val="Footer"/>
      <w:pBdr>
        <w:top w:val="single" w:sz="4" w:space="1" w:color="auto"/>
      </w:pBdr>
      <w:rPr>
        <w:rFonts w:asciiTheme="minorHAnsi" w:eastAsiaTheme="minorEastAsia" w:hAnsiTheme="minorHAnsi" w:cstheme="minorBidi"/>
        <w:sz w:val="22"/>
        <w:lang w:eastAsia="en-AU"/>
      </w:rPr>
    </w:pPr>
    <w:r w:rsidRPr="00415019">
      <w:rPr>
        <w:rStyle w:val="Hyperlink"/>
        <w:color w:val="auto"/>
        <w:u w:val="none"/>
      </w:rPr>
      <w:t xml:space="preserve">Final regulatory decision for the registrations of </w:t>
    </w:r>
    <w:proofErr w:type="spellStart"/>
    <w:r w:rsidRPr="00415019">
      <w:rPr>
        <w:rStyle w:val="Hyperlink"/>
        <w:color w:val="auto"/>
        <w:u w:val="none"/>
      </w:rPr>
      <w:t>chlorpyrifos</w:t>
    </w:r>
    <w:proofErr w:type="spellEnd"/>
    <w:r w:rsidRPr="00415019">
      <w:rPr>
        <w:rStyle w:val="Hyperlink"/>
        <w:color w:val="auto"/>
        <w:u w:val="none"/>
      </w:rPr>
      <w:t xml:space="preserve"> home garden and domestic pest control products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92B20" w14:textId="77777777" w:rsidR="00DA177C" w:rsidRDefault="00DA177C">
      <w:r>
        <w:separator/>
      </w:r>
    </w:p>
    <w:p w14:paraId="37284178" w14:textId="77777777" w:rsidR="00DA177C" w:rsidRDefault="00DA177C"/>
  </w:footnote>
  <w:footnote w:type="continuationSeparator" w:id="0">
    <w:p w14:paraId="0BC69DAF" w14:textId="77777777" w:rsidR="00DA177C" w:rsidRDefault="00DA177C">
      <w:r>
        <w:continuationSeparator/>
      </w:r>
    </w:p>
    <w:p w14:paraId="5D9C01D0" w14:textId="77777777" w:rsidR="00DA177C" w:rsidRDefault="00DA177C"/>
  </w:footnote>
  <w:footnote w:id="1">
    <w:p w14:paraId="683EC0E3" w14:textId="77777777" w:rsidR="006B4FEC" w:rsidRPr="00A51839" w:rsidRDefault="006B4FEC" w:rsidP="006B4FEC">
      <w:pPr>
        <w:pStyle w:val="FootnoteText"/>
      </w:pPr>
      <w:r>
        <w:rPr>
          <w:rStyle w:val="FootnoteReference"/>
        </w:rPr>
        <w:footnoteRef/>
      </w:r>
      <w:r>
        <w:t xml:space="preserve"> Code, paragraph 34(1</w:t>
      </w:r>
      <w:proofErr w:type="gramStart"/>
      <w:r>
        <w:t>)(</w:t>
      </w:r>
      <w:proofErr w:type="gramEnd"/>
      <w:r>
        <w:t>b).</w:t>
      </w:r>
    </w:p>
  </w:footnote>
  <w:footnote w:id="2">
    <w:p w14:paraId="4A7AA01A" w14:textId="77777777" w:rsidR="006B4FEC" w:rsidRPr="00A51839" w:rsidRDefault="006B4FEC" w:rsidP="006B4FEC">
      <w:pPr>
        <w:pStyle w:val="FootnoteText"/>
      </w:pPr>
      <w:r>
        <w:rPr>
          <w:rStyle w:val="FootnoteReference"/>
        </w:rPr>
        <w:footnoteRef/>
      </w:r>
      <w:r>
        <w:t xml:space="preserve"> Code, paragraph 34(1</w:t>
      </w:r>
      <w:proofErr w:type="gramStart"/>
      <w:r>
        <w:t>)(</w:t>
      </w:r>
      <w:proofErr w:type="gramEnd"/>
      <w:r>
        <w:t>d).</w:t>
      </w:r>
    </w:p>
  </w:footnote>
  <w:footnote w:id="3">
    <w:p w14:paraId="5D5CE4E7" w14:textId="77777777" w:rsidR="006B4FEC" w:rsidRPr="00FB6D14" w:rsidRDefault="006B4FEC" w:rsidP="006B4FEC">
      <w:pPr>
        <w:pStyle w:val="FootnoteText"/>
      </w:pPr>
      <w:r>
        <w:rPr>
          <w:rStyle w:val="FootnoteReference"/>
        </w:rPr>
        <w:footnoteRef/>
      </w:r>
      <w:r>
        <w:t xml:space="preserve"> Code, paragraph </w:t>
      </w:r>
      <w:proofErr w:type="gramStart"/>
      <w:r>
        <w:t>34A(</w:t>
      </w:r>
      <w:proofErr w:type="gramEnd"/>
      <w:r>
        <w:t>1).</w:t>
      </w:r>
    </w:p>
  </w:footnote>
  <w:footnote w:id="4">
    <w:p w14:paraId="4FC65B7E" w14:textId="77777777" w:rsidR="006B4FEC" w:rsidRPr="00FB6D14" w:rsidRDefault="006B4FEC" w:rsidP="006B4FEC">
      <w:pPr>
        <w:pStyle w:val="FootnoteText"/>
      </w:pPr>
      <w:r>
        <w:rPr>
          <w:rStyle w:val="FootnoteReference"/>
        </w:rPr>
        <w:footnoteRef/>
      </w:r>
      <w:r>
        <w:t xml:space="preserve"> Code, subsection 34(1).</w:t>
      </w:r>
    </w:p>
  </w:footnote>
  <w:footnote w:id="5">
    <w:p w14:paraId="07B0C7FE" w14:textId="77777777" w:rsidR="006B4FEC" w:rsidRPr="00D65E16" w:rsidRDefault="006B4FEC" w:rsidP="006B4FEC">
      <w:pPr>
        <w:pStyle w:val="FootnoteText"/>
      </w:pPr>
      <w:r>
        <w:rPr>
          <w:rStyle w:val="FootnoteReference"/>
        </w:rPr>
        <w:footnoteRef/>
      </w:r>
      <w:r>
        <w:t xml:space="preserve"> Code, paragraph </w:t>
      </w:r>
      <w:proofErr w:type="gramStart"/>
      <w:r>
        <w:t>34AB(</w:t>
      </w:r>
      <w:proofErr w:type="gramEnd"/>
      <w:r>
        <w:t>2)(c).</w:t>
      </w:r>
    </w:p>
  </w:footnote>
  <w:footnote w:id="6">
    <w:p w14:paraId="23F51F3C" w14:textId="77777777" w:rsidR="006B4FEC" w:rsidRDefault="006B4FEC" w:rsidP="006B4FEC">
      <w:pPr>
        <w:pStyle w:val="FootnoteText"/>
      </w:pPr>
      <w:r>
        <w:rPr>
          <w:rStyle w:val="FootnoteReference"/>
        </w:rPr>
        <w:footnoteRef/>
      </w:r>
      <w:r>
        <w:t xml:space="preserve"> Code, paragraph </w:t>
      </w:r>
      <w:proofErr w:type="gramStart"/>
      <w:r>
        <w:t>34AB(</w:t>
      </w:r>
      <w:proofErr w:type="gramEnd"/>
      <w:r>
        <w:t>2)(d).</w:t>
      </w:r>
    </w:p>
  </w:footnote>
  <w:footnote w:id="7">
    <w:p w14:paraId="0DBC10F9" w14:textId="77777777" w:rsidR="006B4FEC" w:rsidRPr="00D65E16" w:rsidRDefault="006B4FEC" w:rsidP="006B4FEC">
      <w:pPr>
        <w:pStyle w:val="FootnoteText"/>
      </w:pPr>
      <w:r>
        <w:rPr>
          <w:rStyle w:val="FootnoteReference"/>
        </w:rPr>
        <w:footnoteRef/>
      </w:r>
      <w:r>
        <w:t xml:space="preserve"> Code, paragraph </w:t>
      </w:r>
      <w:proofErr w:type="gramStart"/>
      <w:r>
        <w:t>34AB(</w:t>
      </w:r>
      <w:proofErr w:type="gramEnd"/>
      <w:r>
        <w:t>2)(f).</w:t>
      </w:r>
    </w:p>
  </w:footnote>
  <w:footnote w:id="8">
    <w:p w14:paraId="02E3E193" w14:textId="50557683" w:rsidR="006B4FEC" w:rsidRPr="00230301" w:rsidRDefault="006B4FEC" w:rsidP="006B4FEC">
      <w:pPr>
        <w:pStyle w:val="FootnoteText"/>
      </w:pPr>
      <w:r>
        <w:rPr>
          <w:rStyle w:val="FootnoteReference"/>
        </w:rPr>
        <w:footnoteRef/>
      </w:r>
      <w:r>
        <w:t xml:space="preserve"> APVMA, “Worker Health and Safety Risk Assessments undertaken by the APVMA” (12 June 2018) &lt;</w:t>
      </w:r>
      <w:hyperlink r:id="rId1" w:history="1">
        <w:r>
          <w:rPr>
            <w:rStyle w:val="Hyperlink"/>
          </w:rPr>
          <w:t>apvma.gov.au/node/31421</w:t>
        </w:r>
      </w:hyperlink>
      <w:r>
        <w:t>&gt; accessed 1 May 2019 and 12 &amp; 25 September 2019.</w:t>
      </w:r>
    </w:p>
  </w:footnote>
  <w:footnote w:id="9">
    <w:p w14:paraId="7B5171F5" w14:textId="77777777" w:rsidR="006B4FEC" w:rsidRPr="004B089C" w:rsidRDefault="006B4FEC" w:rsidP="006B4FEC">
      <w:pPr>
        <w:pStyle w:val="FootnoteText"/>
      </w:pPr>
      <w:r>
        <w:rPr>
          <w:rStyle w:val="FootnoteReference"/>
        </w:rPr>
        <w:footnoteRef/>
      </w:r>
      <w:r>
        <w:t xml:space="preserve"> Code, paragraph 34(3</w:t>
      </w:r>
      <w:proofErr w:type="gramStart"/>
      <w:r>
        <w:t>)(</w:t>
      </w:r>
      <w:proofErr w:type="gramEnd"/>
      <w:r>
        <w:t>a)(vi).</w:t>
      </w:r>
    </w:p>
  </w:footnote>
  <w:footnote w:id="10">
    <w:p w14:paraId="7E8DAEA0" w14:textId="6275C640" w:rsidR="006B4FEC" w:rsidRPr="00EC2AFB" w:rsidRDefault="006B4FEC" w:rsidP="006B4FEC">
      <w:pPr>
        <w:pStyle w:val="FootnoteText"/>
      </w:pPr>
      <w:r>
        <w:rPr>
          <w:rStyle w:val="FootnoteReference"/>
        </w:rPr>
        <w:footnoteRef/>
      </w:r>
      <w:r>
        <w:t xml:space="preserve"> </w:t>
      </w:r>
      <w:r w:rsidRPr="00C8541E">
        <w:t>Recons</w:t>
      </w:r>
      <w:r>
        <w:t xml:space="preserve">ideration of </w:t>
      </w:r>
      <w:proofErr w:type="spellStart"/>
      <w:r>
        <w:t>chlorpyrifos</w:t>
      </w:r>
      <w:proofErr w:type="spellEnd"/>
      <w:r w:rsidR="00A57DA0">
        <w:t>—</w:t>
      </w:r>
      <w:r w:rsidRPr="00C8541E">
        <w:t>Toxicology update</w:t>
      </w:r>
      <w:r>
        <w:t>, June</w:t>
      </w:r>
      <w:r w:rsidRPr="00C8541E">
        <w:t xml:space="preserve"> 2019</w:t>
      </w:r>
      <w:r>
        <w:t>, pages 9-10.</w:t>
      </w:r>
    </w:p>
  </w:footnote>
  <w:footnote w:id="11">
    <w:p w14:paraId="1C71332D" w14:textId="77777777" w:rsidR="006B4FEC" w:rsidRPr="00082306" w:rsidRDefault="006B4FEC" w:rsidP="006B4FEC">
      <w:pPr>
        <w:pStyle w:val="FootnoteText"/>
      </w:pPr>
      <w:r>
        <w:rPr>
          <w:rStyle w:val="FootnoteReference"/>
        </w:rPr>
        <w:footnoteRef/>
      </w:r>
      <w:r>
        <w:t xml:space="preserve"> Code, s </w:t>
      </w:r>
      <w:proofErr w:type="gramStart"/>
      <w:r>
        <w:t>5A(</w:t>
      </w:r>
      <w:proofErr w:type="gramEnd"/>
      <w:r>
        <w:t>3)(b)(</w:t>
      </w:r>
      <w:proofErr w:type="spellStart"/>
      <w:r>
        <w:t>i</w:t>
      </w:r>
      <w:proofErr w:type="spellEnd"/>
      <w:r>
        <w:t>).</w:t>
      </w:r>
    </w:p>
  </w:footnote>
  <w:footnote w:id="12">
    <w:p w14:paraId="3DC51359" w14:textId="77777777" w:rsidR="006B4FEC" w:rsidRPr="00082306" w:rsidRDefault="006B4FEC" w:rsidP="006B4FEC">
      <w:pPr>
        <w:pStyle w:val="FootnoteText"/>
        <w:rPr>
          <w:i/>
        </w:rPr>
      </w:pPr>
      <w:r>
        <w:rPr>
          <w:rStyle w:val="FootnoteReference"/>
        </w:rPr>
        <w:footnoteRef/>
      </w:r>
      <w:r>
        <w:t xml:space="preserve"> </w:t>
      </w:r>
      <w:proofErr w:type="spellStart"/>
      <w:r w:rsidRPr="00E62BD2">
        <w:t>Coulston</w:t>
      </w:r>
      <w:proofErr w:type="spellEnd"/>
      <w:r w:rsidRPr="00E62BD2">
        <w:t xml:space="preserve"> F, Goldberg L, Griffin T. </w:t>
      </w:r>
      <w:r>
        <w:t>‘</w:t>
      </w:r>
      <w:r w:rsidRPr="00E62BD2">
        <w:t>Safety evaluation of DOWCO 179 in human volunteers</w:t>
      </w:r>
      <w:r>
        <w:t>’</w:t>
      </w:r>
      <w:r w:rsidRPr="00E62BD2">
        <w:t xml:space="preserve"> </w:t>
      </w:r>
      <w:r>
        <w:t>(</w:t>
      </w:r>
      <w:r w:rsidRPr="00E62BD2">
        <w:t>1972</w:t>
      </w:r>
      <w:r>
        <w:t>)</w:t>
      </w:r>
      <w:r w:rsidRPr="00E62BD2">
        <w:t xml:space="preserve"> Institute of Experimental Pathology and Toxicology, Albany Medical College, Albany, New York, USA</w:t>
      </w:r>
      <w:r>
        <w:t xml:space="preserve">. </w:t>
      </w:r>
      <w:r w:rsidRPr="00E62BD2">
        <w:rPr>
          <w:i/>
        </w:rPr>
        <w:t xml:space="preserve">Dow </w:t>
      </w:r>
      <w:proofErr w:type="spellStart"/>
      <w:r w:rsidRPr="00E62BD2">
        <w:rPr>
          <w:i/>
        </w:rPr>
        <w:t>AgroSciences</w:t>
      </w:r>
      <w:proofErr w:type="spellEnd"/>
      <w:r>
        <w:rPr>
          <w:i/>
        </w:rPr>
        <w:t>.</w:t>
      </w:r>
    </w:p>
  </w:footnote>
  <w:footnote w:id="13">
    <w:p w14:paraId="4C841A8B" w14:textId="27358431" w:rsidR="006B4FEC" w:rsidRPr="00EC2AFB" w:rsidRDefault="006B4FEC" w:rsidP="006B4FEC">
      <w:pPr>
        <w:pStyle w:val="FootnoteText"/>
      </w:pPr>
      <w:r>
        <w:rPr>
          <w:rStyle w:val="FootnoteReference"/>
        </w:rPr>
        <w:footnoteRef/>
      </w:r>
      <w:r>
        <w:t xml:space="preserve"> </w:t>
      </w:r>
      <w:r w:rsidRPr="00C8541E">
        <w:t>Recons</w:t>
      </w:r>
      <w:r>
        <w:t xml:space="preserve">ideration of </w:t>
      </w:r>
      <w:proofErr w:type="spellStart"/>
      <w:r>
        <w:t>chlorpyrifos</w:t>
      </w:r>
      <w:proofErr w:type="spellEnd"/>
      <w:r w:rsidR="00A57DA0">
        <w:t>—</w:t>
      </w:r>
      <w:r w:rsidRPr="00C8541E">
        <w:t>Toxicology update</w:t>
      </w:r>
      <w:r>
        <w:t>, June</w:t>
      </w:r>
      <w:r w:rsidRPr="00C8541E">
        <w:t xml:space="preserve"> 2019</w:t>
      </w:r>
      <w:r>
        <w:t>, page 16.</w:t>
      </w:r>
    </w:p>
  </w:footnote>
  <w:footnote w:id="14">
    <w:p w14:paraId="02FB1ED7" w14:textId="6F85F5C9" w:rsidR="006B4FEC" w:rsidRPr="00EC2AFB" w:rsidRDefault="006B4FEC" w:rsidP="006B4FEC">
      <w:pPr>
        <w:pStyle w:val="FootnoteText"/>
      </w:pPr>
      <w:r>
        <w:rPr>
          <w:rStyle w:val="FootnoteReference"/>
        </w:rPr>
        <w:footnoteRef/>
      </w:r>
      <w:r>
        <w:t xml:space="preserve"> </w:t>
      </w:r>
      <w:r w:rsidRPr="00C8541E">
        <w:t>Recons</w:t>
      </w:r>
      <w:r>
        <w:t xml:space="preserve">ideration of </w:t>
      </w:r>
      <w:proofErr w:type="spellStart"/>
      <w:r>
        <w:t>chlorpyrifos</w:t>
      </w:r>
      <w:proofErr w:type="spellEnd"/>
      <w:r w:rsidR="00A57DA0">
        <w:t>—</w:t>
      </w:r>
      <w:r w:rsidRPr="00C8541E">
        <w:t>Toxicology update</w:t>
      </w:r>
      <w:r>
        <w:t>, June</w:t>
      </w:r>
      <w:r w:rsidRPr="00C8541E">
        <w:t xml:space="preserve"> 2019</w:t>
      </w:r>
      <w:r>
        <w:t>, page 20.</w:t>
      </w:r>
    </w:p>
  </w:footnote>
  <w:footnote w:id="15">
    <w:p w14:paraId="76DAD77F" w14:textId="77777777" w:rsidR="006B4FEC" w:rsidRPr="004016FB" w:rsidRDefault="006B4FEC" w:rsidP="006B4FEC">
      <w:pPr>
        <w:pStyle w:val="FootnoteText"/>
      </w:pPr>
      <w:r>
        <w:rPr>
          <w:rStyle w:val="FootnoteReference"/>
        </w:rPr>
        <w:footnoteRef/>
      </w:r>
      <w:r>
        <w:t xml:space="preserve"> Dow</w:t>
      </w:r>
      <w:r w:rsidRPr="00E6707F">
        <w:t>, Comparison of cholinesterase (</w:t>
      </w:r>
      <w:proofErr w:type="spellStart"/>
      <w:r w:rsidRPr="00E6707F">
        <w:t>che</w:t>
      </w:r>
      <w:proofErr w:type="spellEnd"/>
      <w:r w:rsidRPr="00E6707F">
        <w:t xml:space="preserve">) inhibition in young adult and </w:t>
      </w:r>
      <w:proofErr w:type="spellStart"/>
      <w:r w:rsidRPr="00E6707F">
        <w:t>preweanling</w:t>
      </w:r>
      <w:proofErr w:type="spellEnd"/>
      <w:r w:rsidRPr="00E6707F">
        <w:t xml:space="preserve"> CD rats after acute and repeated </w:t>
      </w:r>
      <w:proofErr w:type="spellStart"/>
      <w:r w:rsidRPr="00E6707F">
        <w:t>chlorpyrifos</w:t>
      </w:r>
      <w:proofErr w:type="spellEnd"/>
      <w:r w:rsidRPr="00E6707F">
        <w:t xml:space="preserve"> or </w:t>
      </w:r>
      <w:proofErr w:type="spellStart"/>
      <w:r w:rsidRPr="00E6707F">
        <w:t>chlorpyrifos-oxon</w:t>
      </w:r>
      <w:proofErr w:type="spellEnd"/>
      <w:r w:rsidRPr="00E6707F">
        <w:t xml:space="preserve"> exposures, 2010. The Dow Chemical Company Study ID 091107, pp 1–1062. 2010</w:t>
      </w:r>
    </w:p>
  </w:footnote>
  <w:footnote w:id="16">
    <w:p w14:paraId="448A2896" w14:textId="77777777" w:rsidR="006B4FEC" w:rsidRPr="00EC2AFB" w:rsidRDefault="006B4FEC" w:rsidP="006B4FEC">
      <w:pPr>
        <w:pStyle w:val="FootnoteText"/>
      </w:pPr>
      <w:r>
        <w:rPr>
          <w:rStyle w:val="FootnoteReference"/>
        </w:rPr>
        <w:footnoteRef/>
      </w:r>
      <w:r>
        <w:t xml:space="preserve"> </w:t>
      </w:r>
      <w:r w:rsidRPr="00EC2AFB">
        <w:t xml:space="preserve">Marty MS, Andrus AK, Bell MP, Passage JK, </w:t>
      </w:r>
      <w:proofErr w:type="spellStart"/>
      <w:r w:rsidRPr="00EC2AFB">
        <w:t>Perala</w:t>
      </w:r>
      <w:proofErr w:type="spellEnd"/>
      <w:r w:rsidRPr="00EC2AFB">
        <w:t xml:space="preserve"> AW, </w:t>
      </w:r>
      <w:proofErr w:type="spellStart"/>
      <w:r w:rsidRPr="00EC2AFB">
        <w:t>Brzak</w:t>
      </w:r>
      <w:proofErr w:type="spellEnd"/>
      <w:r w:rsidRPr="00EC2AFB">
        <w:t xml:space="preserve"> KA, Bartels MJ, Beck MJ, </w:t>
      </w:r>
      <w:proofErr w:type="spellStart"/>
      <w:r w:rsidRPr="00EC2AFB">
        <w:t>Juberg</w:t>
      </w:r>
      <w:proofErr w:type="spellEnd"/>
      <w:r w:rsidRPr="00EC2AFB">
        <w:t xml:space="preserve"> DR. </w:t>
      </w:r>
      <w:r>
        <w:t>‘</w:t>
      </w:r>
      <w:r w:rsidRPr="00EC2AFB">
        <w:t xml:space="preserve">Cholinesterase inhibition and </w:t>
      </w:r>
      <w:proofErr w:type="spellStart"/>
      <w:r w:rsidRPr="00EC2AFB">
        <w:t>toxicokinetics</w:t>
      </w:r>
      <w:proofErr w:type="spellEnd"/>
      <w:r w:rsidRPr="00EC2AFB">
        <w:t xml:space="preserve"> in immature and adult rats after acute or repeated exposures to </w:t>
      </w:r>
      <w:proofErr w:type="spellStart"/>
      <w:r w:rsidRPr="00EC2AFB">
        <w:t>chlorpyrifos</w:t>
      </w:r>
      <w:proofErr w:type="spellEnd"/>
      <w:r w:rsidRPr="00EC2AFB">
        <w:t xml:space="preserve"> or </w:t>
      </w:r>
      <w:proofErr w:type="spellStart"/>
      <w:r w:rsidRPr="00EC2AFB">
        <w:t>chlorpyrifos-oxon</w:t>
      </w:r>
      <w:proofErr w:type="spellEnd"/>
      <w:r>
        <w:t>’</w:t>
      </w:r>
      <w:r w:rsidRPr="00EC2AFB">
        <w:t xml:space="preserve">. </w:t>
      </w:r>
      <w:proofErr w:type="spellStart"/>
      <w:r w:rsidRPr="00EC2AFB">
        <w:t>Regul</w:t>
      </w:r>
      <w:proofErr w:type="spellEnd"/>
      <w:r w:rsidRPr="00EC2AFB">
        <w:t xml:space="preserve"> </w:t>
      </w:r>
      <w:proofErr w:type="spellStart"/>
      <w:r w:rsidRPr="00EC2AFB">
        <w:t>Toxicol</w:t>
      </w:r>
      <w:proofErr w:type="spellEnd"/>
      <w:r w:rsidRPr="00EC2AFB">
        <w:t xml:space="preserve"> </w:t>
      </w:r>
      <w:proofErr w:type="spellStart"/>
      <w:r w:rsidRPr="00EC2AFB">
        <w:t>Pharmacol</w:t>
      </w:r>
      <w:proofErr w:type="spellEnd"/>
      <w:r w:rsidRPr="00EC2AFB">
        <w:t xml:space="preserve">. 2012 Jul; 63(2):209-24. </w:t>
      </w:r>
      <w:proofErr w:type="spellStart"/>
      <w:proofErr w:type="gramStart"/>
      <w:r w:rsidRPr="00EC2AFB">
        <w:t>doi</w:t>
      </w:r>
      <w:proofErr w:type="spellEnd"/>
      <w:proofErr w:type="gramEnd"/>
      <w:r w:rsidRPr="00EC2AFB">
        <w:t xml:space="preserve">: 10.1016/j.yrtph.2012.03.015. </w:t>
      </w:r>
      <w:proofErr w:type="spellStart"/>
      <w:r w:rsidRPr="00EC2AFB">
        <w:t>Epub</w:t>
      </w:r>
      <w:proofErr w:type="spellEnd"/>
      <w:r w:rsidRPr="00EC2AFB">
        <w:t xml:space="preserve"> 2012 Apr 7. PubMed PMID: 22504667</w:t>
      </w:r>
    </w:p>
  </w:footnote>
  <w:footnote w:id="17">
    <w:p w14:paraId="0343E03B" w14:textId="6F072B98" w:rsidR="006B4FEC" w:rsidRPr="00EC2AFB" w:rsidRDefault="006B4FEC" w:rsidP="006B4FEC">
      <w:pPr>
        <w:pStyle w:val="FootnoteText"/>
      </w:pPr>
      <w:r>
        <w:rPr>
          <w:rStyle w:val="FootnoteReference"/>
        </w:rPr>
        <w:footnoteRef/>
      </w:r>
      <w:r>
        <w:t xml:space="preserve"> </w:t>
      </w:r>
      <w:r w:rsidRPr="00C8541E">
        <w:t>Recons</w:t>
      </w:r>
      <w:r w:rsidR="00AA3402">
        <w:t xml:space="preserve">ideration of </w:t>
      </w:r>
      <w:proofErr w:type="spellStart"/>
      <w:r w:rsidR="00AA3402">
        <w:t>chlorpyrifos</w:t>
      </w:r>
      <w:proofErr w:type="spellEnd"/>
      <w:r w:rsidR="00AA3402">
        <w:t>—</w:t>
      </w:r>
      <w:r w:rsidRPr="00C8541E">
        <w:t>Toxicology update</w:t>
      </w:r>
      <w:r>
        <w:t>, June</w:t>
      </w:r>
      <w:r w:rsidRPr="00C8541E">
        <w:t xml:space="preserve"> 2019</w:t>
      </w:r>
      <w:r>
        <w:t>, page 20.</w:t>
      </w:r>
    </w:p>
  </w:footnote>
  <w:footnote w:id="18">
    <w:p w14:paraId="5DFDF3D3" w14:textId="71672196" w:rsidR="006B4FEC" w:rsidRPr="009C66A4" w:rsidRDefault="006B4FEC" w:rsidP="006B4FEC">
      <w:pPr>
        <w:pStyle w:val="FootnoteText"/>
      </w:pPr>
      <w:r>
        <w:rPr>
          <w:rStyle w:val="FootnoteReference"/>
        </w:rPr>
        <w:footnoteRef/>
      </w:r>
      <w:r>
        <w:t xml:space="preserve"> </w:t>
      </w:r>
      <w:r w:rsidRPr="00C8541E">
        <w:t>Recons</w:t>
      </w:r>
      <w:r>
        <w:t xml:space="preserve">ideration of </w:t>
      </w:r>
      <w:proofErr w:type="spellStart"/>
      <w:r>
        <w:t>chlorpyrifo</w:t>
      </w:r>
      <w:r w:rsidR="00AA3402">
        <w:t>s</w:t>
      </w:r>
      <w:proofErr w:type="spellEnd"/>
      <w:r w:rsidR="00AA3402">
        <w:t>—</w:t>
      </w:r>
      <w:r w:rsidRPr="00C8541E">
        <w:t>Toxicology update</w:t>
      </w:r>
      <w:r>
        <w:t>, June</w:t>
      </w:r>
      <w:r w:rsidRPr="00C8541E">
        <w:t xml:space="preserve"> 2019</w:t>
      </w:r>
      <w:r>
        <w:t>, page 20.</w:t>
      </w:r>
    </w:p>
  </w:footnote>
  <w:footnote w:id="19">
    <w:p w14:paraId="727FCEED" w14:textId="35039D16" w:rsidR="006B4FEC" w:rsidRPr="00EC2AFB" w:rsidRDefault="006B4FEC" w:rsidP="006B4FEC">
      <w:pPr>
        <w:pStyle w:val="FootnoteText"/>
      </w:pPr>
      <w:r>
        <w:rPr>
          <w:rStyle w:val="FootnoteReference"/>
        </w:rPr>
        <w:footnoteRef/>
      </w:r>
      <w:r>
        <w:t xml:space="preserve"> </w:t>
      </w:r>
      <w:r w:rsidRPr="00C8541E">
        <w:t>Recons</w:t>
      </w:r>
      <w:r w:rsidR="00AA3402">
        <w:t xml:space="preserve">ideration of </w:t>
      </w:r>
      <w:proofErr w:type="spellStart"/>
      <w:r w:rsidR="00AA3402">
        <w:t>chlorpyrifos</w:t>
      </w:r>
      <w:proofErr w:type="spellEnd"/>
      <w:r w:rsidR="00AA3402">
        <w:t>—</w:t>
      </w:r>
      <w:r w:rsidRPr="00C8541E">
        <w:t>Toxicology update</w:t>
      </w:r>
      <w:r>
        <w:t>, June</w:t>
      </w:r>
      <w:r w:rsidRPr="00C8541E">
        <w:t xml:space="preserve"> 2019</w:t>
      </w:r>
      <w:r>
        <w:t>, page 20.</w:t>
      </w:r>
    </w:p>
  </w:footnote>
  <w:footnote w:id="20">
    <w:p w14:paraId="2C3252CF" w14:textId="59030F6B" w:rsidR="006B4FEC" w:rsidRPr="00EC2AFB" w:rsidRDefault="006B4FEC" w:rsidP="006B4FEC">
      <w:pPr>
        <w:pStyle w:val="FootnoteText"/>
      </w:pPr>
      <w:r>
        <w:rPr>
          <w:rStyle w:val="FootnoteReference"/>
        </w:rPr>
        <w:footnoteRef/>
      </w:r>
      <w:r>
        <w:t xml:space="preserve"> </w:t>
      </w:r>
      <w:r w:rsidRPr="00C8541E">
        <w:t>Recons</w:t>
      </w:r>
      <w:r w:rsidR="00AA3402">
        <w:t xml:space="preserve">ideration of </w:t>
      </w:r>
      <w:proofErr w:type="spellStart"/>
      <w:r w:rsidR="00AA3402">
        <w:t>chlorpyrifos</w:t>
      </w:r>
      <w:proofErr w:type="spellEnd"/>
      <w:r w:rsidR="00AA3402">
        <w:t>—</w:t>
      </w:r>
      <w:r w:rsidRPr="00C8541E">
        <w:t>Toxicology update</w:t>
      </w:r>
      <w:r>
        <w:t>, June</w:t>
      </w:r>
      <w:r w:rsidRPr="00C8541E">
        <w:t xml:space="preserve"> 2019</w:t>
      </w:r>
      <w:r>
        <w:t>, page 20.</w:t>
      </w:r>
    </w:p>
  </w:footnote>
  <w:footnote w:id="21">
    <w:p w14:paraId="219F9AA7" w14:textId="41856E4A" w:rsidR="006B4FEC" w:rsidRPr="00EC2AFB" w:rsidRDefault="006B4FEC" w:rsidP="006B4FEC">
      <w:pPr>
        <w:pStyle w:val="FootnoteText"/>
      </w:pPr>
      <w:r>
        <w:rPr>
          <w:rStyle w:val="FootnoteReference"/>
        </w:rPr>
        <w:footnoteRef/>
      </w:r>
      <w:r>
        <w:t xml:space="preserve"> </w:t>
      </w:r>
      <w:r w:rsidRPr="00C8541E">
        <w:t>Recons</w:t>
      </w:r>
      <w:r w:rsidR="00AA3402">
        <w:t xml:space="preserve">ideration of </w:t>
      </w:r>
      <w:proofErr w:type="spellStart"/>
      <w:r w:rsidR="00AA3402">
        <w:t>chlorpyrifos</w:t>
      </w:r>
      <w:proofErr w:type="spellEnd"/>
      <w:r w:rsidR="00AA3402">
        <w:t>—</w:t>
      </w:r>
      <w:r w:rsidRPr="00C8541E">
        <w:t>Toxicology update</w:t>
      </w:r>
      <w:r>
        <w:t>, June</w:t>
      </w:r>
      <w:r w:rsidRPr="00C8541E">
        <w:t xml:space="preserve"> 2019</w:t>
      </w:r>
      <w:r>
        <w:t>, page 20.</w:t>
      </w:r>
    </w:p>
  </w:footnote>
  <w:footnote w:id="22">
    <w:p w14:paraId="02FCCF24" w14:textId="04D02C35" w:rsidR="006B4FEC" w:rsidRPr="00EC2AFB" w:rsidRDefault="006B4FEC" w:rsidP="006B4FEC">
      <w:pPr>
        <w:pStyle w:val="FootnoteText"/>
      </w:pPr>
      <w:r>
        <w:rPr>
          <w:rStyle w:val="FootnoteReference"/>
        </w:rPr>
        <w:footnoteRef/>
      </w:r>
      <w:r>
        <w:t xml:space="preserve"> </w:t>
      </w:r>
      <w:r w:rsidRPr="00C8541E">
        <w:t>Recons</w:t>
      </w:r>
      <w:r w:rsidR="00AA3402">
        <w:t xml:space="preserve">ideration of </w:t>
      </w:r>
      <w:proofErr w:type="spellStart"/>
      <w:r w:rsidR="00AA3402">
        <w:t>chlorpyrifos</w:t>
      </w:r>
      <w:proofErr w:type="spellEnd"/>
      <w:r w:rsidR="00AA3402">
        <w:t>—</w:t>
      </w:r>
      <w:r w:rsidRPr="00C8541E">
        <w:t>Toxicology update</w:t>
      </w:r>
      <w:r>
        <w:t>, June</w:t>
      </w:r>
      <w:r w:rsidRPr="00C8541E">
        <w:t xml:space="preserve"> 2019</w:t>
      </w:r>
      <w:r>
        <w:t>, page 20.</w:t>
      </w:r>
    </w:p>
  </w:footnote>
  <w:footnote w:id="23">
    <w:p w14:paraId="37A33CB8" w14:textId="6A4F0DEF" w:rsidR="006B4FEC" w:rsidRPr="00EC2AFB" w:rsidRDefault="006B4FEC" w:rsidP="006B4FEC">
      <w:pPr>
        <w:pStyle w:val="FootnoteText"/>
      </w:pPr>
      <w:r>
        <w:rPr>
          <w:rStyle w:val="FootnoteReference"/>
        </w:rPr>
        <w:footnoteRef/>
      </w:r>
      <w:r>
        <w:t xml:space="preserve"> </w:t>
      </w:r>
      <w:r w:rsidRPr="00C8541E">
        <w:t>Recons</w:t>
      </w:r>
      <w:r>
        <w:t xml:space="preserve">ideration of </w:t>
      </w:r>
      <w:proofErr w:type="spellStart"/>
      <w:r>
        <w:t>chlorpyrifos</w:t>
      </w:r>
      <w:proofErr w:type="spellEnd"/>
      <w:r w:rsidR="00A57DA0">
        <w:t>—</w:t>
      </w:r>
      <w:r w:rsidRPr="00C8541E">
        <w:t>Toxicology update</w:t>
      </w:r>
      <w:r>
        <w:t>, June</w:t>
      </w:r>
      <w:r w:rsidRPr="00C8541E">
        <w:t xml:space="preserve"> 2019</w:t>
      </w:r>
      <w:r>
        <w:t>, page 7.</w:t>
      </w:r>
    </w:p>
  </w:footnote>
  <w:footnote w:id="24">
    <w:p w14:paraId="0C5D31DF" w14:textId="77777777" w:rsidR="006B4FEC" w:rsidRPr="00082306" w:rsidRDefault="006B4FEC" w:rsidP="006B4FEC">
      <w:pPr>
        <w:pStyle w:val="FootnoteText"/>
        <w:rPr>
          <w:i/>
        </w:rPr>
      </w:pPr>
      <w:r>
        <w:rPr>
          <w:rStyle w:val="FootnoteReference"/>
        </w:rPr>
        <w:footnoteRef/>
      </w:r>
      <w:r>
        <w:t xml:space="preserve"> </w:t>
      </w:r>
      <w:proofErr w:type="spellStart"/>
      <w:r>
        <w:t>Kisicki</w:t>
      </w:r>
      <w:proofErr w:type="spellEnd"/>
      <w:r>
        <w:t xml:space="preserve"> JC, </w:t>
      </w:r>
      <w:proofErr w:type="spellStart"/>
      <w:r>
        <w:t>Seip</w:t>
      </w:r>
      <w:proofErr w:type="spellEnd"/>
      <w:r>
        <w:t xml:space="preserve"> CW, Combs ML, ‘A rising dose</w:t>
      </w:r>
      <w:r w:rsidRPr="00082306">
        <w:t xml:space="preserve"> </w:t>
      </w:r>
      <w:r>
        <w:t>toxicology study to determine the no-observable-effect-levels (NOEL) for erythrocyte acetylcholinesterase (</w:t>
      </w:r>
      <w:proofErr w:type="spellStart"/>
      <w:r>
        <w:t>AChE</w:t>
      </w:r>
      <w:proofErr w:type="spellEnd"/>
      <w:r>
        <w:t xml:space="preserve">) inhibition and cholinergic signs and symptoms of </w:t>
      </w:r>
      <w:proofErr w:type="spellStart"/>
      <w:r>
        <w:t>chlorpyrifos</w:t>
      </w:r>
      <w:proofErr w:type="spellEnd"/>
      <w:r>
        <w:t xml:space="preserve"> at three dose levels’ (1999) </w:t>
      </w:r>
      <w:r>
        <w:rPr>
          <w:i/>
        </w:rPr>
        <w:t xml:space="preserve">Dow </w:t>
      </w:r>
      <w:proofErr w:type="spellStart"/>
      <w:r>
        <w:rPr>
          <w:i/>
        </w:rPr>
        <w:t>Agrosciences</w:t>
      </w:r>
      <w:proofErr w:type="spellEnd"/>
      <w:r>
        <w:rPr>
          <w:i/>
        </w:rPr>
        <w:t>. Report No. DR#K-044793-294.</w:t>
      </w:r>
    </w:p>
  </w:footnote>
  <w:footnote w:id="25">
    <w:p w14:paraId="6E4EE604" w14:textId="3982F689" w:rsidR="006B4FEC" w:rsidRPr="00EC2AFB" w:rsidRDefault="006B4FEC" w:rsidP="006B4FEC">
      <w:pPr>
        <w:pStyle w:val="FootnoteText"/>
      </w:pPr>
      <w:r>
        <w:rPr>
          <w:rStyle w:val="FootnoteReference"/>
        </w:rPr>
        <w:footnoteRef/>
      </w:r>
      <w:r>
        <w:t xml:space="preserve"> </w:t>
      </w:r>
      <w:r w:rsidRPr="00C8541E">
        <w:t>Recons</w:t>
      </w:r>
      <w:r w:rsidR="00AA3402">
        <w:t xml:space="preserve">ideration of </w:t>
      </w:r>
      <w:proofErr w:type="spellStart"/>
      <w:r w:rsidR="00AA3402">
        <w:t>chlorpyrifos</w:t>
      </w:r>
      <w:proofErr w:type="spellEnd"/>
      <w:r w:rsidR="00AA3402">
        <w:t>—</w:t>
      </w:r>
      <w:r w:rsidRPr="00C8541E">
        <w:t>Toxicology update</w:t>
      </w:r>
      <w:r>
        <w:t>, June</w:t>
      </w:r>
      <w:r w:rsidRPr="00C8541E">
        <w:t xml:space="preserve"> 2019</w:t>
      </w:r>
      <w:r>
        <w:t>, page 19.</w:t>
      </w:r>
    </w:p>
  </w:footnote>
  <w:footnote w:id="26">
    <w:p w14:paraId="63DB1585" w14:textId="2CD79101" w:rsidR="006B4FEC" w:rsidRPr="00EC2AFB" w:rsidRDefault="006B4FEC" w:rsidP="006B4FEC">
      <w:pPr>
        <w:pStyle w:val="FootnoteText"/>
      </w:pPr>
      <w:r>
        <w:rPr>
          <w:rStyle w:val="FootnoteReference"/>
        </w:rPr>
        <w:footnoteRef/>
      </w:r>
      <w:r>
        <w:t xml:space="preserve"> </w:t>
      </w:r>
      <w:r w:rsidRPr="00C8541E">
        <w:t>Recons</w:t>
      </w:r>
      <w:r>
        <w:t xml:space="preserve">ideration of </w:t>
      </w:r>
      <w:proofErr w:type="spellStart"/>
      <w:r>
        <w:t>chlorpyrifos</w:t>
      </w:r>
      <w:proofErr w:type="spellEnd"/>
      <w:r w:rsidR="00AA3402">
        <w:t>—</w:t>
      </w:r>
      <w:r w:rsidRPr="00C8541E">
        <w:t>Toxicology update</w:t>
      </w:r>
      <w:r>
        <w:t>, June</w:t>
      </w:r>
      <w:r w:rsidRPr="00C8541E">
        <w:t xml:space="preserve"> 2019</w:t>
      </w:r>
      <w:r>
        <w:t>, page 22.</w:t>
      </w:r>
    </w:p>
  </w:footnote>
  <w:footnote w:id="27">
    <w:p w14:paraId="66D58913" w14:textId="4A863C5A" w:rsidR="006B4FEC" w:rsidRPr="009C66A4" w:rsidRDefault="006B4FEC" w:rsidP="006B4FEC">
      <w:pPr>
        <w:pStyle w:val="FootnoteText"/>
      </w:pPr>
      <w:r>
        <w:rPr>
          <w:rStyle w:val="FootnoteReference"/>
        </w:rPr>
        <w:footnoteRef/>
      </w:r>
      <w:r>
        <w:t xml:space="preserve"> </w:t>
      </w:r>
      <w:r w:rsidRPr="00C8541E">
        <w:t>Recons</w:t>
      </w:r>
      <w:r w:rsidR="00AA3402">
        <w:t xml:space="preserve">ideration of </w:t>
      </w:r>
      <w:proofErr w:type="spellStart"/>
      <w:r w:rsidR="00AA3402">
        <w:t>chlorpyrifos</w:t>
      </w:r>
      <w:proofErr w:type="spellEnd"/>
      <w:r w:rsidR="00AA3402">
        <w:t>—</w:t>
      </w:r>
      <w:r w:rsidRPr="00C8541E">
        <w:t>Toxicology update</w:t>
      </w:r>
      <w:r>
        <w:t>, June</w:t>
      </w:r>
      <w:r w:rsidRPr="00C8541E">
        <w:t xml:space="preserve"> 2019</w:t>
      </w:r>
      <w:r>
        <w:t>, page 22.</w:t>
      </w:r>
    </w:p>
  </w:footnote>
  <w:footnote w:id="28">
    <w:p w14:paraId="28F87E1D" w14:textId="77777777" w:rsidR="006B4FEC" w:rsidRPr="009C66A4" w:rsidRDefault="006B4FEC" w:rsidP="006B4FEC">
      <w:pPr>
        <w:pStyle w:val="FootnoteText"/>
      </w:pPr>
      <w:r>
        <w:rPr>
          <w:rStyle w:val="FootnoteReference"/>
        </w:rPr>
        <w:footnoteRef/>
      </w:r>
      <w:r>
        <w:t xml:space="preserve"> </w:t>
      </w:r>
      <w:r w:rsidRPr="006B0F89">
        <w:t>Exposure assessment and risk characterisation report (2019)</w:t>
      </w:r>
      <w:r>
        <w:t>, pages 8-9.</w:t>
      </w:r>
    </w:p>
  </w:footnote>
  <w:footnote w:id="29">
    <w:p w14:paraId="600ADAB3" w14:textId="77777777" w:rsidR="006B4FEC" w:rsidRPr="005331DC" w:rsidRDefault="006B4FEC" w:rsidP="006B4FEC">
      <w:pPr>
        <w:pStyle w:val="FootnoteText"/>
      </w:pPr>
      <w:r>
        <w:rPr>
          <w:rStyle w:val="FootnoteReference"/>
        </w:rPr>
        <w:footnoteRef/>
      </w:r>
      <w:r>
        <w:t xml:space="preserve"> </w:t>
      </w:r>
      <w:r w:rsidRPr="006B0F89">
        <w:t>Exposure assessment and risk characterisation report (2019)</w:t>
      </w:r>
      <w:r>
        <w:t>, page 12.</w:t>
      </w:r>
    </w:p>
  </w:footnote>
  <w:footnote w:id="30">
    <w:p w14:paraId="1B74FFC3" w14:textId="77777777" w:rsidR="006B4FEC" w:rsidRPr="00525CAC" w:rsidRDefault="006B4FEC" w:rsidP="006B4FEC">
      <w:pPr>
        <w:pStyle w:val="FootnoteText"/>
      </w:pPr>
      <w:r>
        <w:rPr>
          <w:rStyle w:val="FootnoteReference"/>
        </w:rPr>
        <w:footnoteRef/>
      </w:r>
      <w:r>
        <w:t xml:space="preserve"> </w:t>
      </w:r>
      <w:r w:rsidRPr="006B0F89">
        <w:t>Exposure assessment and risk characterisation report (2019)</w:t>
      </w:r>
      <w:r>
        <w:t>, pages 14.</w:t>
      </w:r>
    </w:p>
  </w:footnote>
  <w:footnote w:id="31">
    <w:p w14:paraId="7284A38B" w14:textId="77777777" w:rsidR="006B4FEC" w:rsidRPr="00EC2AFB" w:rsidRDefault="006B4FEC" w:rsidP="006B4FEC">
      <w:pPr>
        <w:pStyle w:val="FootnoteText"/>
      </w:pPr>
      <w:r>
        <w:rPr>
          <w:rStyle w:val="FootnoteReference"/>
        </w:rPr>
        <w:footnoteRef/>
      </w:r>
      <w:r>
        <w:t xml:space="preserve"> </w:t>
      </w:r>
      <w:r w:rsidRPr="006B0F89">
        <w:t>Exposure assessment and risk characterisation report (2019)</w:t>
      </w:r>
      <w:r>
        <w:t>, Appendix 4.</w:t>
      </w:r>
    </w:p>
  </w:footnote>
  <w:footnote w:id="32">
    <w:p w14:paraId="6583052D" w14:textId="77777777" w:rsidR="006B4FEC" w:rsidRPr="00EC2AFB" w:rsidRDefault="006B4FEC" w:rsidP="006B4FEC">
      <w:pPr>
        <w:pStyle w:val="FootnoteText"/>
      </w:pPr>
      <w:r>
        <w:rPr>
          <w:rStyle w:val="FootnoteReference"/>
        </w:rPr>
        <w:footnoteRef/>
      </w:r>
      <w:r>
        <w:t xml:space="preserve"> </w:t>
      </w:r>
      <w:r w:rsidRPr="006B0F89">
        <w:t>Exposure assessment and risk characterisation report (2019)</w:t>
      </w:r>
      <w:r>
        <w:t>, page 14.</w:t>
      </w:r>
    </w:p>
  </w:footnote>
  <w:footnote w:id="33">
    <w:p w14:paraId="6E6A8EF3" w14:textId="77777777" w:rsidR="006B4FEC" w:rsidRPr="00C374B1" w:rsidRDefault="006B4FEC" w:rsidP="006B4FEC">
      <w:pPr>
        <w:pStyle w:val="FootnoteText"/>
      </w:pPr>
      <w:r>
        <w:rPr>
          <w:rStyle w:val="FootnoteReference"/>
        </w:rPr>
        <w:footnoteRef/>
      </w:r>
      <w:r>
        <w:t xml:space="preserve"> </w:t>
      </w:r>
      <w:r w:rsidRPr="006B0F89">
        <w:t>Exposure assessment and risk characterisation report (2019)</w:t>
      </w:r>
      <w:r>
        <w:t>, page 14 and 15.</w:t>
      </w:r>
    </w:p>
  </w:footnote>
  <w:footnote w:id="34">
    <w:p w14:paraId="08FAE6EF" w14:textId="6ADC3B1A" w:rsidR="006B4FEC" w:rsidRPr="009C66A4" w:rsidRDefault="006B4FEC" w:rsidP="006B4FEC">
      <w:pPr>
        <w:pStyle w:val="FootnoteText"/>
      </w:pPr>
      <w:r>
        <w:rPr>
          <w:rStyle w:val="FootnoteReference"/>
        </w:rPr>
        <w:footnoteRef/>
      </w:r>
      <w:r>
        <w:t xml:space="preserve"> R</w:t>
      </w:r>
      <w:r w:rsidR="00AA3402">
        <w:t xml:space="preserve">econsideration of </w:t>
      </w:r>
      <w:proofErr w:type="spellStart"/>
      <w:r w:rsidR="00AA3402">
        <w:t>chlorpyrifos</w:t>
      </w:r>
      <w:proofErr w:type="spellEnd"/>
      <w:r w:rsidR="00AA3402">
        <w:t>—</w:t>
      </w:r>
      <w:r>
        <w:t>Supplementary environment assessment report Part 1 – Home garden, domestic and certain non-agricultural uses, June 2019, page 7.</w:t>
      </w:r>
    </w:p>
  </w:footnote>
  <w:footnote w:id="35">
    <w:p w14:paraId="1C7A0C9C" w14:textId="72467996" w:rsidR="006B4FEC" w:rsidRPr="00C374B1" w:rsidRDefault="006B4FEC" w:rsidP="006B4FEC">
      <w:pPr>
        <w:pStyle w:val="FootnoteText"/>
        <w:rPr>
          <w:i/>
        </w:rPr>
      </w:pPr>
      <w:r>
        <w:rPr>
          <w:rStyle w:val="FootnoteReference"/>
        </w:rPr>
        <w:footnoteRef/>
      </w:r>
      <w:r>
        <w:t xml:space="preserve"> Re</w:t>
      </w:r>
      <w:r w:rsidR="00AA3402">
        <w:t xml:space="preserve">consideration of </w:t>
      </w:r>
      <w:proofErr w:type="spellStart"/>
      <w:r w:rsidR="00AA3402">
        <w:t>chlorpyrifos</w:t>
      </w:r>
      <w:proofErr w:type="spellEnd"/>
      <w:r w:rsidR="00AA3402">
        <w:t>—</w:t>
      </w:r>
      <w:r>
        <w:t xml:space="preserve">Supplementary environment assessment report Part 1 – Home garden, domestic and certain non-agricultural uses, June 2019, pages 13-17; US EPA, 1999, </w:t>
      </w:r>
      <w:r>
        <w:rPr>
          <w:i/>
        </w:rPr>
        <w:t xml:space="preserve">Reregistration Eligibility Science Chapter for </w:t>
      </w:r>
      <w:proofErr w:type="spellStart"/>
      <w:r>
        <w:rPr>
          <w:i/>
        </w:rPr>
        <w:t>Chlorpyrifos</w:t>
      </w:r>
      <w:proofErr w:type="spellEnd"/>
      <w:r>
        <w:rPr>
          <w:i/>
        </w:rPr>
        <w:t xml:space="preserve">, Fate and Environmental Risk Assessment Chapter, </w:t>
      </w:r>
      <w:r>
        <w:t xml:space="preserve">October 1999 (Revision); Solomon, KR, </w:t>
      </w:r>
      <w:proofErr w:type="spellStart"/>
      <w:r>
        <w:t>Giesy</w:t>
      </w:r>
      <w:proofErr w:type="spellEnd"/>
      <w:r>
        <w:t xml:space="preserve">, JP, Kendall, Best, LB, Coats JR, Dixon KR, Hooper, MJ, </w:t>
      </w:r>
      <w:proofErr w:type="spellStart"/>
      <w:r>
        <w:t>Kenaga</w:t>
      </w:r>
      <w:proofErr w:type="spellEnd"/>
      <w:r>
        <w:t xml:space="preserve"> EE &amp; </w:t>
      </w:r>
      <w:proofErr w:type="spellStart"/>
      <w:r>
        <w:t>McMurry</w:t>
      </w:r>
      <w:proofErr w:type="spellEnd"/>
      <w:r>
        <w:t xml:space="preserve"> ST, 2001, </w:t>
      </w:r>
      <w:proofErr w:type="spellStart"/>
      <w:r>
        <w:t>Chlorpyrifos</w:t>
      </w:r>
      <w:proofErr w:type="spellEnd"/>
      <w:r>
        <w:t xml:space="preserve">: </w:t>
      </w:r>
      <w:proofErr w:type="spellStart"/>
      <w:r>
        <w:t>Ecotoxicological</w:t>
      </w:r>
      <w:proofErr w:type="spellEnd"/>
      <w:r>
        <w:t xml:space="preserve"> risk assessment for birds and mammals in corn agroecosystems, </w:t>
      </w:r>
      <w:r w:rsidRPr="00352E59">
        <w:rPr>
          <w:i/>
        </w:rPr>
        <w:t>Human and Ecological risk assessment: An international journal</w:t>
      </w:r>
      <w:r>
        <w:t>, 7:3, pp. 497-632.</w:t>
      </w:r>
      <w:r>
        <w:rPr>
          <w:i/>
        </w:rPr>
        <w:t xml:space="preserve"> </w:t>
      </w:r>
    </w:p>
  </w:footnote>
  <w:footnote w:id="36">
    <w:p w14:paraId="11426F7A" w14:textId="42B06D09" w:rsidR="006B4FEC" w:rsidRPr="00C374B1" w:rsidRDefault="006B4FEC" w:rsidP="006B4FEC">
      <w:pPr>
        <w:pStyle w:val="FootnoteText"/>
        <w:rPr>
          <w:szCs w:val="18"/>
        </w:rPr>
      </w:pPr>
      <w:r w:rsidRPr="00C374B1">
        <w:rPr>
          <w:rStyle w:val="FootnoteReference"/>
          <w:sz w:val="18"/>
          <w:szCs w:val="18"/>
        </w:rPr>
        <w:footnoteRef/>
      </w:r>
      <w:r w:rsidRPr="0099752A">
        <w:rPr>
          <w:szCs w:val="18"/>
        </w:rPr>
        <w:t xml:space="preserve"> </w:t>
      </w:r>
      <w:r w:rsidR="00AA3402">
        <w:t xml:space="preserve">Reconsideration of </w:t>
      </w:r>
      <w:proofErr w:type="spellStart"/>
      <w:r w:rsidR="00AA3402">
        <w:t>chlorpyrifos</w:t>
      </w:r>
      <w:proofErr w:type="spellEnd"/>
      <w:r w:rsidR="00AA3402">
        <w:t>—</w:t>
      </w:r>
      <w:r>
        <w:t>Supplementary environment assessment report Part 1 – Home garden, domestic and certain non-agricultural uses, June 2019</w:t>
      </w:r>
      <w:r w:rsidRPr="0099752A">
        <w:rPr>
          <w:szCs w:val="18"/>
        </w:rPr>
        <w:t>, page 1</w:t>
      </w:r>
      <w:r>
        <w:rPr>
          <w:szCs w:val="18"/>
        </w:rPr>
        <w:t>6</w:t>
      </w:r>
      <w:r w:rsidRPr="0099752A">
        <w:rPr>
          <w:szCs w:val="18"/>
        </w:rPr>
        <w:t>.</w:t>
      </w:r>
    </w:p>
  </w:footnote>
  <w:footnote w:id="37">
    <w:p w14:paraId="3CBB54A4" w14:textId="2A36DDD1" w:rsidR="006B4FEC" w:rsidRPr="00C374B1" w:rsidRDefault="006B4FEC" w:rsidP="006B4FEC">
      <w:pPr>
        <w:pStyle w:val="FootnoteText"/>
        <w:rPr>
          <w:szCs w:val="18"/>
        </w:rPr>
      </w:pPr>
      <w:r w:rsidRPr="00C374B1">
        <w:rPr>
          <w:rStyle w:val="FootnoteReference"/>
          <w:sz w:val="18"/>
          <w:szCs w:val="18"/>
        </w:rPr>
        <w:footnoteRef/>
      </w:r>
      <w:r w:rsidRPr="0099752A">
        <w:rPr>
          <w:szCs w:val="18"/>
        </w:rPr>
        <w:t xml:space="preserve"> </w:t>
      </w:r>
      <w:r>
        <w:t>Re</w:t>
      </w:r>
      <w:r w:rsidR="00AA3402">
        <w:t xml:space="preserve">consideration of </w:t>
      </w:r>
      <w:proofErr w:type="spellStart"/>
      <w:r w:rsidR="00AA3402">
        <w:t>chlorpyrifos</w:t>
      </w:r>
      <w:proofErr w:type="spellEnd"/>
      <w:r w:rsidR="00AA3402">
        <w:t>—</w:t>
      </w:r>
      <w:r>
        <w:t>Supplementary environment assessment report Part 1 – Home garden, domestic and certain non-agricultural uses, June 2019</w:t>
      </w:r>
      <w:r w:rsidRPr="0099752A">
        <w:rPr>
          <w:szCs w:val="18"/>
        </w:rPr>
        <w:t xml:space="preserve">, page </w:t>
      </w:r>
      <w:r>
        <w:rPr>
          <w:szCs w:val="18"/>
        </w:rPr>
        <w:t>17</w:t>
      </w:r>
      <w:r w:rsidRPr="0099752A">
        <w:rPr>
          <w:szCs w:val="18"/>
        </w:rPr>
        <w:t>.</w:t>
      </w:r>
    </w:p>
  </w:footnote>
  <w:footnote w:id="38">
    <w:p w14:paraId="79AAEFB1" w14:textId="781097FE" w:rsidR="006B4FEC" w:rsidRPr="00911B18" w:rsidRDefault="006B4FEC" w:rsidP="00AA3402">
      <w:pPr>
        <w:pStyle w:val="NormalText"/>
        <w:spacing w:before="0" w:after="0"/>
        <w:jc w:val="left"/>
        <w:rPr>
          <w:szCs w:val="18"/>
        </w:rPr>
      </w:pPr>
      <w:r w:rsidRPr="00C374B1">
        <w:rPr>
          <w:rStyle w:val="FootnoteReference"/>
          <w:sz w:val="18"/>
          <w:szCs w:val="18"/>
        </w:rPr>
        <w:footnoteRef/>
      </w:r>
      <w:r w:rsidRPr="00C374B1">
        <w:rPr>
          <w:sz w:val="18"/>
          <w:szCs w:val="18"/>
        </w:rPr>
        <w:t xml:space="preserve"> </w:t>
      </w:r>
      <w:r w:rsidRPr="00AA3402">
        <w:rPr>
          <w:rFonts w:ascii="Arial" w:hAnsi="Arial" w:cs="Arial"/>
          <w:sz w:val="16"/>
          <w:szCs w:val="16"/>
        </w:rPr>
        <w:t xml:space="preserve">Reconsideration of </w:t>
      </w:r>
      <w:proofErr w:type="spellStart"/>
      <w:r w:rsidRPr="00AA3402">
        <w:rPr>
          <w:rFonts w:ascii="Arial" w:hAnsi="Arial" w:cs="Arial"/>
          <w:sz w:val="16"/>
          <w:szCs w:val="16"/>
        </w:rPr>
        <w:t>chlorpyrifos</w:t>
      </w:r>
      <w:proofErr w:type="spellEnd"/>
      <w:r w:rsidR="00A57DA0">
        <w:rPr>
          <w:rFonts w:ascii="Arial" w:hAnsi="Arial" w:cs="Arial"/>
          <w:sz w:val="16"/>
          <w:szCs w:val="16"/>
        </w:rPr>
        <w:t>—</w:t>
      </w:r>
      <w:r w:rsidRPr="00AA3402">
        <w:rPr>
          <w:rFonts w:ascii="Arial" w:hAnsi="Arial" w:cs="Arial"/>
          <w:sz w:val="16"/>
          <w:szCs w:val="16"/>
        </w:rPr>
        <w:t xml:space="preserve">Supplementary environment assessment report Part 1 – Home garden, domestic and certain non-agricultural uses, June 2019, page 18; EC, 2005, </w:t>
      </w:r>
      <w:r w:rsidRPr="00AA3402">
        <w:rPr>
          <w:rFonts w:ascii="Arial" w:hAnsi="Arial" w:cs="Arial"/>
          <w:i/>
          <w:sz w:val="16"/>
          <w:szCs w:val="16"/>
        </w:rPr>
        <w:t xml:space="preserve">Final Review report for the active substance </w:t>
      </w:r>
      <w:proofErr w:type="spellStart"/>
      <w:r w:rsidRPr="00AA3402">
        <w:rPr>
          <w:rFonts w:ascii="Arial" w:hAnsi="Arial" w:cs="Arial"/>
          <w:i/>
          <w:sz w:val="16"/>
          <w:szCs w:val="16"/>
        </w:rPr>
        <w:t>chlorpyrifos</w:t>
      </w:r>
      <w:proofErr w:type="spellEnd"/>
      <w:r w:rsidRPr="00AA3402">
        <w:rPr>
          <w:rFonts w:ascii="Arial" w:hAnsi="Arial" w:cs="Arial"/>
          <w:sz w:val="16"/>
          <w:szCs w:val="16"/>
        </w:rPr>
        <w:t xml:space="preserve">, SANCO/3059/99–rev. 1.5, 3 June 2005, European Commission, available at </w:t>
      </w:r>
      <w:hyperlink r:id="rId2" w:history="1">
        <w:r w:rsidRPr="00AA3402">
          <w:rPr>
            <w:rStyle w:val="Hyperlink"/>
            <w:rFonts w:ascii="Arial" w:hAnsi="Arial" w:cs="Arial"/>
            <w:sz w:val="16"/>
            <w:szCs w:val="16"/>
          </w:rPr>
          <w:t>ec.europa.eu/food/plant/pesticides/eu-pesticides-database/public/?event=activesubstance.ViewReview&amp;id=138</w:t>
        </w:r>
      </w:hyperlink>
      <w:r w:rsidRPr="00AA3402">
        <w:rPr>
          <w:rFonts w:ascii="Arial" w:hAnsi="Arial" w:cs="Arial"/>
          <w:sz w:val="16"/>
          <w:szCs w:val="16"/>
        </w:rPr>
        <w:t>.</w:t>
      </w:r>
    </w:p>
  </w:footnote>
  <w:footnote w:id="39">
    <w:p w14:paraId="2DBA4A85" w14:textId="30B26A56" w:rsidR="006B4FEC" w:rsidRPr="00AA3402" w:rsidRDefault="006B4FEC" w:rsidP="006B4FEC">
      <w:pPr>
        <w:pStyle w:val="FootnoteText"/>
        <w:rPr>
          <w:rFonts w:cs="Arial"/>
          <w:szCs w:val="16"/>
        </w:rPr>
      </w:pPr>
      <w:r w:rsidRPr="00AA3402">
        <w:rPr>
          <w:rStyle w:val="FootnoteReference"/>
          <w:rFonts w:cs="Arial"/>
          <w:szCs w:val="16"/>
        </w:rPr>
        <w:footnoteRef/>
      </w:r>
      <w:r w:rsidRPr="00AA3402">
        <w:rPr>
          <w:rFonts w:cs="Arial"/>
          <w:szCs w:val="16"/>
        </w:rPr>
        <w:t xml:space="preserve"> Reconsideration of </w:t>
      </w:r>
      <w:proofErr w:type="spellStart"/>
      <w:r w:rsidRPr="00AA3402">
        <w:rPr>
          <w:rFonts w:cs="Arial"/>
          <w:szCs w:val="16"/>
        </w:rPr>
        <w:t>chlorpyrifos</w:t>
      </w:r>
      <w:proofErr w:type="spellEnd"/>
      <w:r w:rsidR="00A57DA0">
        <w:rPr>
          <w:rFonts w:cs="Arial"/>
          <w:szCs w:val="16"/>
        </w:rPr>
        <w:t>—</w:t>
      </w:r>
      <w:r w:rsidRPr="00AA3402">
        <w:rPr>
          <w:rFonts w:cs="Arial"/>
          <w:szCs w:val="16"/>
        </w:rPr>
        <w:t>Supplementary environment assessment report Part 1 – Home garden, domestic and certain non-agricultural uses, June 2019, page 19.</w:t>
      </w:r>
    </w:p>
  </w:footnote>
  <w:footnote w:id="40">
    <w:p w14:paraId="5EC99579" w14:textId="7F20617E" w:rsidR="006B4FEC" w:rsidRPr="00AA3402" w:rsidRDefault="006B4FEC" w:rsidP="006B4FEC">
      <w:pPr>
        <w:pStyle w:val="FootnoteText"/>
        <w:rPr>
          <w:rFonts w:cs="Arial"/>
          <w:szCs w:val="16"/>
        </w:rPr>
      </w:pPr>
      <w:r w:rsidRPr="00AA3402">
        <w:rPr>
          <w:rStyle w:val="FootnoteReference"/>
          <w:rFonts w:cs="Arial"/>
          <w:szCs w:val="16"/>
        </w:rPr>
        <w:footnoteRef/>
      </w:r>
      <w:r w:rsidRPr="00AA3402">
        <w:rPr>
          <w:rFonts w:cs="Arial"/>
          <w:szCs w:val="16"/>
        </w:rPr>
        <w:t xml:space="preserve"> Reconsideration of </w:t>
      </w:r>
      <w:proofErr w:type="spellStart"/>
      <w:r w:rsidRPr="00AA3402">
        <w:rPr>
          <w:rFonts w:cs="Arial"/>
          <w:szCs w:val="16"/>
        </w:rPr>
        <w:t>chlorpyrifos</w:t>
      </w:r>
      <w:proofErr w:type="spellEnd"/>
      <w:r w:rsidR="00A57DA0">
        <w:rPr>
          <w:rFonts w:cs="Arial"/>
          <w:szCs w:val="16"/>
        </w:rPr>
        <w:t>—</w:t>
      </w:r>
      <w:r w:rsidRPr="00AA3402">
        <w:rPr>
          <w:rFonts w:cs="Arial"/>
          <w:szCs w:val="16"/>
        </w:rPr>
        <w:t>Supplementary environment assessment report Part 1 – Home garden, domestic and certain non-agricultural uses, June 2019, page 19.</w:t>
      </w:r>
    </w:p>
  </w:footnote>
  <w:footnote w:id="41">
    <w:p w14:paraId="767835E5" w14:textId="27C74ABA" w:rsidR="006B4FEC" w:rsidRPr="00AA3402" w:rsidRDefault="006B4FEC" w:rsidP="006B4FEC">
      <w:pPr>
        <w:pStyle w:val="NormalText"/>
        <w:spacing w:before="0" w:after="0"/>
        <w:rPr>
          <w:rFonts w:ascii="Arial" w:hAnsi="Arial" w:cs="Arial"/>
          <w:sz w:val="16"/>
          <w:szCs w:val="16"/>
        </w:rPr>
      </w:pPr>
      <w:r w:rsidRPr="00AA3402">
        <w:rPr>
          <w:rStyle w:val="FootnoteReference"/>
          <w:rFonts w:cs="Arial"/>
          <w:szCs w:val="16"/>
        </w:rPr>
        <w:footnoteRef/>
      </w:r>
      <w:r w:rsidRPr="00AA3402">
        <w:rPr>
          <w:rFonts w:ascii="Arial" w:hAnsi="Arial" w:cs="Arial"/>
          <w:sz w:val="16"/>
          <w:szCs w:val="16"/>
        </w:rPr>
        <w:t xml:space="preserve"> </w:t>
      </w:r>
      <w:proofErr w:type="spellStart"/>
      <w:r w:rsidRPr="00AA3402">
        <w:rPr>
          <w:rFonts w:ascii="Arial" w:hAnsi="Arial" w:cs="Arial"/>
          <w:sz w:val="16"/>
          <w:szCs w:val="16"/>
        </w:rPr>
        <w:t>Hakin</w:t>
      </w:r>
      <w:proofErr w:type="spellEnd"/>
      <w:r w:rsidRPr="00AA3402">
        <w:rPr>
          <w:rFonts w:ascii="Arial" w:hAnsi="Arial" w:cs="Arial"/>
          <w:sz w:val="16"/>
          <w:szCs w:val="16"/>
        </w:rPr>
        <w:t xml:space="preserve">, B, 1990, The Effect of Dietary Inclusion of </w:t>
      </w:r>
      <w:proofErr w:type="spellStart"/>
      <w:r w:rsidRPr="00AA3402">
        <w:rPr>
          <w:rFonts w:ascii="Arial" w:hAnsi="Arial" w:cs="Arial"/>
          <w:sz w:val="16"/>
          <w:szCs w:val="16"/>
        </w:rPr>
        <w:t>Chlorpyrifos</w:t>
      </w:r>
      <w:proofErr w:type="spellEnd"/>
      <w:r w:rsidRPr="00AA3402">
        <w:rPr>
          <w:rFonts w:ascii="Arial" w:hAnsi="Arial" w:cs="Arial"/>
          <w:sz w:val="16"/>
          <w:szCs w:val="16"/>
        </w:rPr>
        <w:t xml:space="preserve"> on Reproduction in the Mallard Duck, Performed by Huntingdon Research Centre Ltd, Huntingdon, Cambridgeshire, UK for </w:t>
      </w:r>
      <w:proofErr w:type="spellStart"/>
      <w:r w:rsidRPr="00AA3402">
        <w:rPr>
          <w:rFonts w:ascii="Arial" w:hAnsi="Arial" w:cs="Arial"/>
          <w:sz w:val="16"/>
          <w:szCs w:val="16"/>
        </w:rPr>
        <w:t>Makhteshim-Agan</w:t>
      </w:r>
      <w:proofErr w:type="spellEnd"/>
      <w:r w:rsidRPr="00AA3402">
        <w:rPr>
          <w:rFonts w:ascii="Arial" w:hAnsi="Arial" w:cs="Arial"/>
          <w:sz w:val="16"/>
          <w:szCs w:val="16"/>
        </w:rPr>
        <w:t xml:space="preserve"> (America) Inc. (Unpublished report). US EPA</w:t>
      </w:r>
      <w:r w:rsidR="00A57DA0">
        <w:rPr>
          <w:rFonts w:ascii="Arial" w:hAnsi="Arial" w:cs="Arial"/>
          <w:sz w:val="16"/>
          <w:szCs w:val="16"/>
        </w:rPr>
        <w:t>—</w:t>
      </w:r>
      <w:r w:rsidRPr="00AA3402">
        <w:rPr>
          <w:rFonts w:ascii="Arial" w:hAnsi="Arial" w:cs="Arial"/>
          <w:sz w:val="16"/>
          <w:szCs w:val="16"/>
        </w:rPr>
        <w:t xml:space="preserve">MRID Number: 42144901; Fink, R, </w:t>
      </w:r>
      <w:r w:rsidRPr="00AA3402">
        <w:rPr>
          <w:rFonts w:ascii="Arial" w:hAnsi="Arial" w:cs="Arial"/>
          <w:i/>
          <w:sz w:val="16"/>
          <w:szCs w:val="16"/>
        </w:rPr>
        <w:t>et al.</w:t>
      </w:r>
      <w:r w:rsidRPr="00AA3402">
        <w:rPr>
          <w:rFonts w:ascii="Arial" w:hAnsi="Arial" w:cs="Arial"/>
          <w:sz w:val="16"/>
          <w:szCs w:val="16"/>
        </w:rPr>
        <w:t xml:space="preserve">., 1978a, The effect of </w:t>
      </w:r>
      <w:proofErr w:type="spellStart"/>
      <w:r w:rsidRPr="00AA3402">
        <w:rPr>
          <w:rFonts w:ascii="Arial" w:hAnsi="Arial" w:cs="Arial"/>
          <w:sz w:val="16"/>
          <w:szCs w:val="16"/>
        </w:rPr>
        <w:t>chlorpyrifos</w:t>
      </w:r>
      <w:proofErr w:type="spellEnd"/>
      <w:r w:rsidRPr="00AA3402">
        <w:rPr>
          <w:rFonts w:ascii="Arial" w:hAnsi="Arial" w:cs="Arial"/>
          <w:sz w:val="16"/>
          <w:szCs w:val="16"/>
        </w:rPr>
        <w:t xml:space="preserve"> during a one-generation reproduction study on the mallard, Project Number: 103-178, Prepared by Wildlife International for The Dow Chemical Company, Midland, MI, USA (Unpublished report). US EPA – MRID Number: 00046952.</w:t>
      </w:r>
    </w:p>
  </w:footnote>
  <w:footnote w:id="42">
    <w:p w14:paraId="7CB88474" w14:textId="5BDC73A4" w:rsidR="006B4FEC" w:rsidRPr="004016FB" w:rsidRDefault="006B4FEC" w:rsidP="006B4FEC">
      <w:pPr>
        <w:pStyle w:val="FootnoteText"/>
      </w:pPr>
      <w:r w:rsidRPr="00AA3402">
        <w:rPr>
          <w:rStyle w:val="FootnoteReference"/>
          <w:rFonts w:cs="Arial"/>
          <w:szCs w:val="16"/>
        </w:rPr>
        <w:footnoteRef/>
      </w:r>
      <w:r w:rsidRPr="00AA3402">
        <w:rPr>
          <w:rFonts w:cs="Arial"/>
          <w:szCs w:val="16"/>
        </w:rPr>
        <w:t xml:space="preserve"> Reconsideration of </w:t>
      </w:r>
      <w:proofErr w:type="spellStart"/>
      <w:r w:rsidRPr="00AA3402">
        <w:rPr>
          <w:rFonts w:cs="Arial"/>
          <w:szCs w:val="16"/>
        </w:rPr>
        <w:t>chlorpyrifos</w:t>
      </w:r>
      <w:proofErr w:type="spellEnd"/>
      <w:r w:rsidR="00A57DA0">
        <w:rPr>
          <w:rFonts w:cs="Arial"/>
          <w:szCs w:val="16"/>
        </w:rPr>
        <w:t>—</w:t>
      </w:r>
      <w:r w:rsidRPr="00AA3402">
        <w:rPr>
          <w:rFonts w:cs="Arial"/>
          <w:szCs w:val="16"/>
        </w:rPr>
        <w:t>Supplementary environment assessment report Part 1 – Home garden, domestic and certain non-agricultural uses, June 2019, page 13.</w:t>
      </w:r>
    </w:p>
  </w:footnote>
  <w:footnote w:id="43">
    <w:p w14:paraId="4DBE567E" w14:textId="0F472AF4" w:rsidR="006B4FEC" w:rsidRPr="00C374B1" w:rsidRDefault="006B4FEC" w:rsidP="006B4FEC">
      <w:pPr>
        <w:pStyle w:val="FootnoteText"/>
      </w:pPr>
      <w:r>
        <w:rPr>
          <w:rStyle w:val="FootnoteReference"/>
        </w:rPr>
        <w:footnoteRef/>
      </w:r>
      <w:r>
        <w:t xml:space="preserve"> Reconsideration of </w:t>
      </w:r>
      <w:proofErr w:type="spellStart"/>
      <w:r>
        <w:t>chlorpyrifos</w:t>
      </w:r>
      <w:proofErr w:type="spellEnd"/>
      <w:r w:rsidR="00A57DA0">
        <w:t>—</w:t>
      </w:r>
      <w:r>
        <w:t>Supplementary environment assessment report Part 1 – Home garden, domestic and certain non-agricultural uses, June 2019, page 34.</w:t>
      </w:r>
    </w:p>
  </w:footnote>
  <w:footnote w:id="44">
    <w:p w14:paraId="1A08FF76" w14:textId="766AADA5" w:rsidR="006B4FEC" w:rsidRPr="00C374B1" w:rsidRDefault="006B4FEC" w:rsidP="006B4FEC">
      <w:pPr>
        <w:pStyle w:val="FootnoteText"/>
      </w:pPr>
      <w:r>
        <w:rPr>
          <w:rStyle w:val="FootnoteReference"/>
        </w:rPr>
        <w:footnoteRef/>
      </w:r>
      <w:r>
        <w:t xml:space="preserve"> Reconsideration of </w:t>
      </w:r>
      <w:proofErr w:type="spellStart"/>
      <w:r>
        <w:t>chlorpyrifos</w:t>
      </w:r>
      <w:proofErr w:type="spellEnd"/>
      <w:r w:rsidR="00A57DA0">
        <w:t>—</w:t>
      </w:r>
      <w:r>
        <w:t>Supplementary environment assessment report Part 1 – Home garden, domestic and certain non-agricultural uses, June 2019, page 28.</w:t>
      </w:r>
    </w:p>
  </w:footnote>
  <w:footnote w:id="45">
    <w:p w14:paraId="663D039E" w14:textId="772B8D26" w:rsidR="006B4FEC" w:rsidRPr="00C374B1" w:rsidRDefault="006B4FEC" w:rsidP="006B4FEC">
      <w:pPr>
        <w:pStyle w:val="FootnoteText"/>
      </w:pPr>
      <w:r>
        <w:rPr>
          <w:rStyle w:val="FootnoteReference"/>
        </w:rPr>
        <w:footnoteRef/>
      </w:r>
      <w:r>
        <w:t xml:space="preserve"> Reconsideration of </w:t>
      </w:r>
      <w:proofErr w:type="spellStart"/>
      <w:r>
        <w:t>chlorpyrifos</w:t>
      </w:r>
      <w:proofErr w:type="spellEnd"/>
      <w:r w:rsidR="00A57DA0">
        <w:t>—</w:t>
      </w:r>
      <w:r>
        <w:t>Supplementary environment assessment report Part 1 – Home garden, domestic and certain non-agricultural uses, June 2019, page 28.</w:t>
      </w:r>
    </w:p>
  </w:footnote>
  <w:footnote w:id="46">
    <w:p w14:paraId="4DC0B59D" w14:textId="3553FAEC" w:rsidR="006B4FEC" w:rsidRPr="00C374B1" w:rsidRDefault="006B4FEC" w:rsidP="006B4FEC">
      <w:pPr>
        <w:pStyle w:val="FootnoteText"/>
      </w:pPr>
      <w:r>
        <w:rPr>
          <w:rStyle w:val="FootnoteReference"/>
        </w:rPr>
        <w:footnoteRef/>
      </w:r>
      <w:r>
        <w:t xml:space="preserve"> Reconsideration of </w:t>
      </w:r>
      <w:proofErr w:type="spellStart"/>
      <w:r>
        <w:t>chlorpyrifos</w:t>
      </w:r>
      <w:proofErr w:type="spellEnd"/>
      <w:r w:rsidR="00A57DA0">
        <w:t>—</w:t>
      </w:r>
      <w:r>
        <w:t>Supplementary environment assessment report Part 1 – Home garden, domestic and certain non-agricultural uses, June 2019, page 28.</w:t>
      </w:r>
    </w:p>
  </w:footnote>
  <w:footnote w:id="47">
    <w:p w14:paraId="7504337B" w14:textId="322418F8" w:rsidR="006B4FEC" w:rsidRPr="00C374B1" w:rsidRDefault="006B4FEC" w:rsidP="006B4FEC">
      <w:pPr>
        <w:pStyle w:val="FootnoteText"/>
      </w:pPr>
      <w:r>
        <w:rPr>
          <w:rStyle w:val="FootnoteReference"/>
        </w:rPr>
        <w:footnoteRef/>
      </w:r>
      <w:r>
        <w:t xml:space="preserve"> Reconsideration of </w:t>
      </w:r>
      <w:proofErr w:type="spellStart"/>
      <w:r>
        <w:t>chlorpyrifos</w:t>
      </w:r>
      <w:proofErr w:type="spellEnd"/>
      <w:r w:rsidR="00A57DA0">
        <w:t>—</w:t>
      </w:r>
      <w:r>
        <w:t>Supplementary environment assessment report Part 1 – Home garden, domestic and certain non-agricultural uses, June 2019, page 28.</w:t>
      </w:r>
    </w:p>
  </w:footnote>
  <w:footnote w:id="48">
    <w:p w14:paraId="3D37E1A8" w14:textId="74A2AE4E" w:rsidR="006B4FEC" w:rsidRPr="00C374B1" w:rsidRDefault="006B4FEC" w:rsidP="006B4FEC">
      <w:pPr>
        <w:pStyle w:val="FootnoteText"/>
      </w:pPr>
      <w:r>
        <w:rPr>
          <w:rStyle w:val="FootnoteReference"/>
        </w:rPr>
        <w:footnoteRef/>
      </w:r>
      <w:r>
        <w:t xml:space="preserve"> Reconsideration of </w:t>
      </w:r>
      <w:proofErr w:type="spellStart"/>
      <w:r>
        <w:t>chlorpyrifos</w:t>
      </w:r>
      <w:proofErr w:type="spellEnd"/>
      <w:r w:rsidR="00A57DA0">
        <w:t>—</w:t>
      </w:r>
      <w:r>
        <w:t>Supplementary environment assessment report Part 1 – Home garden, domestic and certain non-agricultural uses, June 2019, page 28.</w:t>
      </w:r>
    </w:p>
  </w:footnote>
  <w:footnote w:id="49">
    <w:p w14:paraId="23D8BA22" w14:textId="3588E1AC" w:rsidR="006B4FEC" w:rsidRPr="00C374B1" w:rsidRDefault="006B4FEC" w:rsidP="006B4FEC">
      <w:pPr>
        <w:pStyle w:val="FootnoteText"/>
      </w:pPr>
      <w:r>
        <w:rPr>
          <w:rStyle w:val="FootnoteReference"/>
        </w:rPr>
        <w:footnoteRef/>
      </w:r>
      <w:r>
        <w:t xml:space="preserve"> Reconsideration of </w:t>
      </w:r>
      <w:proofErr w:type="spellStart"/>
      <w:r>
        <w:t>chlorpyrifos</w:t>
      </w:r>
      <w:proofErr w:type="spellEnd"/>
      <w:r w:rsidR="00A57DA0">
        <w:t>—</w:t>
      </w:r>
      <w:r>
        <w:t>Supplementary environment assessment report Part 1 – Home garden, domestic and certain non-agricultural uses, June 2019, page 28.</w:t>
      </w:r>
    </w:p>
  </w:footnote>
  <w:footnote w:id="50">
    <w:p w14:paraId="4C69647F" w14:textId="0B4A69A5" w:rsidR="006B4FEC" w:rsidRPr="00C374B1" w:rsidRDefault="006B4FEC" w:rsidP="006B4FEC">
      <w:pPr>
        <w:pStyle w:val="FootnoteText"/>
      </w:pPr>
      <w:r>
        <w:rPr>
          <w:rStyle w:val="FootnoteReference"/>
        </w:rPr>
        <w:footnoteRef/>
      </w:r>
      <w:r>
        <w:t xml:space="preserve"> Reconsideration of </w:t>
      </w:r>
      <w:proofErr w:type="spellStart"/>
      <w:r>
        <w:t>chlorpyrifos</w:t>
      </w:r>
      <w:proofErr w:type="spellEnd"/>
      <w:r w:rsidR="00A57DA0">
        <w:t>—</w:t>
      </w:r>
      <w:r>
        <w:t>Supplementary environment assessment report Part 1 – Home garden, domestic and certain non-agricultural uses, June 2019, page 28.</w:t>
      </w:r>
    </w:p>
  </w:footnote>
  <w:footnote w:id="51">
    <w:p w14:paraId="0241342E" w14:textId="1A7C3A1E" w:rsidR="006B4FEC" w:rsidRPr="00C374B1" w:rsidRDefault="006B4FEC" w:rsidP="006B4FEC">
      <w:pPr>
        <w:pStyle w:val="FootnoteText"/>
      </w:pPr>
      <w:r>
        <w:rPr>
          <w:rStyle w:val="FootnoteReference"/>
        </w:rPr>
        <w:footnoteRef/>
      </w:r>
      <w:r>
        <w:t xml:space="preserve"> Reconsideration of </w:t>
      </w:r>
      <w:proofErr w:type="spellStart"/>
      <w:r>
        <w:t>chlorpyrifos</w:t>
      </w:r>
      <w:proofErr w:type="spellEnd"/>
      <w:r w:rsidR="00A57DA0">
        <w:t>—</w:t>
      </w:r>
      <w:r>
        <w:t>Supplementary environment assessment report Part 1 – Home garden, domestic and certain non-agricultural uses, June 2019, page 28.</w:t>
      </w:r>
    </w:p>
  </w:footnote>
  <w:footnote w:id="52">
    <w:p w14:paraId="1A7B8C99" w14:textId="01D78729" w:rsidR="006B4FEC" w:rsidRPr="00C374B1" w:rsidRDefault="006B4FEC" w:rsidP="006B4FEC">
      <w:pPr>
        <w:pStyle w:val="FootnoteText"/>
      </w:pPr>
      <w:r>
        <w:rPr>
          <w:rStyle w:val="FootnoteReference"/>
        </w:rPr>
        <w:footnoteRef/>
      </w:r>
      <w:r>
        <w:t xml:space="preserve"> Reconsideration of </w:t>
      </w:r>
      <w:proofErr w:type="spellStart"/>
      <w:r>
        <w:t>chlorpyrifos</w:t>
      </w:r>
      <w:proofErr w:type="spellEnd"/>
      <w:r w:rsidR="00A57DA0">
        <w:t>—</w:t>
      </w:r>
      <w:r>
        <w:t>Supplementary environment assessment report Part 1 – Home garden, domestic and certain non-agricultural uses, June 2019, page 28.</w:t>
      </w:r>
    </w:p>
  </w:footnote>
  <w:footnote w:id="53">
    <w:p w14:paraId="10CD92CB" w14:textId="18EAA78B" w:rsidR="006B4FEC" w:rsidRPr="00C374B1" w:rsidRDefault="006B4FEC" w:rsidP="006B4FEC">
      <w:pPr>
        <w:pStyle w:val="FootnoteText"/>
      </w:pPr>
      <w:r>
        <w:rPr>
          <w:rStyle w:val="FootnoteReference"/>
        </w:rPr>
        <w:footnoteRef/>
      </w:r>
      <w:r>
        <w:t xml:space="preserve"> Reconsideration of </w:t>
      </w:r>
      <w:proofErr w:type="spellStart"/>
      <w:r>
        <w:t>chlorpyrifos</w:t>
      </w:r>
      <w:proofErr w:type="spellEnd"/>
      <w:r w:rsidR="00A57DA0">
        <w:t>—</w:t>
      </w:r>
      <w:r>
        <w:t>Supplementary environment assessment report Part 1 – Home garden, domestic and certain non-agricultural uses, June 2019, page 28.</w:t>
      </w:r>
    </w:p>
  </w:footnote>
  <w:footnote w:id="54">
    <w:p w14:paraId="39852B9F" w14:textId="06B820AC" w:rsidR="006B4FEC" w:rsidRPr="009C66A4" w:rsidRDefault="006B4FEC" w:rsidP="006B4FEC">
      <w:pPr>
        <w:pStyle w:val="FootnoteText"/>
      </w:pPr>
      <w:r>
        <w:rPr>
          <w:rStyle w:val="FootnoteReference"/>
        </w:rPr>
        <w:footnoteRef/>
      </w:r>
      <w:r>
        <w:t xml:space="preserve"> Reconsideration of </w:t>
      </w:r>
      <w:proofErr w:type="spellStart"/>
      <w:r>
        <w:t>chlorpyrifos</w:t>
      </w:r>
      <w:proofErr w:type="spellEnd"/>
      <w:r w:rsidR="00A57DA0">
        <w:t>—</w:t>
      </w:r>
      <w:r>
        <w:t>Supplementary environment assessment report Part 1 – Home garden, domestic and certain non-agricultural uses, June 2019, page 28.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FE5C0" w14:textId="77777777" w:rsidR="00330BE7" w:rsidRDefault="00330BE7">
    <w:pPr>
      <w:pStyle w:val="Header"/>
      <w:tabs>
        <w:tab w:val="clear" w:pos="3780"/>
        <w:tab w:val="left" w:pos="1980"/>
      </w:tabs>
      <w:rPr>
        <w:lang w:val="en-AU"/>
      </w:rPr>
    </w:pP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3F2769">
      <w:rPr>
        <w:rStyle w:val="PageNumber"/>
        <w:i w:val="0"/>
        <w:noProof/>
        <w:lang w:val="en-AU"/>
      </w:rPr>
      <w:t>2</w:t>
    </w:r>
    <w:r>
      <w:rPr>
        <w:rStyle w:val="PageNumber"/>
        <w:i w:val="0"/>
        <w:lang w:val="en-AU"/>
      </w:rPr>
      <w:fldChar w:fldCharType="end"/>
    </w:r>
    <w:r>
      <w:rPr>
        <w:rStyle w:val="PageNumber"/>
        <w:i w:val="0"/>
        <w:lang w:val="en-AU"/>
      </w:rPr>
      <w:tab/>
    </w:r>
    <w:r>
      <w:rPr>
        <w:lang w:val="en-AU"/>
      </w:rPr>
      <w:t>Agricultural and Veterinary Chemicals Code Act 1994</w:t>
    </w:r>
    <w:r>
      <w:rPr>
        <w:lang w:val="en-AU"/>
      </w:rPr>
      <w:tab/>
      <w:t>Commonwealth of Australia Gazette</w:t>
    </w:r>
  </w:p>
  <w:p w14:paraId="33CDE81E" w14:textId="77777777" w:rsidR="00330BE7" w:rsidRDefault="00330BE7">
    <w:pPr>
      <w:pStyle w:val="Header"/>
      <w:rPr>
        <w:lang w:val="en-AU"/>
      </w:rPr>
    </w:pPr>
    <w:r>
      <w:rPr>
        <w:lang w:val="en-AU"/>
      </w:rPr>
      <w:tab/>
    </w:r>
    <w:r>
      <w:rPr>
        <w:lang w:val="en-AU"/>
      </w:rPr>
      <w:tab/>
      <w:t>No. APVMA 2-3 February 2009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3B01A" w14:textId="77777777" w:rsidR="00330BE7" w:rsidRDefault="00330BE7">
    <w:pPr>
      <w:pStyle w:val="Header"/>
      <w:tabs>
        <w:tab w:val="clear" w:pos="9757"/>
        <w:tab w:val="right" w:pos="9967"/>
      </w:tabs>
      <w:rPr>
        <w:i w:val="0"/>
        <w:szCs w:val="20"/>
        <w:lang w:val="en-A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364B5" w14:textId="77777777" w:rsidR="00330BE7" w:rsidRDefault="00330BE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A17B2" w14:textId="77777777" w:rsidR="00546BD8" w:rsidRPr="003F2769" w:rsidRDefault="00546BD8">
    <w:pPr>
      <w:pStyle w:val="Header"/>
      <w:rPr>
        <w:i w:val="0"/>
        <w:lang w:val="en-AU"/>
      </w:rPr>
    </w:pPr>
    <w:r w:rsidRPr="003F2769">
      <w:rPr>
        <w:i w:val="0"/>
        <w:lang w:val="en-AU"/>
      </w:rPr>
      <w:t>Commonwealth of Australia Gazette</w:t>
    </w:r>
  </w:p>
  <w:p w14:paraId="2F8BD404" w14:textId="1E535116" w:rsidR="00546BD8" w:rsidRPr="003F2769" w:rsidRDefault="00546BD8" w:rsidP="00BA4C79">
    <w:pPr>
      <w:pStyle w:val="Header"/>
      <w:tabs>
        <w:tab w:val="clear" w:pos="9757"/>
        <w:tab w:val="right" w:pos="9967"/>
      </w:tabs>
      <w:rPr>
        <w:b/>
        <w:i w:val="0"/>
        <w:szCs w:val="20"/>
        <w:lang w:val="en-AU"/>
      </w:rPr>
    </w:pPr>
    <w:r w:rsidRPr="003F2769">
      <w:rPr>
        <w:bCs/>
        <w:i w:val="0"/>
        <w:lang w:val="en-AU"/>
      </w:rPr>
      <w:fldChar w:fldCharType="begin"/>
    </w:r>
    <w:r w:rsidRPr="003F2769">
      <w:rPr>
        <w:bCs/>
        <w:i w:val="0"/>
        <w:lang w:val="en-AU"/>
      </w:rPr>
      <w:instrText xml:space="preserve"> STYLEREF "Gazette Number" \* MERGEFORMAT </w:instrText>
    </w:r>
    <w:r w:rsidRPr="003F2769">
      <w:rPr>
        <w:bCs/>
        <w:i w:val="0"/>
        <w:lang w:val="en-AU"/>
      </w:rPr>
      <w:fldChar w:fldCharType="separate"/>
    </w:r>
    <w:r w:rsidR="00A57DA0" w:rsidRPr="00A57DA0">
      <w:rPr>
        <w:i w:val="0"/>
        <w:noProof/>
      </w:rPr>
      <w:t>APVMA Special Gazette</w:t>
    </w:r>
    <w:r w:rsidR="00A57DA0">
      <w:rPr>
        <w:bCs/>
        <w:i w:val="0"/>
        <w:noProof/>
        <w:lang w:val="en-AU"/>
      </w:rPr>
      <w:t>, Wednesday, 25 September 2019</w:t>
    </w:r>
    <w:r w:rsidRPr="003F2769">
      <w:rPr>
        <w:bCs/>
        <w:i w:val="0"/>
        <w:lang w:val="en-AU"/>
      </w:rPr>
      <w:fldChar w:fldCharType="end"/>
    </w:r>
    <w:r w:rsidR="00415019">
      <w:rPr>
        <w:bCs/>
        <w:i w:val="0"/>
        <w:lang w:val="en-AU"/>
      </w:rPr>
      <w:t xml:space="preserve"> </w:t>
    </w:r>
    <w:r>
      <w:rPr>
        <w:lang w:val="en-AU"/>
      </w:rPr>
      <w:t>Agricultural and Veterinary Chemicals Code Act 1994</w:t>
    </w:r>
    <w:r>
      <w:rPr>
        <w:lang w:val="en-AU"/>
      </w:rPr>
      <w:tab/>
    </w:r>
    <w:r w:rsidRPr="003F2769">
      <w:rPr>
        <w:rStyle w:val="PageNumber"/>
        <w:b/>
        <w:i w:val="0"/>
        <w:lang w:val="en-AU"/>
      </w:rPr>
      <w:fldChar w:fldCharType="begin"/>
    </w:r>
    <w:r w:rsidRPr="003F2769">
      <w:rPr>
        <w:rStyle w:val="PageNumber"/>
        <w:b/>
        <w:i w:val="0"/>
        <w:lang w:val="en-AU"/>
      </w:rPr>
      <w:instrText xml:space="preserve"> PAGE </w:instrText>
    </w:r>
    <w:r w:rsidRPr="003F2769">
      <w:rPr>
        <w:rStyle w:val="PageNumber"/>
        <w:b/>
        <w:i w:val="0"/>
        <w:lang w:val="en-AU"/>
      </w:rPr>
      <w:fldChar w:fldCharType="separate"/>
    </w:r>
    <w:r w:rsidR="00A57DA0">
      <w:rPr>
        <w:rStyle w:val="PageNumber"/>
        <w:b/>
        <w:i w:val="0"/>
        <w:noProof/>
        <w:lang w:val="en-AU"/>
      </w:rPr>
      <w:t>24</w:t>
    </w:r>
    <w:r w:rsidRPr="003F2769">
      <w:rPr>
        <w:rStyle w:val="PageNumber"/>
        <w:b/>
        <w:i w:val="0"/>
        <w:lang w:val="en-AU"/>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21C3E7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7DEAD3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ECA6CE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78274C"/>
    <w:multiLevelType w:val="hybridMultilevel"/>
    <w:tmpl w:val="86DC33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0931AD"/>
    <w:multiLevelType w:val="hybridMultilevel"/>
    <w:tmpl w:val="C9043554"/>
    <w:lvl w:ilvl="0" w:tplc="2598A89A">
      <w:start w:val="1"/>
      <w:numFmt w:val="lowerLetter"/>
      <w:pStyle w:val="GazetteList-Alpha"/>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D438D8"/>
    <w:multiLevelType w:val="hybridMultilevel"/>
    <w:tmpl w:val="F4DEA46C"/>
    <w:lvl w:ilvl="0" w:tplc="16FADC88">
      <w:start w:val="1"/>
      <w:numFmt w:val="decimal"/>
      <w:pStyle w:val="GazetteList-Numbered"/>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6C7831"/>
    <w:multiLevelType w:val="hybridMultilevel"/>
    <w:tmpl w:val="387E9BD8"/>
    <w:lvl w:ilvl="0" w:tplc="8AFC728E">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7" w15:restartNumberingAfterBreak="0">
    <w:nsid w:val="1B1363C9"/>
    <w:multiLevelType w:val="multilevel"/>
    <w:tmpl w:val="36500846"/>
    <w:lvl w:ilvl="0">
      <w:start w:val="1"/>
      <w:numFmt w:val="bullet"/>
      <w:pStyle w:val="GazetteBulletLis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192584"/>
    <w:multiLevelType w:val="multilevel"/>
    <w:tmpl w:val="02AA8FA0"/>
    <w:styleLink w:val="ListBullets"/>
    <w:lvl w:ilvl="0">
      <w:start w:val="1"/>
      <w:numFmt w:val="bullet"/>
      <w:lvlText w:val=""/>
      <w:lvlJc w:val="left"/>
      <w:pPr>
        <w:tabs>
          <w:tab w:val="num" w:pos="425"/>
        </w:tabs>
        <w:ind w:left="425" w:hanging="425"/>
      </w:pPr>
      <w:rPr>
        <w:rFonts w:ascii="Symbol" w:hAnsi="Symbol" w:hint="default"/>
        <w:color w:val="auto"/>
      </w:rPr>
    </w:lvl>
    <w:lvl w:ilvl="1">
      <w:start w:val="1"/>
      <w:numFmt w:val="bullet"/>
      <w:lvlText w:val=""/>
      <w:lvlJc w:val="left"/>
      <w:pPr>
        <w:ind w:left="794" w:hanging="369"/>
      </w:pPr>
      <w:rPr>
        <w:rFonts w:ascii="Symbol" w:hAnsi="Symbol" w:hint="default"/>
      </w:rPr>
    </w:lvl>
    <w:lvl w:ilvl="2">
      <w:start w:val="1"/>
      <w:numFmt w:val="bullet"/>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9" w15:restartNumberingAfterBreak="0">
    <w:nsid w:val="267D4D3D"/>
    <w:multiLevelType w:val="hybridMultilevel"/>
    <w:tmpl w:val="1B6A23C0"/>
    <w:lvl w:ilvl="0" w:tplc="8AEAD88C">
      <w:start w:val="1"/>
      <w:numFmt w:val="lowerRoman"/>
      <w:pStyle w:val="GazetteList-RomanNumerals"/>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0D1FD9"/>
    <w:multiLevelType w:val="hybridMultilevel"/>
    <w:tmpl w:val="5130FF00"/>
    <w:lvl w:ilvl="0" w:tplc="5BE85ED4">
      <w:start w:val="1"/>
      <w:numFmt w:val="decimal"/>
      <w:pStyle w:val="Registration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A913599"/>
    <w:multiLevelType w:val="multilevel"/>
    <w:tmpl w:val="02AA8FA0"/>
    <w:numStyleLink w:val="ListBullets"/>
  </w:abstractNum>
  <w:abstractNum w:abstractNumId="12" w15:restartNumberingAfterBreak="0">
    <w:nsid w:val="2B6F060E"/>
    <w:multiLevelType w:val="multilevel"/>
    <w:tmpl w:val="1D54A32C"/>
    <w:lvl w:ilvl="0">
      <w:start w:val="1"/>
      <w:numFmt w:val="decimal"/>
      <w:pStyle w:val="NumberLevel1"/>
      <w:lvlText w:val="%1."/>
      <w:lvlJc w:val="left"/>
      <w:pPr>
        <w:tabs>
          <w:tab w:val="num" w:pos="709"/>
        </w:tabs>
        <w:ind w:left="0" w:hanging="709"/>
      </w:pPr>
      <w:rPr>
        <w:rFonts w:ascii="Arial" w:hAnsi="Arial" w:hint="default"/>
        <w:b w:val="0"/>
        <w:i w:val="0"/>
        <w:caps w:val="0"/>
        <w:strike w:val="0"/>
        <w:dstrike w:val="0"/>
        <w:vanish w:val="0"/>
        <w:sz w:val="20"/>
        <w:u w:val="none"/>
        <w:vertAlign w:val="baseline"/>
      </w:rPr>
    </w:lvl>
    <w:lvl w:ilvl="1">
      <w:start w:val="1"/>
      <w:numFmt w:val="decimal"/>
      <w:pStyle w:val="NumberLevel2"/>
      <w:lvlText w:val="%1.%2."/>
      <w:lvlJc w:val="left"/>
      <w:pPr>
        <w:tabs>
          <w:tab w:val="num" w:pos="709"/>
        </w:tabs>
        <w:ind w:left="709" w:hanging="709"/>
      </w:pPr>
      <w:rPr>
        <w:rFonts w:ascii="Arial" w:hAnsi="Arial" w:hint="default"/>
        <w:sz w:val="20"/>
      </w:rPr>
    </w:lvl>
    <w:lvl w:ilvl="2">
      <w:start w:val="1"/>
      <w:numFmt w:val="decimal"/>
      <w:pStyle w:val="NumberLevel3"/>
      <w:lvlText w:val="%1.%2.%3."/>
      <w:lvlJc w:val="left"/>
      <w:pPr>
        <w:tabs>
          <w:tab w:val="num" w:pos="723"/>
        </w:tabs>
        <w:ind w:left="1559" w:hanging="836"/>
      </w:pPr>
      <w:rPr>
        <w:rFonts w:ascii="Arial" w:hAnsi="Arial" w:hint="default"/>
        <w:sz w:val="20"/>
      </w:rPr>
    </w:lvl>
    <w:lvl w:ilvl="3">
      <w:start w:val="1"/>
      <w:numFmt w:val="lowerLetter"/>
      <w:pStyle w:val="NumberLevel4"/>
      <w:lvlText w:val="%4."/>
      <w:lvlJc w:val="left"/>
      <w:pPr>
        <w:tabs>
          <w:tab w:val="num" w:pos="1559"/>
        </w:tabs>
        <w:ind w:left="2268" w:hanging="709"/>
      </w:pPr>
      <w:rPr>
        <w:rFonts w:ascii="Arial" w:hAnsi="Arial" w:hint="default"/>
        <w:sz w:val="20"/>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13"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7F27D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98C6A3B"/>
    <w:multiLevelType w:val="hybridMultilevel"/>
    <w:tmpl w:val="316C6C6C"/>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15:restartNumberingAfterBreak="0">
    <w:nsid w:val="3DB16C07"/>
    <w:multiLevelType w:val="hybridMultilevel"/>
    <w:tmpl w:val="1BF6012C"/>
    <w:lvl w:ilvl="0" w:tplc="0C09001B">
      <w:start w:val="1"/>
      <w:numFmt w:val="lowerRoman"/>
      <w:lvlText w:val="%1."/>
      <w:lvlJc w:val="righ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15:restartNumberingAfterBreak="0">
    <w:nsid w:val="407F082B"/>
    <w:multiLevelType w:val="multilevel"/>
    <w:tmpl w:val="EFC2A470"/>
    <w:lvl w:ilvl="0">
      <w:start w:val="1"/>
      <w:numFmt w:val="lowerLetter"/>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4523D5B"/>
    <w:multiLevelType w:val="hybridMultilevel"/>
    <w:tmpl w:val="F0C427DA"/>
    <w:lvl w:ilvl="0" w:tplc="426444B8">
      <w:start w:val="9"/>
      <w:numFmt w:val="bullet"/>
      <w:pStyle w:val="GazetteBulletList2"/>
      <w:lvlText w:val="-"/>
      <w:lvlJc w:val="left"/>
      <w:pPr>
        <w:tabs>
          <w:tab w:val="num" w:pos="1134"/>
        </w:tabs>
        <w:ind w:left="1134" w:hanging="340"/>
      </w:pPr>
      <w:rPr>
        <w:rFonts w:ascii="Courier New" w:eastAsia="Times New Roman" w:hAnsi="Courier New" w:hint="default"/>
        <w:b/>
        <w:i w:val="0"/>
        <w:color w:val="385860"/>
        <w:sz w:val="20"/>
      </w:rPr>
    </w:lvl>
    <w:lvl w:ilvl="1" w:tplc="1ABADACE">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3C36DD"/>
    <w:multiLevelType w:val="hybridMultilevel"/>
    <w:tmpl w:val="16EA8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4143B5"/>
    <w:multiLevelType w:val="hybridMultilevel"/>
    <w:tmpl w:val="FF26FA0A"/>
    <w:lvl w:ilvl="0" w:tplc="C95AFC66">
      <w:start w:val="1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8970E02"/>
    <w:multiLevelType w:val="multilevel"/>
    <w:tmpl w:val="7B90D4B4"/>
    <w:lvl w:ilvl="0">
      <w:start w:val="1"/>
      <w:numFmt w:val="lowerLetter"/>
      <w:lvlText w:val="%1)"/>
      <w:lvlJc w:val="left"/>
      <w:pPr>
        <w:tabs>
          <w:tab w:val="num" w:pos="644"/>
        </w:tabs>
        <w:ind w:left="644" w:hanging="284"/>
      </w:pPr>
      <w:rPr>
        <w:rFonts w:hint="default"/>
        <w:color w:val="auto"/>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1E0241"/>
    <w:multiLevelType w:val="hybridMultilevel"/>
    <w:tmpl w:val="976A39E4"/>
    <w:lvl w:ilvl="0" w:tplc="C0FE51F8">
      <w:start w:val="1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24" w15:restartNumberingAfterBreak="0">
    <w:nsid w:val="529A3694"/>
    <w:multiLevelType w:val="multilevel"/>
    <w:tmpl w:val="0EE6E7E0"/>
    <w:lvl w:ilvl="0">
      <w:start w:val="1"/>
      <w:numFmt w:val="decimal"/>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E314B9D"/>
    <w:multiLevelType w:val="multilevel"/>
    <w:tmpl w:val="5A225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091F5D"/>
    <w:multiLevelType w:val="singleLevel"/>
    <w:tmpl w:val="214EFD9C"/>
    <w:lvl w:ilvl="0">
      <w:start w:val="1"/>
      <w:numFmt w:val="decimal"/>
      <w:lvlText w:val="%1."/>
      <w:lvlJc w:val="left"/>
      <w:pPr>
        <w:tabs>
          <w:tab w:val="num" w:pos="360"/>
        </w:tabs>
        <w:ind w:left="360" w:hanging="360"/>
      </w:pPr>
      <w:rPr>
        <w:rFonts w:hint="default"/>
      </w:rPr>
    </w:lvl>
  </w:abstractNum>
  <w:abstractNum w:abstractNumId="27" w15:restartNumberingAfterBreak="0">
    <w:nsid w:val="60363649"/>
    <w:multiLevelType w:val="hybridMultilevel"/>
    <w:tmpl w:val="23664FE0"/>
    <w:lvl w:ilvl="0" w:tplc="A3580D9A">
      <w:start w:val="1"/>
      <w:numFmt w:val="lowerLetter"/>
      <w:lvlText w:val="%1)"/>
      <w:lvlJc w:val="left"/>
      <w:pPr>
        <w:ind w:left="720" w:hanging="360"/>
      </w:pPr>
      <w:rPr>
        <w:rFonts w:ascii="Arial" w:hAnsi="Arial" w:cs="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DB4A7A"/>
    <w:multiLevelType w:val="hybridMultilevel"/>
    <w:tmpl w:val="00E82200"/>
    <w:lvl w:ilvl="0" w:tplc="A9D6FA72">
      <w:start w:val="1"/>
      <w:numFmt w:val="decimal"/>
      <w:pStyle w:val="Licensing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3673D1D"/>
    <w:multiLevelType w:val="hybridMultilevel"/>
    <w:tmpl w:val="66949B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314B83"/>
    <w:multiLevelType w:val="hybridMultilevel"/>
    <w:tmpl w:val="4CCCBBB8"/>
    <w:lvl w:ilvl="0" w:tplc="29723ECA">
      <w:start w:val="1"/>
      <w:numFmt w:val="bullet"/>
      <w:pStyle w:val="GazetteTableBullet"/>
      <w:lvlText w:val=""/>
      <w:lvlJc w:val="left"/>
      <w:pPr>
        <w:tabs>
          <w:tab w:val="num" w:pos="680"/>
        </w:tabs>
        <w:ind w:left="680" w:hanging="396"/>
      </w:pPr>
      <w:rPr>
        <w:rFonts w:ascii="Symbol" w:hAnsi="Symbol" w:hint="default"/>
        <w:sz w:val="16"/>
      </w:rPr>
    </w:lvl>
    <w:lvl w:ilvl="1" w:tplc="04090003" w:tentative="1">
      <w:start w:val="1"/>
      <w:numFmt w:val="bullet"/>
      <w:lvlText w:val="o"/>
      <w:lvlJc w:val="left"/>
      <w:pPr>
        <w:tabs>
          <w:tab w:val="num" w:pos="2108"/>
        </w:tabs>
        <w:ind w:left="2108" w:hanging="360"/>
      </w:pPr>
      <w:rPr>
        <w:rFonts w:ascii="Courier New" w:hAnsi="Courier New" w:cs="Courier New" w:hint="default"/>
      </w:rPr>
    </w:lvl>
    <w:lvl w:ilvl="2" w:tplc="04090005" w:tentative="1">
      <w:start w:val="1"/>
      <w:numFmt w:val="bullet"/>
      <w:lvlText w:val=""/>
      <w:lvlJc w:val="left"/>
      <w:pPr>
        <w:tabs>
          <w:tab w:val="num" w:pos="2828"/>
        </w:tabs>
        <w:ind w:left="2828" w:hanging="360"/>
      </w:pPr>
      <w:rPr>
        <w:rFonts w:ascii="Wingdings" w:hAnsi="Wingdings" w:hint="default"/>
      </w:rPr>
    </w:lvl>
    <w:lvl w:ilvl="3" w:tplc="04090001" w:tentative="1">
      <w:start w:val="1"/>
      <w:numFmt w:val="bullet"/>
      <w:lvlText w:val=""/>
      <w:lvlJc w:val="left"/>
      <w:pPr>
        <w:tabs>
          <w:tab w:val="num" w:pos="3548"/>
        </w:tabs>
        <w:ind w:left="3548" w:hanging="360"/>
      </w:pPr>
      <w:rPr>
        <w:rFonts w:ascii="Symbol" w:hAnsi="Symbol" w:hint="default"/>
      </w:rPr>
    </w:lvl>
    <w:lvl w:ilvl="4" w:tplc="04090003" w:tentative="1">
      <w:start w:val="1"/>
      <w:numFmt w:val="bullet"/>
      <w:lvlText w:val="o"/>
      <w:lvlJc w:val="left"/>
      <w:pPr>
        <w:tabs>
          <w:tab w:val="num" w:pos="4268"/>
        </w:tabs>
        <w:ind w:left="4268" w:hanging="360"/>
      </w:pPr>
      <w:rPr>
        <w:rFonts w:ascii="Courier New" w:hAnsi="Courier New" w:cs="Courier New" w:hint="default"/>
      </w:rPr>
    </w:lvl>
    <w:lvl w:ilvl="5" w:tplc="04090005" w:tentative="1">
      <w:start w:val="1"/>
      <w:numFmt w:val="bullet"/>
      <w:lvlText w:val=""/>
      <w:lvlJc w:val="left"/>
      <w:pPr>
        <w:tabs>
          <w:tab w:val="num" w:pos="4988"/>
        </w:tabs>
        <w:ind w:left="4988" w:hanging="360"/>
      </w:pPr>
      <w:rPr>
        <w:rFonts w:ascii="Wingdings" w:hAnsi="Wingdings" w:hint="default"/>
      </w:rPr>
    </w:lvl>
    <w:lvl w:ilvl="6" w:tplc="04090001" w:tentative="1">
      <w:start w:val="1"/>
      <w:numFmt w:val="bullet"/>
      <w:lvlText w:val=""/>
      <w:lvlJc w:val="left"/>
      <w:pPr>
        <w:tabs>
          <w:tab w:val="num" w:pos="5708"/>
        </w:tabs>
        <w:ind w:left="5708" w:hanging="360"/>
      </w:pPr>
      <w:rPr>
        <w:rFonts w:ascii="Symbol" w:hAnsi="Symbol" w:hint="default"/>
      </w:rPr>
    </w:lvl>
    <w:lvl w:ilvl="7" w:tplc="04090003" w:tentative="1">
      <w:start w:val="1"/>
      <w:numFmt w:val="bullet"/>
      <w:lvlText w:val="o"/>
      <w:lvlJc w:val="left"/>
      <w:pPr>
        <w:tabs>
          <w:tab w:val="num" w:pos="6428"/>
        </w:tabs>
        <w:ind w:left="6428" w:hanging="360"/>
      </w:pPr>
      <w:rPr>
        <w:rFonts w:ascii="Courier New" w:hAnsi="Courier New" w:cs="Courier New" w:hint="default"/>
      </w:rPr>
    </w:lvl>
    <w:lvl w:ilvl="8" w:tplc="04090005" w:tentative="1">
      <w:start w:val="1"/>
      <w:numFmt w:val="bullet"/>
      <w:lvlText w:val=""/>
      <w:lvlJc w:val="left"/>
      <w:pPr>
        <w:tabs>
          <w:tab w:val="num" w:pos="7148"/>
        </w:tabs>
        <w:ind w:left="7148" w:hanging="360"/>
      </w:pPr>
      <w:rPr>
        <w:rFonts w:ascii="Wingdings" w:hAnsi="Wingdings" w:hint="default"/>
      </w:rPr>
    </w:lvl>
  </w:abstractNum>
  <w:abstractNum w:abstractNumId="31" w15:restartNumberingAfterBreak="0">
    <w:nsid w:val="74E2609A"/>
    <w:multiLevelType w:val="hybridMultilevel"/>
    <w:tmpl w:val="96301742"/>
    <w:lvl w:ilvl="0" w:tplc="1B2E132C">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5C96209"/>
    <w:multiLevelType w:val="multilevel"/>
    <w:tmpl w:val="250C93B2"/>
    <w:lvl w:ilvl="0">
      <w:start w:val="1"/>
      <w:numFmt w:val="bullet"/>
      <w:lvlText w:val=""/>
      <w:lvlJc w:val="left"/>
      <w:pPr>
        <w:tabs>
          <w:tab w:val="num" w:pos="1028"/>
        </w:tabs>
        <w:ind w:left="1028" w:hanging="360"/>
      </w:pPr>
      <w:rPr>
        <w:rFonts w:ascii="Symbol" w:hAnsi="Symbol" w:hint="default"/>
        <w:sz w:val="16"/>
      </w:rPr>
    </w:lvl>
    <w:lvl w:ilvl="1">
      <w:start w:val="1"/>
      <w:numFmt w:val="bullet"/>
      <w:lvlText w:val="o"/>
      <w:lvlJc w:val="left"/>
      <w:pPr>
        <w:tabs>
          <w:tab w:val="num" w:pos="2108"/>
        </w:tabs>
        <w:ind w:left="2108" w:hanging="360"/>
      </w:pPr>
      <w:rPr>
        <w:rFonts w:ascii="Courier New" w:hAnsi="Courier New" w:cs="Courier New" w:hint="default"/>
      </w:rPr>
    </w:lvl>
    <w:lvl w:ilvl="2">
      <w:start w:val="1"/>
      <w:numFmt w:val="bullet"/>
      <w:lvlText w:val=""/>
      <w:lvlJc w:val="left"/>
      <w:pPr>
        <w:tabs>
          <w:tab w:val="num" w:pos="2828"/>
        </w:tabs>
        <w:ind w:left="2828" w:hanging="360"/>
      </w:pPr>
      <w:rPr>
        <w:rFonts w:ascii="Wingdings" w:hAnsi="Wingdings" w:hint="default"/>
      </w:rPr>
    </w:lvl>
    <w:lvl w:ilvl="3">
      <w:start w:val="1"/>
      <w:numFmt w:val="bullet"/>
      <w:lvlText w:val=""/>
      <w:lvlJc w:val="left"/>
      <w:pPr>
        <w:tabs>
          <w:tab w:val="num" w:pos="3548"/>
        </w:tabs>
        <w:ind w:left="3548" w:hanging="360"/>
      </w:pPr>
      <w:rPr>
        <w:rFonts w:ascii="Symbol" w:hAnsi="Symbol" w:hint="default"/>
      </w:rPr>
    </w:lvl>
    <w:lvl w:ilvl="4">
      <w:start w:val="1"/>
      <w:numFmt w:val="bullet"/>
      <w:lvlText w:val="o"/>
      <w:lvlJc w:val="left"/>
      <w:pPr>
        <w:tabs>
          <w:tab w:val="num" w:pos="4268"/>
        </w:tabs>
        <w:ind w:left="4268" w:hanging="360"/>
      </w:pPr>
      <w:rPr>
        <w:rFonts w:ascii="Courier New" w:hAnsi="Courier New" w:cs="Courier New" w:hint="default"/>
      </w:rPr>
    </w:lvl>
    <w:lvl w:ilvl="5">
      <w:start w:val="1"/>
      <w:numFmt w:val="bullet"/>
      <w:lvlText w:val=""/>
      <w:lvlJc w:val="left"/>
      <w:pPr>
        <w:tabs>
          <w:tab w:val="num" w:pos="4988"/>
        </w:tabs>
        <w:ind w:left="4988" w:hanging="360"/>
      </w:pPr>
      <w:rPr>
        <w:rFonts w:ascii="Wingdings" w:hAnsi="Wingdings" w:hint="default"/>
      </w:rPr>
    </w:lvl>
    <w:lvl w:ilvl="6">
      <w:start w:val="1"/>
      <w:numFmt w:val="bullet"/>
      <w:lvlText w:val=""/>
      <w:lvlJc w:val="left"/>
      <w:pPr>
        <w:tabs>
          <w:tab w:val="num" w:pos="5708"/>
        </w:tabs>
        <w:ind w:left="5708" w:hanging="360"/>
      </w:pPr>
      <w:rPr>
        <w:rFonts w:ascii="Symbol" w:hAnsi="Symbol" w:hint="default"/>
      </w:rPr>
    </w:lvl>
    <w:lvl w:ilvl="7">
      <w:start w:val="1"/>
      <w:numFmt w:val="bullet"/>
      <w:lvlText w:val="o"/>
      <w:lvlJc w:val="left"/>
      <w:pPr>
        <w:tabs>
          <w:tab w:val="num" w:pos="6428"/>
        </w:tabs>
        <w:ind w:left="6428" w:hanging="360"/>
      </w:pPr>
      <w:rPr>
        <w:rFonts w:ascii="Courier New" w:hAnsi="Courier New" w:cs="Courier New" w:hint="default"/>
      </w:rPr>
    </w:lvl>
    <w:lvl w:ilvl="8">
      <w:start w:val="1"/>
      <w:numFmt w:val="bullet"/>
      <w:lvlText w:val=""/>
      <w:lvlJc w:val="left"/>
      <w:pPr>
        <w:tabs>
          <w:tab w:val="num" w:pos="7148"/>
        </w:tabs>
        <w:ind w:left="7148" w:hanging="360"/>
      </w:pPr>
      <w:rPr>
        <w:rFonts w:ascii="Wingdings" w:hAnsi="Wingdings" w:hint="default"/>
      </w:rPr>
    </w:lvl>
  </w:abstractNum>
  <w:abstractNum w:abstractNumId="33" w15:restartNumberingAfterBreak="0">
    <w:nsid w:val="76D473A4"/>
    <w:multiLevelType w:val="multilevel"/>
    <w:tmpl w:val="D85E4A62"/>
    <w:lvl w:ilvl="0">
      <w:start w:val="2"/>
      <w:numFmt w:val="decimal"/>
      <w:pStyle w:val="Paragraph"/>
      <w:lvlText w:val="%1."/>
      <w:lvlJc w:val="left"/>
      <w:pPr>
        <w:tabs>
          <w:tab w:val="num" w:pos="567"/>
        </w:tabs>
        <w:ind w:left="567" w:hanging="567"/>
      </w:pPr>
      <w:rPr>
        <w:rFonts w:cs="Times New Roman" w:hint="default"/>
      </w:rPr>
    </w:lvl>
    <w:lvl w:ilvl="1">
      <w:start w:val="1"/>
      <w:numFmt w:val="decimal"/>
      <w:lvlText w:val="(%2)"/>
      <w:lvlJc w:val="left"/>
      <w:pPr>
        <w:tabs>
          <w:tab w:val="num" w:pos="1134"/>
        </w:tabs>
        <w:ind w:left="1134" w:hanging="567"/>
      </w:pPr>
      <w:rPr>
        <w:rFonts w:cs="Times New Roman" w:hint="default"/>
      </w:rPr>
    </w:lvl>
    <w:lvl w:ilvl="2">
      <w:start w:val="1"/>
      <w:numFmt w:val="lowerLetter"/>
      <w:lvlText w:val="(%3)"/>
      <w:lvlJc w:val="left"/>
      <w:pPr>
        <w:tabs>
          <w:tab w:val="num" w:pos="1701"/>
        </w:tabs>
        <w:ind w:left="1701" w:hanging="567"/>
      </w:pPr>
      <w:rPr>
        <w:rFonts w:ascii="Times New Roman" w:hAnsi="Times New Roman" w:cs="Times New Roman" w:hint="default"/>
        <w:b w:val="0"/>
        <w:i w:val="0"/>
        <w:sz w:val="24"/>
      </w:rPr>
    </w:lvl>
    <w:lvl w:ilvl="3">
      <w:start w:val="1"/>
      <w:numFmt w:val="lowerRoman"/>
      <w:lvlText w:val="(%4)"/>
      <w:lvlJc w:val="left"/>
      <w:pPr>
        <w:tabs>
          <w:tab w:val="num" w:pos="2421"/>
        </w:tabs>
        <w:ind w:left="2268" w:hanging="567"/>
      </w:pPr>
      <w:rPr>
        <w:rFonts w:ascii="Times New Roman" w:hAnsi="Times New Roman" w:cs="Times New Roman" w:hint="default"/>
        <w:b w:val="0"/>
        <w:i w:val="0"/>
        <w:sz w:val="22"/>
      </w:rPr>
    </w:lvl>
    <w:lvl w:ilvl="4">
      <w:start w:val="1"/>
      <w:numFmt w:val="lowerLetter"/>
      <w:lvlText w:val="(%5)"/>
      <w:lvlJc w:val="left"/>
      <w:pPr>
        <w:tabs>
          <w:tab w:val="num" w:pos="2458"/>
        </w:tabs>
        <w:ind w:left="1800" w:firstLine="298"/>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34" w15:restartNumberingAfterBreak="0">
    <w:nsid w:val="770E22E9"/>
    <w:multiLevelType w:val="hybridMultilevel"/>
    <w:tmpl w:val="C6345952"/>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5" w15:restartNumberingAfterBreak="0">
    <w:nsid w:val="78047CCC"/>
    <w:multiLevelType w:val="hybridMultilevel"/>
    <w:tmpl w:val="74FA406E"/>
    <w:lvl w:ilvl="0" w:tplc="D2908324">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6" w15:restartNumberingAfterBreak="0">
    <w:nsid w:val="7F232B09"/>
    <w:multiLevelType w:val="hybridMultilevel"/>
    <w:tmpl w:val="57388A46"/>
    <w:lvl w:ilvl="0" w:tplc="F3E4FB9A">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14"/>
  </w:num>
  <w:num w:numId="3">
    <w:abstractNumId w:val="23"/>
  </w:num>
  <w:num w:numId="4">
    <w:abstractNumId w:val="9"/>
    <w:lvlOverride w:ilvl="0">
      <w:startOverride w:val="1"/>
    </w:lvlOverride>
  </w:num>
  <w:num w:numId="5">
    <w:abstractNumId w:val="26"/>
  </w:num>
  <w:num w:numId="6">
    <w:abstractNumId w:val="30"/>
  </w:num>
  <w:num w:numId="7">
    <w:abstractNumId w:val="9"/>
    <w:lvlOverride w:ilvl="0">
      <w:startOverride w:val="1"/>
    </w:lvlOverride>
  </w:num>
  <w:num w:numId="8">
    <w:abstractNumId w:val="32"/>
  </w:num>
  <w:num w:numId="9">
    <w:abstractNumId w:val="10"/>
  </w:num>
  <w:num w:numId="10">
    <w:abstractNumId w:val="10"/>
    <w:lvlOverride w:ilvl="0">
      <w:startOverride w:val="1"/>
    </w:lvlOverride>
  </w:num>
  <w:num w:numId="11">
    <w:abstractNumId w:val="7"/>
  </w:num>
  <w:num w:numId="12">
    <w:abstractNumId w:val="25"/>
  </w:num>
  <w:num w:numId="13">
    <w:abstractNumId w:val="28"/>
  </w:num>
  <w:num w:numId="14">
    <w:abstractNumId w:val="4"/>
  </w:num>
  <w:num w:numId="15">
    <w:abstractNumId w:val="17"/>
  </w:num>
  <w:num w:numId="16">
    <w:abstractNumId w:val="5"/>
  </w:num>
  <w:num w:numId="17">
    <w:abstractNumId w:val="24"/>
  </w:num>
  <w:num w:numId="18">
    <w:abstractNumId w:val="2"/>
  </w:num>
  <w:num w:numId="19">
    <w:abstractNumId w:val="1"/>
  </w:num>
  <w:num w:numId="20">
    <w:abstractNumId w:val="0"/>
  </w:num>
  <w:num w:numId="21">
    <w:abstractNumId w:val="8"/>
  </w:num>
  <w:num w:numId="22">
    <w:abstractNumId w:val="11"/>
  </w:num>
  <w:num w:numId="23">
    <w:abstractNumId w:val="16"/>
  </w:num>
  <w:num w:numId="24">
    <w:abstractNumId w:val="34"/>
  </w:num>
  <w:num w:numId="25">
    <w:abstractNumId w:val="18"/>
  </w:num>
  <w:num w:numId="26">
    <w:abstractNumId w:val="15"/>
  </w:num>
  <w:num w:numId="27">
    <w:abstractNumId w:val="33"/>
  </w:num>
  <w:num w:numId="28">
    <w:abstractNumId w:val="21"/>
  </w:num>
  <w:num w:numId="29">
    <w:abstractNumId w:val="3"/>
  </w:num>
  <w:num w:numId="30">
    <w:abstractNumId w:val="4"/>
    <w:lvlOverride w:ilvl="0">
      <w:startOverride w:val="1"/>
    </w:lvlOverride>
  </w:num>
  <w:num w:numId="31">
    <w:abstractNumId w:val="29"/>
  </w:num>
  <w:num w:numId="32">
    <w:abstractNumId w:val="27"/>
  </w:num>
  <w:num w:numId="33">
    <w:abstractNumId w:val="4"/>
    <w:lvlOverride w:ilvl="0">
      <w:startOverride w:val="1"/>
    </w:lvlOverride>
  </w:num>
  <w:num w:numId="34">
    <w:abstractNumId w:val="4"/>
    <w:lvlOverride w:ilvl="0">
      <w:startOverride w:val="1"/>
    </w:lvlOverride>
  </w:num>
  <w:num w:numId="35">
    <w:abstractNumId w:val="12"/>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35"/>
  </w:num>
  <w:num w:numId="39">
    <w:abstractNumId w:val="6"/>
  </w:num>
  <w:num w:numId="40">
    <w:abstractNumId w:val="31"/>
  </w:num>
  <w:num w:numId="41">
    <w:abstractNumId w:val="31"/>
    <w:lvlOverride w:ilvl="0">
      <w:startOverride w:val="1"/>
    </w:lvlOverride>
  </w:num>
  <w:num w:numId="42">
    <w:abstractNumId w:val="31"/>
    <w:lvlOverride w:ilvl="0">
      <w:startOverride w:val="1"/>
    </w:lvlOverride>
  </w:num>
  <w:num w:numId="43">
    <w:abstractNumId w:val="13"/>
  </w:num>
  <w:num w:numId="44">
    <w:abstractNumId w:val="19"/>
  </w:num>
  <w:num w:numId="45">
    <w:abstractNumId w:val="36"/>
    <w:lvlOverride w:ilvl="0">
      <w:startOverride w:val="1"/>
    </w:lvlOverride>
  </w:num>
  <w:num w:numId="46">
    <w:abstractNumId w:val="22"/>
  </w:num>
  <w:num w:numId="47">
    <w:abstractNumId w:val="20"/>
  </w:num>
  <w:num w:numId="48">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5B1"/>
    <w:rsid w:val="00026A0F"/>
    <w:rsid w:val="00062924"/>
    <w:rsid w:val="000A29B7"/>
    <w:rsid w:val="000E12A0"/>
    <w:rsid w:val="00114745"/>
    <w:rsid w:val="001B30E8"/>
    <w:rsid w:val="001B5D53"/>
    <w:rsid w:val="0025256B"/>
    <w:rsid w:val="00270632"/>
    <w:rsid w:val="00295A98"/>
    <w:rsid w:val="002E312D"/>
    <w:rsid w:val="002E7C73"/>
    <w:rsid w:val="00307D8A"/>
    <w:rsid w:val="00330BE7"/>
    <w:rsid w:val="003C69F4"/>
    <w:rsid w:val="003F2769"/>
    <w:rsid w:val="00410A22"/>
    <w:rsid w:val="00415019"/>
    <w:rsid w:val="00430E77"/>
    <w:rsid w:val="00431A2E"/>
    <w:rsid w:val="004524D3"/>
    <w:rsid w:val="00467D3F"/>
    <w:rsid w:val="00520DE2"/>
    <w:rsid w:val="00546BD8"/>
    <w:rsid w:val="0055403E"/>
    <w:rsid w:val="005F07A3"/>
    <w:rsid w:val="00623C65"/>
    <w:rsid w:val="00645D1F"/>
    <w:rsid w:val="006928E9"/>
    <w:rsid w:val="006A452C"/>
    <w:rsid w:val="006B4FEC"/>
    <w:rsid w:val="00767909"/>
    <w:rsid w:val="007756E7"/>
    <w:rsid w:val="007B561F"/>
    <w:rsid w:val="007C4CA4"/>
    <w:rsid w:val="007D72FB"/>
    <w:rsid w:val="007F04A5"/>
    <w:rsid w:val="00876758"/>
    <w:rsid w:val="00880CF3"/>
    <w:rsid w:val="008B72EE"/>
    <w:rsid w:val="008D2776"/>
    <w:rsid w:val="008E2EC3"/>
    <w:rsid w:val="009765B1"/>
    <w:rsid w:val="009C4720"/>
    <w:rsid w:val="009E2547"/>
    <w:rsid w:val="00A57DA0"/>
    <w:rsid w:val="00A83740"/>
    <w:rsid w:val="00AA3402"/>
    <w:rsid w:val="00B92E1C"/>
    <w:rsid w:val="00BA4C79"/>
    <w:rsid w:val="00CC2151"/>
    <w:rsid w:val="00CC6421"/>
    <w:rsid w:val="00CE4481"/>
    <w:rsid w:val="00D3546F"/>
    <w:rsid w:val="00D87A53"/>
    <w:rsid w:val="00D9692C"/>
    <w:rsid w:val="00D96D76"/>
    <w:rsid w:val="00DA177C"/>
    <w:rsid w:val="00DA2325"/>
    <w:rsid w:val="00E05407"/>
    <w:rsid w:val="00E1774A"/>
    <w:rsid w:val="00EB1EFA"/>
    <w:rsid w:val="00F751ED"/>
    <w:rsid w:val="00FA75EE"/>
    <w:rsid w:val="00FC1DF3"/>
    <w:rsid w:val="00FF04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550A44D"/>
  <w15:docId w15:val="{EB472E57-049F-4E2F-AA18-449B4892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4"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3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18"/>
      <w:szCs w:val="24"/>
      <w:lang w:eastAsia="en-US"/>
    </w:rPr>
  </w:style>
  <w:style w:type="paragraph" w:styleId="Heading1">
    <w:name w:val="heading 1"/>
    <w:basedOn w:val="Normal"/>
    <w:next w:val="Normal"/>
    <w:link w:val="Heading1Char"/>
    <w:uiPriority w:val="9"/>
    <w:qFormat/>
    <w:pPr>
      <w:autoSpaceDE w:val="0"/>
      <w:autoSpaceDN w:val="0"/>
      <w:adjustRightInd w:val="0"/>
      <w:outlineLvl w:val="0"/>
    </w:pPr>
    <w:rPr>
      <w:b/>
      <w:bCs/>
      <w:caps/>
      <w:sz w:val="23"/>
      <w:szCs w:val="23"/>
      <w:lang w:val="en-US"/>
    </w:rPr>
  </w:style>
  <w:style w:type="paragraph" w:styleId="Heading2">
    <w:name w:val="heading 2"/>
    <w:basedOn w:val="Normal"/>
    <w:next w:val="Normal"/>
    <w:link w:val="Heading2Char"/>
    <w:uiPriority w:val="9"/>
    <w:qFormat/>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cs="Arial"/>
      <w:b/>
      <w:bCs/>
      <w:sz w:val="26"/>
      <w:szCs w:val="26"/>
    </w:rPr>
  </w:style>
  <w:style w:type="paragraph" w:styleId="Heading4">
    <w:name w:val="heading 4"/>
    <w:basedOn w:val="Normal"/>
    <w:next w:val="Normal"/>
    <w:link w:val="Heading4Char"/>
    <w:uiPriority w:val="9"/>
    <w:qFormat/>
    <w:pPr>
      <w:keepNext/>
      <w:spacing w:before="240" w:after="60"/>
      <w:outlineLvl w:val="3"/>
    </w:pPr>
    <w:rPr>
      <w:b/>
      <w:bCs/>
      <w:i/>
      <w:sz w:val="22"/>
      <w:szCs w:val="28"/>
    </w:rPr>
  </w:style>
  <w:style w:type="paragraph" w:styleId="Heading5">
    <w:name w:val="heading 5"/>
    <w:aliases w:val="H5"/>
    <w:basedOn w:val="Normal"/>
    <w:next w:val="Normal"/>
    <w:link w:val="Heading5Char"/>
    <w:uiPriority w:val="4"/>
    <w:unhideWhenUsed/>
    <w:qFormat/>
    <w:rsid w:val="006B4FEC"/>
    <w:pPr>
      <w:keepNext/>
      <w:keepLines/>
      <w:spacing w:before="40"/>
      <w:outlineLvl w:val="4"/>
    </w:pPr>
    <w:rPr>
      <w:rFonts w:asciiTheme="majorHAnsi" w:eastAsiaTheme="majorEastAsia" w:hAnsiTheme="majorHAnsi" w:cstheme="majorBidi"/>
      <w:color w:val="365F91" w:themeColor="accent1" w:themeShade="BF"/>
      <w:sz w:val="24"/>
    </w:rPr>
  </w:style>
  <w:style w:type="paragraph" w:styleId="Heading6">
    <w:name w:val="heading 6"/>
    <w:basedOn w:val="Normal"/>
    <w:next w:val="Normal"/>
    <w:link w:val="Heading6Char"/>
    <w:uiPriority w:val="9"/>
    <w:qFormat/>
    <w:pPr>
      <w:spacing w:before="240" w:after="60"/>
      <w:outlineLvl w:val="5"/>
    </w:pPr>
    <w:rPr>
      <w:rFonts w:ascii="Times New Roman" w:hAnsi="Times New Roman"/>
      <w:b/>
      <w:bCs/>
      <w:sz w:val="22"/>
      <w:szCs w:val="22"/>
    </w:rPr>
  </w:style>
  <w:style w:type="paragraph" w:styleId="Heading7">
    <w:name w:val="heading 7"/>
    <w:basedOn w:val="Normal"/>
    <w:next w:val="Normal"/>
    <w:link w:val="Heading7Char"/>
    <w:uiPriority w:val="9"/>
    <w:qFormat/>
    <w:pPr>
      <w:spacing w:before="240" w:after="60"/>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left" w:pos="3780"/>
        <w:tab w:val="right" w:pos="9757"/>
      </w:tabs>
      <w:autoSpaceDE w:val="0"/>
      <w:autoSpaceDN w:val="0"/>
      <w:adjustRightInd w:val="0"/>
    </w:pPr>
    <w:rPr>
      <w:rFonts w:cs="Times-Italic"/>
      <w:i/>
      <w:iCs/>
      <w:sz w:val="17"/>
      <w:szCs w:val="17"/>
      <w:lang w:val="en-US"/>
    </w:rPr>
  </w:style>
  <w:style w:type="paragraph" w:styleId="Footer">
    <w:name w:val="footer"/>
    <w:basedOn w:val="Normal"/>
    <w:link w:val="FooterChar"/>
    <w:uiPriority w:val="99"/>
    <w:pPr>
      <w:tabs>
        <w:tab w:val="center" w:pos="4320"/>
        <w:tab w:val="right" w:pos="8640"/>
      </w:tabs>
    </w:pPr>
    <w:rPr>
      <w:i/>
      <w:sz w:val="16"/>
    </w:rPr>
  </w:style>
  <w:style w:type="character" w:styleId="PageNumber">
    <w:name w:val="page number"/>
    <w:basedOn w:val="DefaultParagraphFont"/>
    <w:uiPriority w:val="99"/>
    <w:semiHidden/>
  </w:style>
  <w:style w:type="paragraph" w:customStyle="1" w:styleId="GazetteSectionHeading">
    <w:name w:val="Gazette Section Heading"/>
    <w:basedOn w:val="Normal"/>
    <w:next w:val="BodyText"/>
    <w:pPr>
      <w:keepNext/>
      <w:pageBreakBefore/>
      <w:spacing w:after="240"/>
    </w:pPr>
    <w:rPr>
      <w:b/>
      <w:caps/>
      <w:sz w:val="23"/>
    </w:rPr>
  </w:style>
  <w:style w:type="paragraph" w:styleId="BodyText">
    <w:name w:val="Body Text"/>
    <w:basedOn w:val="Normal"/>
    <w:link w:val="BodyTextChar"/>
    <w:uiPriority w:val="99"/>
    <w:semiHidden/>
    <w:pPr>
      <w:spacing w:before="240" w:after="240" w:line="280" w:lineRule="exact"/>
    </w:pPr>
  </w:style>
  <w:style w:type="paragraph" w:customStyle="1" w:styleId="GazetteHeading1">
    <w:name w:val="Gazette Heading 1"/>
    <w:basedOn w:val="Normal"/>
    <w:next w:val="BodyText"/>
    <w:rsid w:val="00FA75EE"/>
    <w:pPr>
      <w:spacing w:before="240" w:after="120"/>
      <w:outlineLvl w:val="0"/>
    </w:pPr>
    <w:rPr>
      <w:b/>
      <w:sz w:val="22"/>
      <w:szCs w:val="20"/>
    </w:rPr>
  </w:style>
  <w:style w:type="paragraph" w:customStyle="1" w:styleId="GazetteHeading2">
    <w:name w:val="Gazette Heading 2"/>
    <w:basedOn w:val="BodyText"/>
    <w:next w:val="BodyText"/>
    <w:pPr>
      <w:keepNext/>
      <w:tabs>
        <w:tab w:val="left" w:pos="360"/>
      </w:tabs>
    </w:pPr>
    <w:rPr>
      <w:rFonts w:ascii="Arial Bold" w:hAnsi="Arial Bold"/>
      <w:b/>
      <w:caps/>
      <w:szCs w:val="20"/>
    </w:rPr>
  </w:style>
  <w:style w:type="paragraph" w:customStyle="1" w:styleId="GazetteTableHeading">
    <w:name w:val="Gazette Table Heading"/>
    <w:basedOn w:val="Normal"/>
    <w:pPr>
      <w:spacing w:before="60" w:after="60" w:line="280" w:lineRule="atLeast"/>
    </w:pPr>
    <w:rPr>
      <w:b/>
    </w:rPr>
  </w:style>
  <w:style w:type="paragraph" w:customStyle="1" w:styleId="GazetteTableText">
    <w:name w:val="Gazette Table Text"/>
    <w:basedOn w:val="Normal"/>
    <w:pPr>
      <w:spacing w:before="60" w:after="60" w:line="280" w:lineRule="exact"/>
    </w:pPr>
    <w:rPr>
      <w:iCs/>
    </w:rPr>
  </w:style>
  <w:style w:type="paragraph" w:customStyle="1" w:styleId="GazetteAPVMAContact">
    <w:name w:val="Gazette APVMA Contact"/>
    <w:basedOn w:val="Normal"/>
    <w:pPr>
      <w:spacing w:after="40"/>
      <w:ind w:left="540"/>
    </w:pPr>
  </w:style>
  <w:style w:type="paragraph" w:customStyle="1" w:styleId="RegistrationFieldName">
    <w:name w:val="Registration Field Name"/>
    <w:basedOn w:val="Normal"/>
    <w:rsid w:val="00876758"/>
    <w:pPr>
      <w:keepNext/>
      <w:tabs>
        <w:tab w:val="left" w:pos="2700"/>
      </w:tabs>
      <w:spacing w:before="40"/>
    </w:pPr>
    <w:rPr>
      <w:rFonts w:ascii="Arial Bold" w:hAnsi="Arial Bold"/>
      <w:b/>
      <w:sz w:val="16"/>
    </w:rPr>
  </w:style>
  <w:style w:type="paragraph" w:styleId="BodyTextIndent">
    <w:name w:val="Body Text Indent"/>
    <w:basedOn w:val="Normal"/>
    <w:link w:val="BodyTextIndentChar"/>
    <w:uiPriority w:val="99"/>
    <w:semiHidden/>
    <w:pPr>
      <w:spacing w:before="240" w:after="240" w:line="280" w:lineRule="exact"/>
      <w:ind w:left="454"/>
    </w:pPr>
  </w:style>
  <w:style w:type="paragraph" w:customStyle="1" w:styleId="RegistrationProductDetails">
    <w:name w:val="Registration Product Details"/>
    <w:basedOn w:val="Normal"/>
    <w:pPr>
      <w:spacing w:before="40" w:after="40"/>
    </w:pPr>
    <w:rPr>
      <w:color w:val="000000"/>
      <w:spacing w:val="4"/>
      <w:sz w:val="16"/>
    </w:rPr>
  </w:style>
  <w:style w:type="paragraph" w:styleId="TOC2">
    <w:name w:val="toc 2"/>
    <w:basedOn w:val="Normal"/>
    <w:next w:val="Normal"/>
    <w:autoRedefine/>
    <w:uiPriority w:val="39"/>
    <w:rsid w:val="003C69F4"/>
    <w:pPr>
      <w:tabs>
        <w:tab w:val="right" w:leader="dot" w:pos="9967"/>
      </w:tabs>
      <w:ind w:left="198"/>
    </w:pPr>
    <w:rPr>
      <w:i/>
      <w:noProof/>
      <w:szCs w:val="22"/>
    </w:rPr>
  </w:style>
  <w:style w:type="paragraph" w:styleId="TOC1">
    <w:name w:val="toc 1"/>
    <w:basedOn w:val="Normal"/>
    <w:next w:val="Normal"/>
    <w:autoRedefine/>
    <w:uiPriority w:val="39"/>
    <w:pPr>
      <w:tabs>
        <w:tab w:val="right" w:pos="9968"/>
      </w:tabs>
      <w:spacing w:before="240" w:after="60"/>
    </w:pPr>
    <w:rPr>
      <w:b/>
      <w:noProof/>
    </w:rPr>
  </w:style>
  <w:style w:type="character" w:styleId="Hyperlink">
    <w:name w:val="Hyperlink"/>
    <w:uiPriority w:val="99"/>
    <w:rPr>
      <w:color w:val="0000FF"/>
      <w:u w:val="single"/>
    </w:rPr>
  </w:style>
  <w:style w:type="paragraph" w:customStyle="1" w:styleId="GazetteList-RomanNumerals">
    <w:name w:val="Gazette List - Roman Numerals"/>
    <w:basedOn w:val="BodyText"/>
    <w:pPr>
      <w:numPr>
        <w:numId w:val="1"/>
      </w:numPr>
    </w:pPr>
  </w:style>
  <w:style w:type="paragraph" w:customStyle="1" w:styleId="GazetteImprintText">
    <w:name w:val="Gazette Imprint Text"/>
    <w:basedOn w:val="Normal"/>
    <w:pPr>
      <w:spacing w:before="120" w:after="120" w:line="280" w:lineRule="atLeast"/>
    </w:pPr>
    <w:rPr>
      <w:rFonts w:cs="Times New Roman PSMT"/>
      <w:color w:val="000000"/>
      <w:spacing w:val="4"/>
      <w:sz w:val="16"/>
      <w:szCs w:val="16"/>
    </w:rPr>
  </w:style>
  <w:style w:type="paragraph" w:customStyle="1" w:styleId="GazetteInstructionalText">
    <w:name w:val="Gazette Instructional Text"/>
    <w:basedOn w:val="BodyText"/>
    <w:rPr>
      <w:color w:val="3366FF"/>
    </w:rPr>
  </w:style>
  <w:style w:type="paragraph" w:styleId="FootnoteText">
    <w:name w:val="footnote text"/>
    <w:aliases w:val="APVMA_Footnote"/>
    <w:basedOn w:val="Normal"/>
    <w:link w:val="FootnoteTextChar"/>
    <w:uiPriority w:val="31"/>
    <w:pPr>
      <w:spacing w:after="40"/>
    </w:pPr>
    <w:rPr>
      <w:sz w:val="16"/>
      <w:szCs w:val="20"/>
    </w:rPr>
  </w:style>
  <w:style w:type="character" w:styleId="FootnoteReference">
    <w:name w:val="footnote reference"/>
    <w:uiPriority w:val="31"/>
    <w:rPr>
      <w:rFonts w:ascii="Arial" w:hAnsi="Arial"/>
      <w:sz w:val="16"/>
      <w:vertAlign w:val="superscript"/>
    </w:rPr>
  </w:style>
  <w:style w:type="paragraph" w:customStyle="1" w:styleId="GazetteTableBullet">
    <w:name w:val="Gazette Table Bullet"/>
    <w:basedOn w:val="Normal"/>
    <w:pPr>
      <w:numPr>
        <w:numId w:val="6"/>
      </w:numPr>
    </w:pPr>
  </w:style>
  <w:style w:type="paragraph" w:customStyle="1" w:styleId="GazetteTableSub-heading">
    <w:name w:val="Gazette Table Sub-heading"/>
    <w:basedOn w:val="GazetteTableText"/>
    <w:pPr>
      <w:spacing w:before="120" w:after="120"/>
    </w:pPr>
    <w:rPr>
      <w:b/>
      <w:bCs/>
      <w:color w:val="000000"/>
    </w:rPr>
  </w:style>
  <w:style w:type="paragraph" w:customStyle="1" w:styleId="LicensingCategoryBullet">
    <w:name w:val="Licensing Category Bullet"/>
    <w:basedOn w:val="GazetteTableBullet"/>
    <w:pPr>
      <w:tabs>
        <w:tab w:val="clear" w:pos="680"/>
        <w:tab w:val="num" w:pos="668"/>
      </w:tabs>
      <w:spacing w:after="40"/>
      <w:ind w:left="669" w:hanging="397"/>
    </w:pPr>
  </w:style>
  <w:style w:type="paragraph" w:styleId="DocumentMap">
    <w:name w:val="Document Map"/>
    <w:basedOn w:val="Normal"/>
    <w:link w:val="DocumentMapChar"/>
    <w:uiPriority w:val="99"/>
    <w:semiHidden/>
    <w:pPr>
      <w:shd w:val="clear" w:color="auto" w:fill="000080"/>
    </w:pPr>
    <w:rPr>
      <w:rFonts w:ascii="Tahoma" w:hAnsi="Tahoma"/>
      <w:sz w:val="24"/>
      <w:szCs w:val="20"/>
      <w:lang w:val="en-GB"/>
    </w:rPr>
  </w:style>
  <w:style w:type="paragraph" w:customStyle="1" w:styleId="GazetteCoverBox">
    <w:name w:val="Gazette Cover Box"/>
    <w:basedOn w:val="Normal"/>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customStyle="1" w:styleId="GazetteBulletList">
    <w:name w:val="Gazette Bullet List"/>
    <w:basedOn w:val="Normal"/>
    <w:pPr>
      <w:numPr>
        <w:numId w:val="11"/>
      </w:numPr>
    </w:pPr>
    <w:rPr>
      <w:lang w:val="en-US"/>
    </w:rPr>
  </w:style>
  <w:style w:type="character" w:styleId="Strong">
    <w:name w:val="Strong"/>
    <w:uiPriority w:val="22"/>
    <w:qFormat/>
    <w:rPr>
      <w:b/>
      <w:bCs/>
    </w:rPr>
  </w:style>
  <w:style w:type="paragraph" w:customStyle="1" w:styleId="MRLTableCaption">
    <w:name w:val="MRL Table Caption"/>
    <w:basedOn w:val="Normal"/>
    <w:next w:val="BodyText"/>
    <w:pPr>
      <w:keepNext/>
      <w:spacing w:before="360" w:after="120" w:line="280" w:lineRule="atLeast"/>
      <w:ind w:left="1134" w:hanging="1134"/>
    </w:pPr>
    <w:rPr>
      <w:rFonts w:ascii="Arial Bold" w:hAnsi="Arial Bold"/>
      <w:b/>
      <w:caps/>
      <w:spacing w:val="6"/>
    </w:rPr>
  </w:style>
  <w:style w:type="paragraph" w:styleId="Caption">
    <w:name w:val="caption"/>
    <w:aliases w:val="APVMA_Caption"/>
    <w:basedOn w:val="Normal"/>
    <w:next w:val="Normal"/>
    <w:uiPriority w:val="35"/>
    <w:qFormat/>
    <w:rPr>
      <w:b/>
      <w:bCs/>
      <w:szCs w:val="20"/>
    </w:rPr>
  </w:style>
  <w:style w:type="paragraph" w:customStyle="1" w:styleId="GazetteNumber">
    <w:name w:val="Gazette Number"/>
    <w:basedOn w:val="Normal"/>
    <w:pPr>
      <w:spacing w:before="120"/>
      <w:ind w:left="-14"/>
    </w:pPr>
    <w:rPr>
      <w:rFonts w:cs="Arial"/>
      <w:bCs/>
      <w:sz w:val="28"/>
      <w:szCs w:val="28"/>
    </w:rPr>
  </w:style>
  <w:style w:type="paragraph" w:customStyle="1" w:styleId="GazettePublisher">
    <w:name w:val="Gazette Publisher"/>
    <w:basedOn w:val="Normal"/>
    <w:pPr>
      <w:spacing w:before="140" w:after="80"/>
      <w:ind w:left="-14"/>
    </w:pPr>
    <w:rPr>
      <w:rFonts w:ascii="Calibri" w:hAnsi="Calibri"/>
      <w:bCs/>
      <w:color w:val="0F0000"/>
      <w:sz w:val="16"/>
      <w:szCs w:val="16"/>
    </w:rPr>
  </w:style>
  <w:style w:type="paragraph" w:customStyle="1" w:styleId="LicensingCompanyName">
    <w:name w:val="Licensing Company Name"/>
    <w:basedOn w:val="Normal"/>
    <w:pPr>
      <w:spacing w:before="60" w:line="280" w:lineRule="atLeast"/>
    </w:pPr>
    <w:rPr>
      <w:b/>
      <w:caps/>
    </w:rPr>
  </w:style>
  <w:style w:type="paragraph" w:customStyle="1" w:styleId="MRLTableHeading">
    <w:name w:val="MRL Table Heading"/>
    <w:basedOn w:val="Normal"/>
    <w:pPr>
      <w:spacing w:before="60" w:after="60"/>
    </w:pPr>
    <w:rPr>
      <w:rFonts w:ascii="Arial Bold" w:hAnsi="Arial Bold"/>
      <w:b/>
      <w:caps/>
    </w:rPr>
  </w:style>
  <w:style w:type="paragraph" w:customStyle="1" w:styleId="MRLActiveName">
    <w:name w:val="MRL Active Name"/>
    <w:basedOn w:val="Normal"/>
    <w:pPr>
      <w:spacing w:before="120" w:after="120"/>
    </w:pPr>
    <w:rPr>
      <w:b/>
      <w:bCs/>
    </w:rPr>
  </w:style>
  <w:style w:type="paragraph" w:customStyle="1" w:styleId="MRLTableText">
    <w:name w:val="MRL Table Text"/>
    <w:basedOn w:val="Normal"/>
    <w:pPr>
      <w:spacing w:before="60" w:after="60" w:line="280" w:lineRule="exact"/>
    </w:pPr>
  </w:style>
  <w:style w:type="paragraph" w:customStyle="1" w:styleId="MRLCompound">
    <w:name w:val="MRL Compound"/>
    <w:basedOn w:val="MRLTableText"/>
    <w:pPr>
      <w:tabs>
        <w:tab w:val="left" w:pos="972"/>
      </w:tabs>
      <w:ind w:left="432"/>
    </w:pPr>
  </w:style>
  <w:style w:type="paragraph" w:customStyle="1" w:styleId="GazetteTableCaption">
    <w:name w:val="Gazette Table Caption"/>
    <w:basedOn w:val="Normal"/>
    <w:rPr>
      <w:b/>
      <w:sz w:val="16"/>
    </w:rPr>
  </w:style>
  <w:style w:type="paragraph" w:customStyle="1" w:styleId="GazetteTableNotes">
    <w:name w:val="Gazette Table Notes"/>
    <w:basedOn w:val="Normal"/>
    <w:pPr>
      <w:spacing w:before="120" w:after="120"/>
    </w:pPr>
  </w:style>
  <w:style w:type="character" w:styleId="Emphasis">
    <w:name w:val="Emphasis"/>
    <w:uiPriority w:val="20"/>
    <w:qFormat/>
    <w:rPr>
      <w:i/>
      <w:iCs/>
    </w:rPr>
  </w:style>
  <w:style w:type="paragraph" w:customStyle="1" w:styleId="LicensingHeading2">
    <w:name w:val="Licensing Heading 2"/>
    <w:basedOn w:val="GazetteHeading2"/>
    <w:next w:val="Normal"/>
    <w:pPr>
      <w:numPr>
        <w:numId w:val="13"/>
      </w:numPr>
      <w:tabs>
        <w:tab w:val="clear" w:pos="360"/>
      </w:tabs>
    </w:pPr>
  </w:style>
  <w:style w:type="paragraph" w:customStyle="1" w:styleId="RegistrationHeading2">
    <w:name w:val="Registration Heading 2"/>
    <w:basedOn w:val="GazetteHeading2"/>
    <w:next w:val="Normal"/>
    <w:pPr>
      <w:numPr>
        <w:numId w:val="9"/>
      </w:numPr>
    </w:pPr>
  </w:style>
  <w:style w:type="paragraph" w:customStyle="1" w:styleId="LicensingTableText">
    <w:name w:val="Licensing Table Text"/>
    <w:basedOn w:val="GazetteTableText"/>
    <w:pPr>
      <w:keepNext/>
    </w:pPr>
    <w:rPr>
      <w:bCs/>
    </w:rPr>
  </w:style>
  <w:style w:type="paragraph" w:customStyle="1" w:styleId="InstructionalText">
    <w:name w:val="Instructional Text"/>
    <w:basedOn w:val="Normal"/>
    <w:pPr>
      <w:spacing w:before="240" w:after="240" w:line="280" w:lineRule="exact"/>
    </w:pPr>
    <w:rPr>
      <w:color w:val="3366FF"/>
    </w:rPr>
  </w:style>
  <w:style w:type="paragraph" w:styleId="BalloonText">
    <w:name w:val="Balloon Text"/>
    <w:basedOn w:val="Normal"/>
    <w:link w:val="BalloonTextChar"/>
    <w:uiPriority w:val="99"/>
    <w:semiHidden/>
    <w:unhideWhenUsed/>
    <w:rsid w:val="0055403E"/>
    <w:rPr>
      <w:rFonts w:ascii="Tahoma" w:hAnsi="Tahoma" w:cs="Tahoma"/>
      <w:sz w:val="16"/>
      <w:szCs w:val="16"/>
    </w:rPr>
  </w:style>
  <w:style w:type="character" w:customStyle="1" w:styleId="LicensingCategoryBulletChar">
    <w:name w:val="Licensing Category Bullet Char"/>
    <w:rPr>
      <w:rFonts w:ascii="Arial" w:hAnsi="Arial"/>
      <w:sz w:val="18"/>
      <w:szCs w:val="24"/>
      <w:lang w:val="en-AU" w:eastAsia="en-US" w:bidi="ar-SA"/>
    </w:rPr>
  </w:style>
  <w:style w:type="paragraph" w:customStyle="1" w:styleId="GazetteList-Alpha">
    <w:name w:val="Gazette List - Alpha"/>
    <w:basedOn w:val="Normal"/>
    <w:pPr>
      <w:numPr>
        <w:numId w:val="14"/>
      </w:numPr>
      <w:suppressAutoHyphens/>
      <w:spacing w:before="120" w:after="120" w:line="280" w:lineRule="exact"/>
    </w:pPr>
    <w:rPr>
      <w:rFonts w:cs="Arial"/>
      <w:sz w:val="20"/>
      <w:u w:color="000000"/>
    </w:rPr>
  </w:style>
  <w:style w:type="paragraph" w:customStyle="1" w:styleId="GazetteList-Numbered">
    <w:name w:val="Gazette List - Numbered"/>
    <w:basedOn w:val="Normal"/>
    <w:pPr>
      <w:numPr>
        <w:numId w:val="16"/>
      </w:numPr>
      <w:suppressAutoHyphens/>
      <w:spacing w:before="120" w:after="120" w:line="280" w:lineRule="exact"/>
    </w:pPr>
    <w:rPr>
      <w:rFonts w:cs="Arial"/>
      <w:sz w:val="20"/>
      <w:u w:color="000000"/>
    </w:rPr>
  </w:style>
  <w:style w:type="paragraph" w:customStyle="1" w:styleId="MRLValue">
    <w:name w:val="MRL Value"/>
    <w:basedOn w:val="MRLTableText"/>
    <w:pPr>
      <w:tabs>
        <w:tab w:val="decimal" w:pos="612"/>
      </w:tabs>
    </w:pPr>
  </w:style>
  <w:style w:type="character" w:customStyle="1" w:styleId="BalloonTextChar">
    <w:name w:val="Balloon Text Char"/>
    <w:link w:val="BalloonText"/>
    <w:uiPriority w:val="99"/>
    <w:semiHidden/>
    <w:rsid w:val="0055403E"/>
    <w:rPr>
      <w:rFonts w:ascii="Tahoma" w:hAnsi="Tahoma" w:cs="Tahoma"/>
      <w:sz w:val="16"/>
      <w:szCs w:val="16"/>
      <w:lang w:eastAsia="en-US"/>
    </w:rPr>
  </w:style>
  <w:style w:type="character" w:styleId="FollowedHyperlink">
    <w:name w:val="FollowedHyperlink"/>
    <w:basedOn w:val="DefaultParagraphFont"/>
    <w:uiPriority w:val="99"/>
    <w:semiHidden/>
    <w:unhideWhenUsed/>
    <w:rsid w:val="00D87A53"/>
    <w:rPr>
      <w:color w:val="800080" w:themeColor="followedHyperlink"/>
      <w:u w:val="single"/>
    </w:rPr>
  </w:style>
  <w:style w:type="character" w:customStyle="1" w:styleId="Heading1Char">
    <w:name w:val="Heading 1 Char"/>
    <w:basedOn w:val="DefaultParagraphFont"/>
    <w:link w:val="Heading1"/>
    <w:uiPriority w:val="9"/>
    <w:locked/>
    <w:rsid w:val="00876758"/>
    <w:rPr>
      <w:rFonts w:ascii="Arial" w:hAnsi="Arial"/>
      <w:b/>
      <w:bCs/>
      <w:caps/>
      <w:sz w:val="23"/>
      <w:szCs w:val="23"/>
      <w:lang w:val="en-US" w:eastAsia="en-US"/>
    </w:rPr>
  </w:style>
  <w:style w:type="character" w:customStyle="1" w:styleId="Heading2Char">
    <w:name w:val="Heading 2 Char"/>
    <w:basedOn w:val="DefaultParagraphFont"/>
    <w:link w:val="Heading2"/>
    <w:uiPriority w:val="9"/>
    <w:locked/>
    <w:rsid w:val="00876758"/>
    <w:rPr>
      <w:rFonts w:ascii="Arial" w:hAnsi="Arial" w:cs="Arial"/>
      <w:b/>
      <w:bCs/>
      <w:i/>
      <w:iCs/>
      <w:sz w:val="28"/>
      <w:szCs w:val="28"/>
      <w:lang w:eastAsia="en-US"/>
    </w:rPr>
  </w:style>
  <w:style w:type="character" w:customStyle="1" w:styleId="Heading3Char">
    <w:name w:val="Heading 3 Char"/>
    <w:basedOn w:val="DefaultParagraphFont"/>
    <w:link w:val="Heading3"/>
    <w:uiPriority w:val="9"/>
    <w:locked/>
    <w:rsid w:val="00876758"/>
    <w:rPr>
      <w:rFonts w:ascii="Arial" w:hAnsi="Arial" w:cs="Arial"/>
      <w:b/>
      <w:bCs/>
      <w:sz w:val="26"/>
      <w:szCs w:val="26"/>
      <w:lang w:eastAsia="en-US"/>
    </w:rPr>
  </w:style>
  <w:style w:type="character" w:customStyle="1" w:styleId="Heading4Char">
    <w:name w:val="Heading 4 Char"/>
    <w:basedOn w:val="DefaultParagraphFont"/>
    <w:link w:val="Heading4"/>
    <w:uiPriority w:val="9"/>
    <w:locked/>
    <w:rsid w:val="00876758"/>
    <w:rPr>
      <w:rFonts w:ascii="Arial" w:hAnsi="Arial"/>
      <w:b/>
      <w:bCs/>
      <w:i/>
      <w:sz w:val="22"/>
      <w:szCs w:val="28"/>
      <w:lang w:eastAsia="en-US"/>
    </w:rPr>
  </w:style>
  <w:style w:type="character" w:customStyle="1" w:styleId="Heading6Char">
    <w:name w:val="Heading 6 Char"/>
    <w:basedOn w:val="DefaultParagraphFont"/>
    <w:link w:val="Heading6"/>
    <w:uiPriority w:val="9"/>
    <w:locked/>
    <w:rsid w:val="00876758"/>
    <w:rPr>
      <w:b/>
      <w:bCs/>
      <w:sz w:val="22"/>
      <w:szCs w:val="22"/>
      <w:lang w:eastAsia="en-US"/>
    </w:rPr>
  </w:style>
  <w:style w:type="character" w:customStyle="1" w:styleId="Heading7Char">
    <w:name w:val="Heading 7 Char"/>
    <w:basedOn w:val="DefaultParagraphFont"/>
    <w:link w:val="Heading7"/>
    <w:uiPriority w:val="9"/>
    <w:locked/>
    <w:rsid w:val="00876758"/>
    <w:rPr>
      <w:sz w:val="24"/>
      <w:szCs w:val="24"/>
      <w:lang w:eastAsia="en-US"/>
    </w:rPr>
  </w:style>
  <w:style w:type="character" w:customStyle="1" w:styleId="HeaderChar">
    <w:name w:val="Header Char"/>
    <w:basedOn w:val="DefaultParagraphFont"/>
    <w:link w:val="Header"/>
    <w:uiPriority w:val="99"/>
    <w:locked/>
    <w:rsid w:val="00876758"/>
    <w:rPr>
      <w:rFonts w:ascii="Arial" w:hAnsi="Arial" w:cs="Times-Italic"/>
      <w:i/>
      <w:iCs/>
      <w:sz w:val="17"/>
      <w:szCs w:val="17"/>
      <w:lang w:val="en-US" w:eastAsia="en-US"/>
    </w:rPr>
  </w:style>
  <w:style w:type="character" w:customStyle="1" w:styleId="FooterChar">
    <w:name w:val="Footer Char"/>
    <w:basedOn w:val="DefaultParagraphFont"/>
    <w:link w:val="Footer"/>
    <w:uiPriority w:val="99"/>
    <w:locked/>
    <w:rsid w:val="00876758"/>
    <w:rPr>
      <w:rFonts w:ascii="Arial" w:hAnsi="Arial"/>
      <w:i/>
      <w:sz w:val="16"/>
      <w:szCs w:val="24"/>
      <w:lang w:eastAsia="en-US"/>
    </w:rPr>
  </w:style>
  <w:style w:type="character" w:customStyle="1" w:styleId="BodyTextChar">
    <w:name w:val="Body Text Char"/>
    <w:basedOn w:val="DefaultParagraphFont"/>
    <w:link w:val="BodyText"/>
    <w:uiPriority w:val="99"/>
    <w:semiHidden/>
    <w:locked/>
    <w:rsid w:val="00876758"/>
    <w:rPr>
      <w:rFonts w:ascii="Arial" w:hAnsi="Arial"/>
      <w:sz w:val="18"/>
      <w:szCs w:val="24"/>
      <w:lang w:eastAsia="en-US"/>
    </w:rPr>
  </w:style>
  <w:style w:type="character" w:customStyle="1" w:styleId="BodyTextIndentChar">
    <w:name w:val="Body Text Indent Char"/>
    <w:basedOn w:val="DefaultParagraphFont"/>
    <w:link w:val="BodyTextIndent"/>
    <w:uiPriority w:val="99"/>
    <w:semiHidden/>
    <w:locked/>
    <w:rsid w:val="00876758"/>
    <w:rPr>
      <w:rFonts w:ascii="Arial" w:hAnsi="Arial"/>
      <w:sz w:val="18"/>
      <w:szCs w:val="24"/>
      <w:lang w:eastAsia="en-US"/>
    </w:rPr>
  </w:style>
  <w:style w:type="character" w:customStyle="1" w:styleId="FootnoteTextChar">
    <w:name w:val="Footnote Text Char"/>
    <w:aliases w:val="APVMA_Footnote Char"/>
    <w:basedOn w:val="DefaultParagraphFont"/>
    <w:link w:val="FootnoteText"/>
    <w:uiPriority w:val="4"/>
    <w:locked/>
    <w:rsid w:val="00876758"/>
    <w:rPr>
      <w:rFonts w:ascii="Arial" w:hAnsi="Arial"/>
      <w:sz w:val="16"/>
      <w:lang w:eastAsia="en-US"/>
    </w:rPr>
  </w:style>
  <w:style w:type="character" w:customStyle="1" w:styleId="DocumentMapChar">
    <w:name w:val="Document Map Char"/>
    <w:basedOn w:val="DefaultParagraphFont"/>
    <w:link w:val="DocumentMap"/>
    <w:uiPriority w:val="99"/>
    <w:semiHidden/>
    <w:locked/>
    <w:rsid w:val="00876758"/>
    <w:rPr>
      <w:rFonts w:ascii="Tahoma" w:hAnsi="Tahoma"/>
      <w:sz w:val="24"/>
      <w:shd w:val="clear" w:color="auto" w:fill="000080"/>
      <w:lang w:val="en-GB" w:eastAsia="en-US"/>
    </w:rPr>
  </w:style>
  <w:style w:type="paragraph" w:styleId="BodyText2">
    <w:name w:val="Body Text 2"/>
    <w:basedOn w:val="Normal"/>
    <w:link w:val="BodyText2Char"/>
    <w:uiPriority w:val="99"/>
    <w:semiHidden/>
    <w:unhideWhenUsed/>
    <w:rsid w:val="00876758"/>
    <w:pPr>
      <w:spacing w:after="120" w:line="480" w:lineRule="auto"/>
    </w:pPr>
  </w:style>
  <w:style w:type="character" w:customStyle="1" w:styleId="BodyText2Char">
    <w:name w:val="Body Text 2 Char"/>
    <w:basedOn w:val="DefaultParagraphFont"/>
    <w:link w:val="BodyText2"/>
    <w:uiPriority w:val="99"/>
    <w:semiHidden/>
    <w:rsid w:val="00876758"/>
    <w:rPr>
      <w:rFonts w:ascii="Arial" w:hAnsi="Arial"/>
      <w:sz w:val="18"/>
      <w:szCs w:val="24"/>
      <w:lang w:eastAsia="en-US"/>
    </w:rPr>
  </w:style>
  <w:style w:type="paragraph" w:styleId="ListBullet">
    <w:name w:val="List Bullet"/>
    <w:basedOn w:val="Normal"/>
    <w:uiPriority w:val="7"/>
    <w:qFormat/>
    <w:rsid w:val="00876758"/>
    <w:pPr>
      <w:numPr>
        <w:numId w:val="22"/>
      </w:numPr>
      <w:spacing w:before="120" w:after="120"/>
    </w:pPr>
    <w:rPr>
      <w:rFonts w:ascii="Cambria" w:hAnsi="Cambria"/>
      <w:sz w:val="22"/>
      <w:szCs w:val="22"/>
    </w:rPr>
  </w:style>
  <w:style w:type="paragraph" w:styleId="ListBullet2">
    <w:name w:val="List Bullet 2"/>
    <w:basedOn w:val="Normal"/>
    <w:uiPriority w:val="8"/>
    <w:qFormat/>
    <w:rsid w:val="00876758"/>
    <w:pPr>
      <w:numPr>
        <w:ilvl w:val="1"/>
        <w:numId w:val="22"/>
      </w:numPr>
      <w:spacing w:before="120" w:after="120"/>
      <w:contextualSpacing/>
    </w:pPr>
    <w:rPr>
      <w:rFonts w:ascii="Cambria" w:hAnsi="Cambria"/>
      <w:sz w:val="22"/>
      <w:szCs w:val="22"/>
    </w:rPr>
  </w:style>
  <w:style w:type="paragraph" w:styleId="ListBullet3">
    <w:name w:val="List Bullet 3"/>
    <w:basedOn w:val="Normal"/>
    <w:uiPriority w:val="99"/>
    <w:unhideWhenUsed/>
    <w:rsid w:val="00876758"/>
    <w:pPr>
      <w:numPr>
        <w:ilvl w:val="2"/>
        <w:numId w:val="22"/>
      </w:numPr>
      <w:spacing w:before="120"/>
      <w:contextualSpacing/>
    </w:pPr>
    <w:rPr>
      <w:rFonts w:ascii="Cambria" w:hAnsi="Cambria"/>
      <w:sz w:val="22"/>
      <w:szCs w:val="22"/>
    </w:rPr>
  </w:style>
  <w:style w:type="character" w:styleId="CommentReference">
    <w:name w:val="annotation reference"/>
    <w:basedOn w:val="DefaultParagraphFont"/>
    <w:uiPriority w:val="99"/>
    <w:semiHidden/>
    <w:unhideWhenUsed/>
    <w:rsid w:val="00876758"/>
    <w:rPr>
      <w:rFonts w:cs="Times New Roman"/>
      <w:sz w:val="16"/>
      <w:szCs w:val="16"/>
    </w:rPr>
  </w:style>
  <w:style w:type="paragraph" w:styleId="CommentText">
    <w:name w:val="annotation text"/>
    <w:basedOn w:val="Normal"/>
    <w:link w:val="CommentTextChar"/>
    <w:uiPriority w:val="99"/>
    <w:unhideWhenUsed/>
    <w:rsid w:val="00876758"/>
    <w:rPr>
      <w:sz w:val="20"/>
      <w:szCs w:val="20"/>
    </w:rPr>
  </w:style>
  <w:style w:type="character" w:customStyle="1" w:styleId="CommentTextChar">
    <w:name w:val="Comment Text Char"/>
    <w:basedOn w:val="DefaultParagraphFont"/>
    <w:link w:val="CommentText"/>
    <w:uiPriority w:val="4"/>
    <w:rsid w:val="00876758"/>
    <w:rPr>
      <w:rFonts w:ascii="Arial" w:hAnsi="Arial"/>
      <w:lang w:eastAsia="en-US"/>
    </w:rPr>
  </w:style>
  <w:style w:type="paragraph" w:customStyle="1" w:styleId="GazetteBulletList2">
    <w:name w:val="Gazette Bullet List 2"/>
    <w:basedOn w:val="BodyText"/>
    <w:rsid w:val="00876758"/>
    <w:pPr>
      <w:numPr>
        <w:numId w:val="25"/>
      </w:numPr>
      <w:spacing w:before="0" w:after="120"/>
    </w:pPr>
    <w:rPr>
      <w:bCs/>
    </w:rPr>
  </w:style>
  <w:style w:type="paragraph" w:styleId="CommentSubject">
    <w:name w:val="annotation subject"/>
    <w:basedOn w:val="CommentText"/>
    <w:next w:val="CommentText"/>
    <w:link w:val="CommentSubjectChar"/>
    <w:uiPriority w:val="99"/>
    <w:semiHidden/>
    <w:unhideWhenUsed/>
    <w:rsid w:val="00876758"/>
    <w:rPr>
      <w:b/>
      <w:bCs/>
    </w:rPr>
  </w:style>
  <w:style w:type="character" w:customStyle="1" w:styleId="CommentSubjectChar">
    <w:name w:val="Comment Subject Char"/>
    <w:basedOn w:val="CommentTextChar"/>
    <w:link w:val="CommentSubject"/>
    <w:uiPriority w:val="99"/>
    <w:semiHidden/>
    <w:rsid w:val="00876758"/>
    <w:rPr>
      <w:rFonts w:ascii="Arial" w:hAnsi="Arial"/>
      <w:b/>
      <w:bCs/>
      <w:lang w:eastAsia="en-US"/>
    </w:rPr>
  </w:style>
  <w:style w:type="paragraph" w:styleId="Revision">
    <w:name w:val="Revision"/>
    <w:hidden/>
    <w:uiPriority w:val="99"/>
    <w:semiHidden/>
    <w:rsid w:val="00876758"/>
    <w:rPr>
      <w:rFonts w:ascii="Arial" w:hAnsi="Arial"/>
      <w:sz w:val="18"/>
      <w:szCs w:val="24"/>
      <w:lang w:eastAsia="en-US"/>
    </w:rPr>
  </w:style>
  <w:style w:type="character" w:customStyle="1" w:styleId="Style1">
    <w:name w:val="Style1"/>
    <w:basedOn w:val="DefaultParagraphFont"/>
    <w:uiPriority w:val="1"/>
    <w:rsid w:val="00876758"/>
    <w:rPr>
      <w:rFonts w:ascii="Arial" w:hAnsi="Arial" w:cs="Arial"/>
      <w:sz w:val="16"/>
    </w:rPr>
  </w:style>
  <w:style w:type="character" w:customStyle="1" w:styleId="Response">
    <w:name w:val="Response"/>
    <w:basedOn w:val="DefaultParagraphFont"/>
    <w:uiPriority w:val="1"/>
    <w:qFormat/>
    <w:rsid w:val="00876758"/>
    <w:rPr>
      <w:rFonts w:ascii="Arial" w:hAnsi="Arial" w:cs="Times New Roman"/>
      <w:color w:val="1F497D" w:themeColor="text2"/>
    </w:rPr>
  </w:style>
  <w:style w:type="paragraph" w:styleId="ListParagraph">
    <w:name w:val="List Paragraph"/>
    <w:basedOn w:val="Normal"/>
    <w:uiPriority w:val="34"/>
    <w:qFormat/>
    <w:rsid w:val="00876758"/>
    <w:pPr>
      <w:spacing w:after="160" w:line="259" w:lineRule="auto"/>
      <w:ind w:left="720"/>
      <w:contextualSpacing/>
    </w:pPr>
    <w:rPr>
      <w:rFonts w:asciiTheme="minorHAnsi" w:hAnsiTheme="minorHAnsi"/>
      <w:sz w:val="22"/>
      <w:szCs w:val="22"/>
    </w:rPr>
  </w:style>
  <w:style w:type="paragraph" w:customStyle="1" w:styleId="Default">
    <w:name w:val="Default"/>
    <w:rsid w:val="00876758"/>
    <w:pPr>
      <w:autoSpaceDE w:val="0"/>
      <w:autoSpaceDN w:val="0"/>
      <w:adjustRightInd w:val="0"/>
    </w:pPr>
    <w:rPr>
      <w:rFonts w:ascii="Arial" w:hAnsi="Arial" w:cs="Arial"/>
      <w:color w:val="000000"/>
      <w:sz w:val="24"/>
      <w:szCs w:val="24"/>
      <w:lang w:eastAsia="en-US"/>
    </w:rPr>
  </w:style>
  <w:style w:type="paragraph" w:customStyle="1" w:styleId="Body">
    <w:name w:val="Body"/>
    <w:rsid w:val="00876758"/>
    <w:pPr>
      <w:pBdr>
        <w:top w:val="none" w:sz="96" w:space="31" w:color="FFFFFF" w:frame="1"/>
        <w:left w:val="none" w:sz="96" w:space="31" w:color="FFFFFF" w:frame="1"/>
        <w:bottom w:val="none" w:sz="96" w:space="31" w:color="FFFFFF" w:frame="1"/>
        <w:right w:val="none" w:sz="96" w:space="31" w:color="FFFFFF" w:frame="1"/>
      </w:pBdr>
    </w:pPr>
    <w:rPr>
      <w:rFonts w:ascii="Arial" w:eastAsia="Arial Unicode MS" w:hAnsi="Arial Unicode MS" w:cs="Arial Unicode MS"/>
      <w:color w:val="000000"/>
      <w:sz w:val="18"/>
      <w:szCs w:val="18"/>
      <w:u w:color="000000"/>
      <w:lang w:val="en-US"/>
    </w:rPr>
  </w:style>
  <w:style w:type="paragraph" w:customStyle="1" w:styleId="FSCtblMRL1">
    <w:name w:val="FSC_tbl_MRL1"/>
    <w:basedOn w:val="Normal"/>
    <w:rsid w:val="00876758"/>
    <w:pPr>
      <w:keepLines/>
      <w:spacing w:before="20" w:after="20"/>
    </w:pPr>
    <w:rPr>
      <w:rFonts w:cs="Arial"/>
      <w:szCs w:val="20"/>
      <w:lang w:val="en-GB" w:eastAsia="en-AU"/>
    </w:rPr>
  </w:style>
  <w:style w:type="paragraph" w:customStyle="1" w:styleId="FSCtblMRL2">
    <w:name w:val="FSC_tbl_MRL2"/>
    <w:basedOn w:val="FSCtblMRL1"/>
    <w:qFormat/>
    <w:rsid w:val="00876758"/>
    <w:pPr>
      <w:jc w:val="right"/>
    </w:pPr>
    <w:rPr>
      <w:lang w:eastAsia="en-US"/>
    </w:rPr>
  </w:style>
  <w:style w:type="paragraph" w:customStyle="1" w:styleId="FSCDraftingitem">
    <w:name w:val="FSC_Drafting_item"/>
    <w:basedOn w:val="Normal"/>
    <w:qFormat/>
    <w:rsid w:val="00876758"/>
    <w:pPr>
      <w:tabs>
        <w:tab w:val="left" w:pos="851"/>
      </w:tabs>
      <w:spacing w:before="120" w:after="120"/>
    </w:pPr>
    <w:rPr>
      <w:sz w:val="20"/>
      <w:szCs w:val="20"/>
      <w:lang w:val="en-GB"/>
    </w:rPr>
  </w:style>
  <w:style w:type="paragraph" w:customStyle="1" w:styleId="FSCtblh3">
    <w:name w:val="FSC_tbl_h3"/>
    <w:basedOn w:val="Normal"/>
    <w:next w:val="Normal"/>
    <w:rsid w:val="00876758"/>
    <w:pPr>
      <w:keepNext/>
      <w:keepLines/>
      <w:spacing w:before="60" w:after="60"/>
    </w:pPr>
    <w:rPr>
      <w:rFonts w:cs="Arial"/>
      <w:b/>
      <w:i/>
      <w:szCs w:val="22"/>
      <w:lang w:val="en-GB" w:eastAsia="en-AU"/>
    </w:rPr>
  </w:style>
  <w:style w:type="paragraph" w:customStyle="1" w:styleId="FSCtblh4">
    <w:name w:val="FSC_tbl_h4"/>
    <w:basedOn w:val="Normal"/>
    <w:next w:val="Normal"/>
    <w:rsid w:val="00876758"/>
    <w:pPr>
      <w:keepNext/>
      <w:keepLines/>
      <w:spacing w:before="60" w:after="60"/>
    </w:pPr>
    <w:rPr>
      <w:rFonts w:cs="Arial"/>
      <w:i/>
      <w:szCs w:val="22"/>
      <w:lang w:val="en-GB" w:eastAsia="en-AU"/>
    </w:rPr>
  </w:style>
  <w:style w:type="paragraph" w:customStyle="1" w:styleId="APVMATableHead">
    <w:name w:val="APVMA_TableHead"/>
    <w:basedOn w:val="Normal"/>
    <w:uiPriority w:val="4"/>
    <w:qFormat/>
    <w:rsid w:val="00876758"/>
    <w:pPr>
      <w:keepNext/>
      <w:keepLines/>
      <w:suppressAutoHyphens/>
      <w:spacing w:before="60" w:after="60" w:line="240" w:lineRule="exact"/>
    </w:pPr>
    <w:rPr>
      <w:rFonts w:ascii="Franklin Gothic Medium" w:hAnsi="Franklin Gothic Medium" w:cs="Arial"/>
      <w:bCs/>
      <w:color w:val="F8F8F8"/>
      <w:spacing w:val="6"/>
      <w:kern w:val="20"/>
      <w:u w:color="000000"/>
    </w:rPr>
  </w:style>
  <w:style w:type="paragraph" w:styleId="NoSpacing">
    <w:name w:val="No Spacing"/>
    <w:uiPriority w:val="1"/>
    <w:qFormat/>
    <w:rsid w:val="00876758"/>
    <w:rPr>
      <w:rFonts w:ascii="Arial" w:hAnsi="Arial"/>
      <w:sz w:val="18"/>
      <w:szCs w:val="24"/>
      <w:lang w:eastAsia="en-US"/>
    </w:rPr>
  </w:style>
  <w:style w:type="table" w:styleId="TableGrid">
    <w:name w:val="Table Grid"/>
    <w:basedOn w:val="TableNormal"/>
    <w:uiPriority w:val="39"/>
    <w:rsid w:val="00876758"/>
    <w:rPr>
      <w:rFonts w:ascii="Arial" w:hAnsi="Arial"/>
    </w:rPr>
    <w:tblPr/>
  </w:style>
  <w:style w:type="paragraph" w:customStyle="1" w:styleId="Paragraph">
    <w:name w:val="Paragraph"/>
    <w:basedOn w:val="Normal"/>
    <w:rsid w:val="00876758"/>
    <w:pPr>
      <w:numPr>
        <w:numId w:val="27"/>
      </w:numPr>
      <w:spacing w:before="120"/>
    </w:pPr>
    <w:rPr>
      <w:rFonts w:ascii="Times New Roman" w:hAnsi="Times New Roman"/>
      <w:sz w:val="24"/>
      <w:szCs w:val="20"/>
    </w:rPr>
  </w:style>
  <w:style w:type="paragraph" w:customStyle="1" w:styleId="NormalText">
    <w:name w:val="Normal Text"/>
    <w:basedOn w:val="Normal"/>
    <w:link w:val="NormalTextChar"/>
    <w:autoRedefine/>
    <w:qFormat/>
    <w:rsid w:val="00876758"/>
    <w:pPr>
      <w:spacing w:before="120" w:after="120"/>
      <w:jc w:val="both"/>
    </w:pPr>
    <w:rPr>
      <w:rFonts w:ascii="Times New Roman" w:hAnsi="Times New Roman"/>
      <w:kern w:val="22"/>
      <w:sz w:val="24"/>
      <w:szCs w:val="20"/>
    </w:rPr>
  </w:style>
  <w:style w:type="paragraph" w:styleId="EndnoteText">
    <w:name w:val="endnote text"/>
    <w:basedOn w:val="Normal"/>
    <w:link w:val="EndnoteTextChar"/>
    <w:uiPriority w:val="99"/>
    <w:semiHidden/>
    <w:unhideWhenUsed/>
    <w:rsid w:val="00876758"/>
    <w:rPr>
      <w:sz w:val="20"/>
      <w:szCs w:val="20"/>
    </w:rPr>
  </w:style>
  <w:style w:type="character" w:customStyle="1" w:styleId="EndnoteTextChar">
    <w:name w:val="Endnote Text Char"/>
    <w:basedOn w:val="DefaultParagraphFont"/>
    <w:link w:val="EndnoteText"/>
    <w:uiPriority w:val="99"/>
    <w:semiHidden/>
    <w:rsid w:val="00876758"/>
    <w:rPr>
      <w:rFonts w:ascii="Arial" w:hAnsi="Arial"/>
      <w:lang w:eastAsia="en-US"/>
    </w:rPr>
  </w:style>
  <w:style w:type="character" w:styleId="EndnoteReference">
    <w:name w:val="endnote reference"/>
    <w:basedOn w:val="DefaultParagraphFont"/>
    <w:uiPriority w:val="99"/>
    <w:semiHidden/>
    <w:unhideWhenUsed/>
    <w:rsid w:val="00876758"/>
    <w:rPr>
      <w:rFonts w:cs="Times New Roman"/>
      <w:vertAlign w:val="superscript"/>
    </w:rPr>
  </w:style>
  <w:style w:type="paragraph" w:customStyle="1" w:styleId="TableParagraph">
    <w:name w:val="Table Paragraph"/>
    <w:basedOn w:val="Normal"/>
    <w:uiPriority w:val="1"/>
    <w:qFormat/>
    <w:rsid w:val="00876758"/>
    <w:pPr>
      <w:widowControl w:val="0"/>
    </w:pPr>
    <w:rPr>
      <w:rFonts w:asciiTheme="minorHAnsi" w:hAnsiTheme="minorHAnsi"/>
      <w:sz w:val="22"/>
      <w:szCs w:val="22"/>
      <w:lang w:val="en-US"/>
    </w:rPr>
  </w:style>
  <w:style w:type="numbering" w:customStyle="1" w:styleId="ListBullets">
    <w:name w:val="ListBullets"/>
    <w:rsid w:val="00876758"/>
    <w:pPr>
      <w:numPr>
        <w:numId w:val="21"/>
      </w:numPr>
    </w:pPr>
  </w:style>
  <w:style w:type="character" w:customStyle="1" w:styleId="Heading5Char">
    <w:name w:val="Heading 5 Char"/>
    <w:aliases w:val="H5 Char"/>
    <w:basedOn w:val="DefaultParagraphFont"/>
    <w:link w:val="Heading5"/>
    <w:uiPriority w:val="4"/>
    <w:rsid w:val="006B4FEC"/>
    <w:rPr>
      <w:rFonts w:asciiTheme="majorHAnsi" w:eastAsiaTheme="majorEastAsia" w:hAnsiTheme="majorHAnsi" w:cstheme="majorBidi"/>
      <w:color w:val="365F91" w:themeColor="accent1" w:themeShade="BF"/>
      <w:sz w:val="24"/>
      <w:szCs w:val="24"/>
      <w:lang w:eastAsia="en-US"/>
    </w:rPr>
  </w:style>
  <w:style w:type="paragraph" w:customStyle="1" w:styleId="NumberLevel1">
    <w:name w:val="Number Level 1"/>
    <w:aliases w:val="N1"/>
    <w:basedOn w:val="Normal"/>
    <w:uiPriority w:val="1"/>
    <w:qFormat/>
    <w:rsid w:val="006B4FEC"/>
    <w:pPr>
      <w:numPr>
        <w:numId w:val="35"/>
      </w:numPr>
      <w:spacing w:before="140" w:after="140" w:line="280" w:lineRule="atLeast"/>
    </w:pPr>
    <w:rPr>
      <w:rFonts w:cs="Arial"/>
      <w:sz w:val="20"/>
      <w:szCs w:val="22"/>
      <w:lang w:eastAsia="en-AU"/>
    </w:rPr>
  </w:style>
  <w:style w:type="paragraph" w:customStyle="1" w:styleId="NumberLevel2">
    <w:name w:val="Number Level 2"/>
    <w:aliases w:val="N2"/>
    <w:basedOn w:val="Normal"/>
    <w:uiPriority w:val="1"/>
    <w:qFormat/>
    <w:rsid w:val="006B4FEC"/>
    <w:pPr>
      <w:numPr>
        <w:ilvl w:val="1"/>
        <w:numId w:val="35"/>
      </w:numPr>
      <w:spacing w:before="140" w:after="140" w:line="280" w:lineRule="atLeast"/>
    </w:pPr>
    <w:rPr>
      <w:rFonts w:cs="Arial"/>
      <w:sz w:val="20"/>
      <w:szCs w:val="22"/>
      <w:lang w:eastAsia="en-AU"/>
    </w:rPr>
  </w:style>
  <w:style w:type="paragraph" w:customStyle="1" w:styleId="NumberLevel3">
    <w:name w:val="Number Level 3"/>
    <w:aliases w:val="N3"/>
    <w:basedOn w:val="Normal"/>
    <w:uiPriority w:val="1"/>
    <w:qFormat/>
    <w:rsid w:val="006B4FEC"/>
    <w:pPr>
      <w:numPr>
        <w:ilvl w:val="2"/>
        <w:numId w:val="35"/>
      </w:numPr>
      <w:spacing w:before="140" w:after="140" w:line="280" w:lineRule="atLeast"/>
    </w:pPr>
    <w:rPr>
      <w:rFonts w:cs="Arial"/>
      <w:sz w:val="20"/>
      <w:szCs w:val="22"/>
      <w:lang w:eastAsia="en-AU"/>
    </w:rPr>
  </w:style>
  <w:style w:type="paragraph" w:customStyle="1" w:styleId="NumberLevel4">
    <w:name w:val="Number Level 4"/>
    <w:aliases w:val="N4"/>
    <w:basedOn w:val="Normal"/>
    <w:uiPriority w:val="1"/>
    <w:qFormat/>
    <w:rsid w:val="006B4FEC"/>
    <w:pPr>
      <w:numPr>
        <w:ilvl w:val="3"/>
        <w:numId w:val="35"/>
      </w:numPr>
      <w:spacing w:after="140" w:line="280" w:lineRule="atLeast"/>
    </w:pPr>
    <w:rPr>
      <w:rFonts w:cs="Arial"/>
      <w:sz w:val="20"/>
      <w:szCs w:val="22"/>
      <w:lang w:eastAsia="en-AU"/>
    </w:rPr>
  </w:style>
  <w:style w:type="paragraph" w:customStyle="1" w:styleId="NumberLevel5">
    <w:name w:val="Number Level 5"/>
    <w:aliases w:val="N5"/>
    <w:basedOn w:val="Normal"/>
    <w:uiPriority w:val="1"/>
    <w:semiHidden/>
    <w:rsid w:val="006B4FEC"/>
    <w:pPr>
      <w:numPr>
        <w:ilvl w:val="4"/>
        <w:numId w:val="35"/>
      </w:numPr>
      <w:spacing w:after="140" w:line="280" w:lineRule="atLeast"/>
    </w:pPr>
    <w:rPr>
      <w:rFonts w:cs="Arial"/>
      <w:sz w:val="20"/>
      <w:szCs w:val="22"/>
      <w:lang w:eastAsia="en-AU"/>
    </w:rPr>
  </w:style>
  <w:style w:type="paragraph" w:customStyle="1" w:styleId="NumberLevel6">
    <w:name w:val="Number Level 6"/>
    <w:basedOn w:val="NumberLevel5"/>
    <w:uiPriority w:val="1"/>
    <w:semiHidden/>
    <w:rsid w:val="006B4FEC"/>
    <w:pPr>
      <w:numPr>
        <w:ilvl w:val="5"/>
      </w:numPr>
    </w:pPr>
  </w:style>
  <w:style w:type="paragraph" w:customStyle="1" w:styleId="NumberLevel7">
    <w:name w:val="Number Level 7"/>
    <w:basedOn w:val="NumberLevel6"/>
    <w:uiPriority w:val="1"/>
    <w:semiHidden/>
    <w:rsid w:val="006B4FEC"/>
    <w:pPr>
      <w:numPr>
        <w:ilvl w:val="6"/>
      </w:numPr>
    </w:pPr>
  </w:style>
  <w:style w:type="paragraph" w:customStyle="1" w:styleId="NumberLevel8">
    <w:name w:val="Number Level 8"/>
    <w:basedOn w:val="NumberLevel7"/>
    <w:uiPriority w:val="1"/>
    <w:semiHidden/>
    <w:rsid w:val="006B4FEC"/>
    <w:pPr>
      <w:numPr>
        <w:ilvl w:val="7"/>
      </w:numPr>
    </w:pPr>
  </w:style>
  <w:style w:type="paragraph" w:customStyle="1" w:styleId="NumberLevel9">
    <w:name w:val="Number Level 9"/>
    <w:basedOn w:val="NumberLevel8"/>
    <w:uiPriority w:val="1"/>
    <w:semiHidden/>
    <w:rsid w:val="006B4FEC"/>
    <w:pPr>
      <w:numPr>
        <w:ilvl w:val="8"/>
      </w:numPr>
    </w:pPr>
  </w:style>
  <w:style w:type="paragraph" w:customStyle="1" w:styleId="Leg5Paraa">
    <w:name w:val="Leg5 Para: (a)"/>
    <w:aliases w:val="L5"/>
    <w:basedOn w:val="Normal"/>
    <w:uiPriority w:val="5"/>
    <w:qFormat/>
    <w:rsid w:val="006B4FEC"/>
    <w:pPr>
      <w:spacing w:before="60" w:after="60" w:line="260" w:lineRule="atLeast"/>
      <w:ind w:left="1843" w:right="567" w:hanging="567"/>
    </w:pPr>
    <w:rPr>
      <w:rFonts w:cs="Arial"/>
      <w:sz w:val="20"/>
      <w:szCs w:val="22"/>
      <w:lang w:eastAsia="en-AU"/>
    </w:rPr>
  </w:style>
  <w:style w:type="paragraph" w:customStyle="1" w:styleId="Leg2Sec1">
    <w:name w:val="Leg2 Sec: 1."/>
    <w:aliases w:val="L2"/>
    <w:basedOn w:val="Normal"/>
    <w:uiPriority w:val="5"/>
    <w:qFormat/>
    <w:rsid w:val="006B4FEC"/>
    <w:pPr>
      <w:tabs>
        <w:tab w:val="left" w:pos="1276"/>
      </w:tabs>
      <w:spacing w:before="60" w:after="60" w:line="260" w:lineRule="atLeast"/>
      <w:ind w:left="1276" w:right="567" w:hanging="850"/>
    </w:pPr>
    <w:rPr>
      <w:rFonts w:cs="Arial"/>
      <w:sz w:val="20"/>
      <w:szCs w:val="22"/>
      <w:lang w:eastAsia="en-AU"/>
    </w:rPr>
  </w:style>
  <w:style w:type="paragraph" w:customStyle="1" w:styleId="StyleHeading3H310ptItalic">
    <w:name w:val="Style Heading 3H3 + 10 pt Italic"/>
    <w:basedOn w:val="Heading3"/>
    <w:rsid w:val="006B4FEC"/>
    <w:pPr>
      <w:keepLines/>
      <w:spacing w:after="0" w:line="280" w:lineRule="atLeast"/>
    </w:pPr>
    <w:rPr>
      <w:b w:val="0"/>
      <w:iCs/>
      <w:sz w:val="20"/>
      <w:u w:val="single"/>
      <w:lang w:eastAsia="en-AU"/>
    </w:rPr>
  </w:style>
  <w:style w:type="paragraph" w:customStyle="1" w:styleId="Bullet1">
    <w:name w:val="Bullet1"/>
    <w:basedOn w:val="NormalText"/>
    <w:uiPriority w:val="4"/>
    <w:qFormat/>
    <w:rsid w:val="006B4FEC"/>
    <w:pPr>
      <w:numPr>
        <w:numId w:val="43"/>
      </w:numPr>
      <w:suppressAutoHyphens/>
      <w:spacing w:line="280" w:lineRule="exact"/>
      <w:jc w:val="left"/>
    </w:pPr>
    <w:rPr>
      <w:rFonts w:ascii="Arial" w:hAnsi="Arial" w:cs="Arial"/>
      <w:kern w:val="20"/>
      <w:sz w:val="19"/>
      <w:szCs w:val="24"/>
      <w:u w:color="000000"/>
    </w:rPr>
  </w:style>
  <w:style w:type="character" w:customStyle="1" w:styleId="NormalTextChar">
    <w:name w:val="Normal Text Char"/>
    <w:basedOn w:val="DefaultParagraphFont"/>
    <w:link w:val="NormalText"/>
    <w:rsid w:val="006B4FEC"/>
    <w:rPr>
      <w:kern w:val="22"/>
      <w:sz w:val="24"/>
      <w:lang w:eastAsia="en-US"/>
    </w:rPr>
  </w:style>
  <w:style w:type="paragraph" w:customStyle="1" w:styleId="APVMATableText">
    <w:name w:val="APVMA_TableText"/>
    <w:basedOn w:val="NormalText"/>
    <w:link w:val="APVMATableTextChar"/>
    <w:uiPriority w:val="4"/>
    <w:qFormat/>
    <w:rsid w:val="006B4FEC"/>
    <w:pPr>
      <w:suppressAutoHyphens/>
      <w:spacing w:line="210" w:lineRule="exact"/>
      <w:jc w:val="left"/>
    </w:pPr>
    <w:rPr>
      <w:rFonts w:ascii="Arial" w:hAnsi="Arial" w:cs="Arial"/>
      <w:spacing w:val="6"/>
      <w:kern w:val="20"/>
      <w:sz w:val="17"/>
      <w:szCs w:val="24"/>
      <w:u w:color="000000"/>
    </w:rPr>
  </w:style>
  <w:style w:type="character" w:customStyle="1" w:styleId="APVMATableTextChar">
    <w:name w:val="APVMA_TableText Char"/>
    <w:link w:val="APVMATableText"/>
    <w:uiPriority w:val="4"/>
    <w:rsid w:val="006B4FEC"/>
    <w:rPr>
      <w:rFonts w:ascii="Arial" w:hAnsi="Arial" w:cs="Arial"/>
      <w:spacing w:val="6"/>
      <w:kern w:val="20"/>
      <w:sz w:val="17"/>
      <w:szCs w:val="24"/>
      <w:u w:color="000000"/>
      <w:lang w:eastAsia="en-US"/>
    </w:rPr>
  </w:style>
  <w:style w:type="paragraph" w:customStyle="1" w:styleId="APVMASourceTableNote">
    <w:name w:val="APVMA_Source/TableNote"/>
    <w:basedOn w:val="NormalText"/>
    <w:uiPriority w:val="4"/>
    <w:rsid w:val="006B4FEC"/>
    <w:pPr>
      <w:suppressAutoHyphens/>
      <w:spacing w:before="0" w:after="0" w:line="280" w:lineRule="atLeast"/>
      <w:jc w:val="left"/>
    </w:pPr>
    <w:rPr>
      <w:rFonts w:ascii="Arial" w:hAnsi="Arial" w:cs="Arial"/>
      <w:i/>
      <w:spacing w:val="6"/>
      <w:kern w:val="20"/>
      <w:sz w:val="16"/>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vma.gov.au" TargetMode="External"/><Relationship Id="rId18" Type="http://schemas.openxmlformats.org/officeDocument/2006/relationships/header" Target="header4.xml"/><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yperlink" Target="https://www.epa.gov/expobox/about-exposure-factors-handbook" TargetMode="External"/><Relationship Id="rId7" Type="http://schemas.openxmlformats.org/officeDocument/2006/relationships/footnotes" Target="footnotes.xml"/><Relationship Id="rId12" Type="http://schemas.openxmlformats.org/officeDocument/2006/relationships/hyperlink" Target="mailto:communications@apvma.gov.au" TargetMode="External"/><Relationship Id="rId17" Type="http://schemas.openxmlformats.org/officeDocument/2006/relationships/header" Target="header3.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epa.gov/sites/production/files/2015-08/documents/usepa-opp-hed_residential_sops_oct2012.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apvma.us2.list-manage.com/subscribe?u=f09f7f9ed2a2867a19b99e2e4&amp;id=a025640240"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apvma.gov.au/news-and-publications/publications/gazette" TargetMode="External"/><Relationship Id="rId22" Type="http://schemas.openxmlformats.org/officeDocument/2006/relationships/hyperlink" Target="https://www.epa.gov/sites/production/files/2015-08/documents/usepa-opp-hed_residential_sops_oct2012.pdf"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food/plant/pesticides/eu-pesticides-database/public/?event=activesubstance.ViewReview&amp;id=138" TargetMode="External"/><Relationship Id="rId1" Type="http://schemas.openxmlformats.org/officeDocument/2006/relationships/hyperlink" Target="https://apvma.gov.au/node/314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A1505269</value>
    </field>
    <field name="Objective-Title">
      <value order="0">Chlorpyrifos - Special Gazette - Final Decision -  Cancellation - HG products - Phase 1</value>
    </field>
    <field name="Objective-Description">
      <value order="0"/>
    </field>
    <field name="Objective-CreationStamp">
      <value order="0">2019-08-08T05:08:59Z</value>
    </field>
    <field name="Objective-IsApproved">
      <value order="0">false</value>
    </field>
    <field name="Objective-IsPublished">
      <value order="0">false</value>
    </field>
    <field name="Objective-DatePublished">
      <value order="0"/>
    </field>
    <field name="Objective-ModificationStamp">
      <value order="0">2019-09-25T06:18:56Z</value>
    </field>
    <field name="Objective-Owner">
      <value order="0">Therese Brackenbury</value>
    </field>
    <field name="Objective-Path">
      <value order="0">APVMA:SCIENTIFIC ASSESSMENT:Scientific Assessment - Chemical Review:Scientific Assessment - Chemical Review - Products and Actives:Scientific Assessment - Chemical Review - Products and Actives - C:Chemical Review - Chlorpyrifos:08-Regulatory Decision:08 - Cancellation - HG Products - Phase 1:08 - FINAL DOCUMENTS - Cancellation - HG products and labels - Phase 1:CLEARED</value>
    </field>
    <field name="Objective-Parent">
      <value order="0">CLEARED</value>
    </field>
    <field name="Objective-State">
      <value order="0">Being Edited</value>
    </field>
    <field name="Objective-VersionId">
      <value order="0">vA2418660</value>
    </field>
    <field name="Objective-Version">
      <value order="0">0.24</value>
    </field>
    <field name="Objective-VersionNumber">
      <value order="0">24</value>
    </field>
    <field name="Objective-VersionComment">
      <value order="0"/>
    </field>
    <field name="Objective-FileNumber">
      <value order="0">2014\2553</value>
    </field>
    <field name="Objective-Classification">
      <value order="0">Sensitive (AgVet Code)</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20837725-7BBC-484F-A525-B3EE81EE6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29</Pages>
  <Words>11110</Words>
  <Characters>61548</Characters>
  <Application>Microsoft Office Word</Application>
  <DocSecurity>0</DocSecurity>
  <Lines>1206</Lines>
  <Paragraphs>626</Paragraphs>
  <ScaleCrop>false</ScaleCrop>
  <HeadingPairs>
    <vt:vector size="2" baseType="variant">
      <vt:variant>
        <vt:lpstr>Title</vt:lpstr>
      </vt:variant>
      <vt:variant>
        <vt:i4>1</vt:i4>
      </vt:variant>
    </vt:vector>
  </HeadingPairs>
  <TitlesOfParts>
    <vt:vector size="1" baseType="lpstr">
      <vt:lpstr>APVMA Special Gazette 25 September 2019</vt:lpstr>
    </vt:vector>
  </TitlesOfParts>
  <Company>APVMA</Company>
  <LinksUpToDate>false</LinksUpToDate>
  <CharactersWithSpaces>72032</CharactersWithSpaces>
  <SharedDoc>false</SharedDoc>
  <HLinks>
    <vt:vector size="114" baseType="variant">
      <vt:variant>
        <vt:i4>1966128</vt:i4>
      </vt:variant>
      <vt:variant>
        <vt:i4>122</vt:i4>
      </vt:variant>
      <vt:variant>
        <vt:i4>0</vt:i4>
      </vt:variant>
      <vt:variant>
        <vt:i4>5</vt:i4>
      </vt:variant>
      <vt:variant>
        <vt:lpwstr/>
      </vt:variant>
      <vt:variant>
        <vt:lpwstr>_Toc234638549</vt:lpwstr>
      </vt:variant>
      <vt:variant>
        <vt:i4>1966128</vt:i4>
      </vt:variant>
      <vt:variant>
        <vt:i4>116</vt:i4>
      </vt:variant>
      <vt:variant>
        <vt:i4>0</vt:i4>
      </vt:variant>
      <vt:variant>
        <vt:i4>5</vt:i4>
      </vt:variant>
      <vt:variant>
        <vt:lpwstr/>
      </vt:variant>
      <vt:variant>
        <vt:lpwstr>_Toc234638548</vt:lpwstr>
      </vt:variant>
      <vt:variant>
        <vt:i4>1966128</vt:i4>
      </vt:variant>
      <vt:variant>
        <vt:i4>108</vt:i4>
      </vt:variant>
      <vt:variant>
        <vt:i4>0</vt:i4>
      </vt:variant>
      <vt:variant>
        <vt:i4>5</vt:i4>
      </vt:variant>
      <vt:variant>
        <vt:lpwstr/>
      </vt:variant>
      <vt:variant>
        <vt:lpwstr>_Toc234638547</vt:lpwstr>
      </vt:variant>
      <vt:variant>
        <vt:i4>1966128</vt:i4>
      </vt:variant>
      <vt:variant>
        <vt:i4>102</vt:i4>
      </vt:variant>
      <vt:variant>
        <vt:i4>0</vt:i4>
      </vt:variant>
      <vt:variant>
        <vt:i4>5</vt:i4>
      </vt:variant>
      <vt:variant>
        <vt:lpwstr/>
      </vt:variant>
      <vt:variant>
        <vt:lpwstr>_Toc234638546</vt:lpwstr>
      </vt:variant>
      <vt:variant>
        <vt:i4>1966128</vt:i4>
      </vt:variant>
      <vt:variant>
        <vt:i4>96</vt:i4>
      </vt:variant>
      <vt:variant>
        <vt:i4>0</vt:i4>
      </vt:variant>
      <vt:variant>
        <vt:i4>5</vt:i4>
      </vt:variant>
      <vt:variant>
        <vt:lpwstr/>
      </vt:variant>
      <vt:variant>
        <vt:lpwstr>_Toc234638545</vt:lpwstr>
      </vt:variant>
      <vt:variant>
        <vt:i4>1966128</vt:i4>
      </vt:variant>
      <vt:variant>
        <vt:i4>90</vt:i4>
      </vt:variant>
      <vt:variant>
        <vt:i4>0</vt:i4>
      </vt:variant>
      <vt:variant>
        <vt:i4>5</vt:i4>
      </vt:variant>
      <vt:variant>
        <vt:lpwstr/>
      </vt:variant>
      <vt:variant>
        <vt:lpwstr>_Toc234638544</vt:lpwstr>
      </vt:variant>
      <vt:variant>
        <vt:i4>1966128</vt:i4>
      </vt:variant>
      <vt:variant>
        <vt:i4>84</vt:i4>
      </vt:variant>
      <vt:variant>
        <vt:i4>0</vt:i4>
      </vt:variant>
      <vt:variant>
        <vt:i4>5</vt:i4>
      </vt:variant>
      <vt:variant>
        <vt:lpwstr/>
      </vt:variant>
      <vt:variant>
        <vt:lpwstr>_Toc234638543</vt:lpwstr>
      </vt:variant>
      <vt:variant>
        <vt:i4>1966128</vt:i4>
      </vt:variant>
      <vt:variant>
        <vt:i4>74</vt:i4>
      </vt:variant>
      <vt:variant>
        <vt:i4>0</vt:i4>
      </vt:variant>
      <vt:variant>
        <vt:i4>5</vt:i4>
      </vt:variant>
      <vt:variant>
        <vt:lpwstr/>
      </vt:variant>
      <vt:variant>
        <vt:lpwstr>_Toc234638542</vt:lpwstr>
      </vt:variant>
      <vt:variant>
        <vt:i4>1966128</vt:i4>
      </vt:variant>
      <vt:variant>
        <vt:i4>68</vt:i4>
      </vt:variant>
      <vt:variant>
        <vt:i4>0</vt:i4>
      </vt:variant>
      <vt:variant>
        <vt:i4>5</vt:i4>
      </vt:variant>
      <vt:variant>
        <vt:lpwstr/>
      </vt:variant>
      <vt:variant>
        <vt:lpwstr>_Toc234638541</vt:lpwstr>
      </vt:variant>
      <vt:variant>
        <vt:i4>1966128</vt:i4>
      </vt:variant>
      <vt:variant>
        <vt:i4>58</vt:i4>
      </vt:variant>
      <vt:variant>
        <vt:i4>0</vt:i4>
      </vt:variant>
      <vt:variant>
        <vt:i4>5</vt:i4>
      </vt:variant>
      <vt:variant>
        <vt:lpwstr/>
      </vt:variant>
      <vt:variant>
        <vt:lpwstr>_Toc234638540</vt:lpwstr>
      </vt:variant>
      <vt:variant>
        <vt:i4>1638448</vt:i4>
      </vt:variant>
      <vt:variant>
        <vt:i4>52</vt:i4>
      </vt:variant>
      <vt:variant>
        <vt:i4>0</vt:i4>
      </vt:variant>
      <vt:variant>
        <vt:i4>5</vt:i4>
      </vt:variant>
      <vt:variant>
        <vt:lpwstr/>
      </vt:variant>
      <vt:variant>
        <vt:lpwstr>_Toc234638539</vt:lpwstr>
      </vt:variant>
      <vt:variant>
        <vt:i4>1638448</vt:i4>
      </vt:variant>
      <vt:variant>
        <vt:i4>44</vt:i4>
      </vt:variant>
      <vt:variant>
        <vt:i4>0</vt:i4>
      </vt:variant>
      <vt:variant>
        <vt:i4>5</vt:i4>
      </vt:variant>
      <vt:variant>
        <vt:lpwstr/>
      </vt:variant>
      <vt:variant>
        <vt:lpwstr>_Toc234638538</vt:lpwstr>
      </vt:variant>
      <vt:variant>
        <vt:i4>1638448</vt:i4>
      </vt:variant>
      <vt:variant>
        <vt:i4>38</vt:i4>
      </vt:variant>
      <vt:variant>
        <vt:i4>0</vt:i4>
      </vt:variant>
      <vt:variant>
        <vt:i4>5</vt:i4>
      </vt:variant>
      <vt:variant>
        <vt:lpwstr/>
      </vt:variant>
      <vt:variant>
        <vt:lpwstr>_Toc234638537</vt:lpwstr>
      </vt:variant>
      <vt:variant>
        <vt:i4>1638448</vt:i4>
      </vt:variant>
      <vt:variant>
        <vt:i4>32</vt:i4>
      </vt:variant>
      <vt:variant>
        <vt:i4>0</vt:i4>
      </vt:variant>
      <vt:variant>
        <vt:i4>5</vt:i4>
      </vt:variant>
      <vt:variant>
        <vt:lpwstr/>
      </vt:variant>
      <vt:variant>
        <vt:lpwstr>_Toc234638536</vt:lpwstr>
      </vt:variant>
      <vt:variant>
        <vt:i4>1638448</vt:i4>
      </vt:variant>
      <vt:variant>
        <vt:i4>26</vt:i4>
      </vt:variant>
      <vt:variant>
        <vt:i4>0</vt:i4>
      </vt:variant>
      <vt:variant>
        <vt:i4>5</vt:i4>
      </vt:variant>
      <vt:variant>
        <vt:lpwstr/>
      </vt:variant>
      <vt:variant>
        <vt:lpwstr>_Toc234638535</vt:lpwstr>
      </vt:variant>
      <vt:variant>
        <vt:i4>1638448</vt:i4>
      </vt:variant>
      <vt:variant>
        <vt:i4>20</vt:i4>
      </vt:variant>
      <vt:variant>
        <vt:i4>0</vt:i4>
      </vt:variant>
      <vt:variant>
        <vt:i4>5</vt:i4>
      </vt:variant>
      <vt:variant>
        <vt:lpwstr/>
      </vt:variant>
      <vt:variant>
        <vt:lpwstr>_Toc234638534</vt:lpwstr>
      </vt:variant>
      <vt:variant>
        <vt:i4>1835029</vt:i4>
      </vt:variant>
      <vt:variant>
        <vt:i4>15</vt:i4>
      </vt:variant>
      <vt:variant>
        <vt:i4>0</vt:i4>
      </vt:variant>
      <vt:variant>
        <vt:i4>5</vt:i4>
      </vt:variant>
      <vt:variant>
        <vt:lpwstr>http://www.apvma.gov.au/publications/gazette/</vt:lpwstr>
      </vt:variant>
      <vt:variant>
        <vt:lpwstr/>
      </vt:variant>
      <vt:variant>
        <vt:i4>131159</vt:i4>
      </vt:variant>
      <vt:variant>
        <vt:i4>12</vt:i4>
      </vt:variant>
      <vt:variant>
        <vt:i4>0</vt:i4>
      </vt:variant>
      <vt:variant>
        <vt:i4>5</vt:i4>
      </vt:variant>
      <vt:variant>
        <vt:lpwstr>http://www.apvma.gov.au/</vt:lpwstr>
      </vt:variant>
      <vt:variant>
        <vt:lpwstr/>
      </vt:variant>
      <vt:variant>
        <vt:i4>5308459</vt:i4>
      </vt:variant>
      <vt:variant>
        <vt:i4>9</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Special Gazette 25 September 2019</dc:title>
  <dc:creator>APVMA</dc:creator>
  <cp:lastModifiedBy>DEVENISH-MEARES, Rachel</cp:lastModifiedBy>
  <cp:revision>4</cp:revision>
  <cp:lastPrinted>2019-09-25T01:52:00Z</cp:lastPrinted>
  <dcterms:created xsi:type="dcterms:W3CDTF">2019-09-25T06:19:00Z</dcterms:created>
  <dcterms:modified xsi:type="dcterms:W3CDTF">2019-09-25T06:49:00Z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VMA Template No">
    <vt:lpwstr>APVMA_30</vt:lpwstr>
  </property>
  <property fmtid="{D5CDD505-2E9C-101B-9397-08002B2CF9AE}" pid="3" name="APVMA Version No">
    <vt:r8>1</vt:r8>
  </property>
  <property fmtid="{D5CDD505-2E9C-101B-9397-08002B2CF9AE}" pid="4" name="Objective-Id">
    <vt:lpwstr>A1505269</vt:lpwstr>
  </property>
  <property fmtid="{D5CDD505-2E9C-101B-9397-08002B2CF9AE}" pid="5" name="Objective-Title">
    <vt:lpwstr>Chlorpyrifos - Special Gazette - Final Decision -  Cancellation - HG products - Phase 1</vt:lpwstr>
  </property>
  <property fmtid="{D5CDD505-2E9C-101B-9397-08002B2CF9AE}" pid="6" name="Objective-Comment">
    <vt:lpwstr/>
  </property>
  <property fmtid="{D5CDD505-2E9C-101B-9397-08002B2CF9AE}" pid="7" name="Objective-CreationStamp">
    <vt:filetime>2019-08-15T05:35:35Z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2019-09-25T06:18:56Z</vt:filetime>
  </property>
  <property fmtid="{D5CDD505-2E9C-101B-9397-08002B2CF9AE}" pid="12" name="Objective-Owner">
    <vt:lpwstr>Therese Brackenbury</vt:lpwstr>
  </property>
  <property fmtid="{D5CDD505-2E9C-101B-9397-08002B2CF9AE}" pid="13" name="Objective-Path">
    <vt:lpwstr>APVMA:SCIENTIFIC ASSESSMENT:Scientific Assessment - Chemical Review:Scientific Assessment - Chemical Review - Products and Actives:Scientific Assessment - Chemical Review - Products and Actives - C:Chemical Review - Chlorpyrifos:08-Regulatory Decision:08 </vt:lpwstr>
  </property>
  <property fmtid="{D5CDD505-2E9C-101B-9397-08002B2CF9AE}" pid="14" name="Objective-Parent">
    <vt:lpwstr>CLEARED</vt:lpwstr>
  </property>
  <property fmtid="{D5CDD505-2E9C-101B-9397-08002B2CF9AE}" pid="15" name="Objective-State">
    <vt:lpwstr>Being Edited</vt:lpwstr>
  </property>
  <property fmtid="{D5CDD505-2E9C-101B-9397-08002B2CF9AE}" pid="16" name="Objective-Version">
    <vt:lpwstr>0.24</vt:lpwstr>
  </property>
  <property fmtid="{D5CDD505-2E9C-101B-9397-08002B2CF9AE}" pid="17" name="Objective-VersionNumber">
    <vt:r8>24</vt:r8>
  </property>
  <property fmtid="{D5CDD505-2E9C-101B-9397-08002B2CF9AE}" pid="18" name="Objective-VersionComment">
    <vt:lpwstr/>
  </property>
  <property fmtid="{D5CDD505-2E9C-101B-9397-08002B2CF9AE}" pid="19" name="Objective-FileNumber">
    <vt:lpwstr>2014\2553</vt:lpwstr>
  </property>
  <property fmtid="{D5CDD505-2E9C-101B-9397-08002B2CF9AE}" pid="20" name="Objective-Classification">
    <vt:lpwstr>[Inherited - Sensitive (AgVet Code)]</vt:lpwstr>
  </property>
  <property fmtid="{D5CDD505-2E9C-101B-9397-08002B2CF9AE}" pid="21" name="Objective-Caveats">
    <vt:lpwstr/>
  </property>
  <property fmtid="{D5CDD505-2E9C-101B-9397-08002B2CF9AE}" pid="22" name="Objective-Description">
    <vt:lpwstr/>
  </property>
  <property fmtid="{D5CDD505-2E9C-101B-9397-08002B2CF9AE}" pid="23" name="Objective-VersionId">
    <vt:lpwstr>vA2418660</vt:lpwstr>
  </property>
  <property fmtid="{D5CDD505-2E9C-101B-9397-08002B2CF9AE}" pid="24" name="Objective-Connect Creator">
    <vt:lpwstr/>
  </property>
</Properties>
</file>